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228CCC">
      <w:pPr>
        <w:ind w:right="160"/>
        <w:rPr>
          <w:rFonts w:hint="default" w:ascii="Times New Roman" w:hAnsi="Times New Roman" w:cs="Times New Roman"/>
          <w:b/>
          <w:color w:val="auto"/>
          <w:highlight w:val="none"/>
        </w:rPr>
      </w:pPr>
      <w:bookmarkStart w:id="0" w:name="_Toc204056143"/>
      <w:r>
        <w:rPr>
          <w:color w:val="auto"/>
          <w:highlight w:val="none"/>
        </w:rPr>
        <w:drawing>
          <wp:inline distT="0" distB="0" distL="114300" distR="114300">
            <wp:extent cx="1438910" cy="1379220"/>
            <wp:effectExtent l="0" t="0" r="8890" b="1143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8"/>
                    <a:stretch>
                      <a:fillRect/>
                    </a:stretch>
                  </pic:blipFill>
                  <pic:spPr>
                    <a:xfrm>
                      <a:off x="0" y="0"/>
                      <a:ext cx="1438910" cy="1379220"/>
                    </a:xfrm>
                    <a:prstGeom prst="rect">
                      <a:avLst/>
                    </a:prstGeom>
                    <a:noFill/>
                    <a:ln>
                      <a:noFill/>
                    </a:ln>
                  </pic:spPr>
                </pic:pic>
              </a:graphicData>
            </a:graphic>
          </wp:inline>
        </w:drawing>
      </w:r>
    </w:p>
    <w:p w14:paraId="6CAFA11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楷体" w:cs="Times New Roman"/>
          <w:b/>
          <w:bCs/>
          <w:color w:val="auto"/>
          <w:spacing w:val="-38"/>
          <w:kern w:val="10"/>
          <w:sz w:val="60"/>
          <w:szCs w:val="60"/>
          <w:highlight w:val="none"/>
        </w:rPr>
      </w:pPr>
      <w:bookmarkStart w:id="1" w:name="_Hlk129359445"/>
      <w:bookmarkStart w:id="2" w:name="_Hlk127452744"/>
      <w:r>
        <w:rPr>
          <w:rFonts w:hint="default" w:ascii="Times New Roman" w:hAnsi="Times New Roman" w:eastAsia="楷体" w:cs="Times New Roman"/>
          <w:b/>
          <w:bCs/>
          <w:color w:val="auto"/>
          <w:spacing w:val="-38"/>
          <w:kern w:val="10"/>
          <w:sz w:val="60"/>
          <w:szCs w:val="60"/>
          <w:highlight w:val="none"/>
        </w:rPr>
        <w:t>钦州港新型城乡融合发展示范区（自贸新城）排水</w:t>
      </w:r>
      <w:r>
        <w:rPr>
          <w:rFonts w:hint="eastAsia" w:ascii="Times New Roman" w:hAnsi="Times New Roman" w:eastAsia="楷体" w:cs="Times New Roman"/>
          <w:b/>
          <w:bCs/>
          <w:color w:val="auto"/>
          <w:spacing w:val="-38"/>
          <w:kern w:val="10"/>
          <w:sz w:val="60"/>
          <w:szCs w:val="60"/>
          <w:highlight w:val="none"/>
          <w:lang w:eastAsia="zh-CN"/>
        </w:rPr>
        <w:t>改造</w:t>
      </w:r>
      <w:r>
        <w:rPr>
          <w:rFonts w:hint="default" w:ascii="Times New Roman" w:hAnsi="Times New Roman" w:eastAsia="楷体" w:cs="Times New Roman"/>
          <w:b/>
          <w:bCs/>
          <w:color w:val="auto"/>
          <w:spacing w:val="-38"/>
          <w:kern w:val="10"/>
          <w:sz w:val="60"/>
          <w:szCs w:val="60"/>
          <w:highlight w:val="none"/>
        </w:rPr>
        <w:t>工程</w:t>
      </w:r>
    </w:p>
    <w:bookmarkEnd w:id="1"/>
    <w:p w14:paraId="74D90069">
      <w:pPr>
        <w:spacing w:line="1300" w:lineRule="exact"/>
        <w:jc w:val="center"/>
        <w:rPr>
          <w:rFonts w:hint="default" w:ascii="Times New Roman" w:hAnsi="Times New Roman" w:eastAsia="黑体" w:cs="Times New Roman"/>
          <w:b/>
          <w:bCs/>
          <w:color w:val="auto"/>
          <w:spacing w:val="160"/>
          <w:sz w:val="72"/>
          <w:szCs w:val="72"/>
          <w:highlight w:val="none"/>
        </w:rPr>
      </w:pPr>
      <w:r>
        <w:rPr>
          <w:rFonts w:hint="default" w:ascii="Times New Roman" w:hAnsi="Times New Roman" w:eastAsia="黑体" w:cs="Times New Roman"/>
          <w:b/>
          <w:bCs/>
          <w:color w:val="auto"/>
          <w:spacing w:val="160"/>
          <w:sz w:val="72"/>
          <w:szCs w:val="72"/>
          <w:highlight w:val="none"/>
        </w:rPr>
        <w:t>环境影响报告书</w:t>
      </w:r>
    </w:p>
    <w:bookmarkEnd w:id="2"/>
    <w:p w14:paraId="0300A2FB">
      <w:pPr>
        <w:pStyle w:val="85"/>
        <w:ind w:firstLine="361"/>
        <w:jc w:val="center"/>
        <w:rPr>
          <w:rFonts w:hint="default" w:ascii="Times New Roman" w:hAnsi="Times New Roman" w:eastAsia="楷体" w:cs="Times New Roman"/>
          <w:b/>
          <w:bCs/>
          <w:color w:val="auto"/>
          <w:sz w:val="36"/>
          <w:szCs w:val="28"/>
          <w:highlight w:val="none"/>
          <w:lang w:val="en-US" w:eastAsia="zh-CN"/>
        </w:rPr>
      </w:pPr>
      <w:r>
        <w:rPr>
          <w:rFonts w:hint="default" w:ascii="Times New Roman" w:hAnsi="Times New Roman" w:eastAsia="楷体" w:cs="Times New Roman"/>
          <w:b/>
          <w:bCs/>
          <w:color w:val="auto"/>
          <w:sz w:val="36"/>
          <w:szCs w:val="28"/>
          <w:highlight w:val="none"/>
        </w:rPr>
        <w:t>（</w:t>
      </w:r>
      <w:r>
        <w:rPr>
          <w:rFonts w:hint="eastAsia" w:ascii="Times New Roman" w:hAnsi="Times New Roman" w:eastAsia="楷体" w:cs="Times New Roman"/>
          <w:b/>
          <w:bCs/>
          <w:color w:val="auto"/>
          <w:sz w:val="36"/>
          <w:szCs w:val="28"/>
          <w:highlight w:val="none"/>
          <w:lang w:eastAsia="zh-CN"/>
        </w:rPr>
        <w:t>公示本</w:t>
      </w:r>
      <w:r>
        <w:rPr>
          <w:rFonts w:hint="default" w:ascii="Times New Roman" w:hAnsi="Times New Roman" w:eastAsia="楷体" w:cs="Times New Roman"/>
          <w:b/>
          <w:bCs/>
          <w:color w:val="auto"/>
          <w:sz w:val="36"/>
          <w:szCs w:val="28"/>
          <w:highlight w:val="none"/>
        </w:rPr>
        <w:t>）</w:t>
      </w:r>
      <w:r>
        <w:rPr>
          <w:rFonts w:hint="eastAsia" w:ascii="Times New Roman" w:hAnsi="Times New Roman" w:eastAsia="楷体" w:cs="Times New Roman"/>
          <w:b/>
          <w:bCs/>
          <w:color w:val="auto"/>
          <w:sz w:val="36"/>
          <w:szCs w:val="28"/>
          <w:highlight w:val="none"/>
          <w:lang w:val="en-US" w:eastAsia="zh-CN"/>
        </w:rPr>
        <w:t xml:space="preserve">  </w:t>
      </w:r>
    </w:p>
    <w:p w14:paraId="07DC8F9F">
      <w:pPr>
        <w:pStyle w:val="85"/>
        <w:ind w:firstLine="240"/>
        <w:jc w:val="center"/>
        <w:rPr>
          <w:rFonts w:hint="default" w:ascii="Times New Roman" w:hAnsi="Times New Roman" w:cs="Times New Roman"/>
          <w:color w:val="auto"/>
          <w:highlight w:val="none"/>
        </w:rPr>
      </w:pPr>
    </w:p>
    <w:p w14:paraId="6FF1350A">
      <w:pPr>
        <w:pStyle w:val="85"/>
        <w:ind w:firstLine="240"/>
        <w:jc w:val="center"/>
        <w:rPr>
          <w:rFonts w:hint="default" w:ascii="Times New Roman" w:hAnsi="Times New Roman" w:cs="Times New Roman"/>
          <w:color w:val="auto"/>
          <w:highlight w:val="none"/>
        </w:rPr>
      </w:pPr>
    </w:p>
    <w:p w14:paraId="49AF73D7">
      <w:pPr>
        <w:pStyle w:val="85"/>
        <w:ind w:firstLine="240"/>
        <w:jc w:val="center"/>
        <w:rPr>
          <w:rFonts w:hint="default" w:ascii="Times New Roman" w:hAnsi="Times New Roman" w:cs="Times New Roman"/>
          <w:color w:val="auto"/>
          <w:highlight w:val="none"/>
        </w:rPr>
      </w:pPr>
    </w:p>
    <w:p w14:paraId="3951FEA2">
      <w:pPr>
        <w:pStyle w:val="85"/>
        <w:ind w:firstLine="240"/>
        <w:jc w:val="center"/>
        <w:rPr>
          <w:rFonts w:hint="default" w:ascii="Times New Roman" w:hAnsi="Times New Roman" w:cs="Times New Roman"/>
          <w:color w:val="auto"/>
          <w:highlight w:val="none"/>
        </w:rPr>
      </w:pPr>
    </w:p>
    <w:p w14:paraId="19F616E1">
      <w:pPr>
        <w:pStyle w:val="85"/>
        <w:ind w:firstLine="240"/>
        <w:jc w:val="center"/>
        <w:rPr>
          <w:rFonts w:hint="default" w:ascii="Times New Roman" w:hAnsi="Times New Roman" w:cs="Times New Roman"/>
          <w:color w:val="auto"/>
          <w:highlight w:val="none"/>
        </w:rPr>
      </w:pPr>
    </w:p>
    <w:p w14:paraId="3D8BC5CC">
      <w:pPr>
        <w:pStyle w:val="85"/>
        <w:ind w:firstLine="240"/>
        <w:jc w:val="center"/>
        <w:rPr>
          <w:rFonts w:hint="default" w:ascii="Times New Roman" w:hAnsi="Times New Roman" w:cs="Times New Roman"/>
          <w:color w:val="auto"/>
          <w:highlight w:val="none"/>
        </w:rPr>
      </w:pPr>
    </w:p>
    <w:p w14:paraId="3F19A519">
      <w:pPr>
        <w:pStyle w:val="85"/>
        <w:ind w:firstLine="240"/>
        <w:jc w:val="center"/>
        <w:rPr>
          <w:rFonts w:hint="default" w:ascii="Times New Roman" w:hAnsi="Times New Roman" w:cs="Times New Roman"/>
          <w:color w:val="auto"/>
          <w:highlight w:val="none"/>
        </w:rPr>
      </w:pPr>
    </w:p>
    <w:p w14:paraId="2E85A7CA">
      <w:pPr>
        <w:spacing w:line="360" w:lineRule="auto"/>
        <w:ind w:firstLine="964" w:firstLineChars="300"/>
        <w:rPr>
          <w:rFonts w:hint="default" w:ascii="Times New Roman" w:hAnsi="Times New Roman" w:eastAsia="楷体" w:cs="Times New Roman"/>
          <w:b/>
          <w:bCs/>
          <w:color w:val="auto"/>
          <w:sz w:val="32"/>
          <w:highlight w:val="none"/>
        </w:rPr>
      </w:pPr>
      <w:r>
        <w:rPr>
          <w:rFonts w:hint="default" w:ascii="Times New Roman" w:hAnsi="Times New Roman" w:eastAsia="楷体" w:cs="Times New Roman"/>
          <w:b/>
          <w:bCs/>
          <w:color w:val="auto"/>
          <w:sz w:val="32"/>
          <w:highlight w:val="none"/>
        </w:rPr>
        <w:t>建设单位：广西自贸区临海融合投资建设有限公司</w:t>
      </w:r>
    </w:p>
    <w:p w14:paraId="09569D46">
      <w:pPr>
        <w:pStyle w:val="85"/>
        <w:ind w:firstLine="301"/>
        <w:jc w:val="center"/>
        <w:rPr>
          <w:rFonts w:hint="default" w:ascii="Times New Roman" w:hAnsi="Times New Roman" w:eastAsia="楷体" w:cs="Times New Roman"/>
          <w:b/>
          <w:bCs/>
          <w:color w:val="auto"/>
          <w:spacing w:val="-20"/>
          <w:kern w:val="10"/>
          <w:sz w:val="32"/>
          <w:highlight w:val="none"/>
        </w:rPr>
      </w:pPr>
    </w:p>
    <w:p w14:paraId="1F91F0BE">
      <w:pPr>
        <w:spacing w:line="360" w:lineRule="auto"/>
        <w:ind w:firstLine="964" w:firstLineChars="300"/>
        <w:jc w:val="both"/>
        <w:rPr>
          <w:rFonts w:hint="default" w:ascii="Times New Roman" w:hAnsi="Times New Roman" w:eastAsia="楷体" w:cs="Times New Roman"/>
          <w:b/>
          <w:bCs/>
          <w:color w:val="auto"/>
          <w:sz w:val="32"/>
          <w:highlight w:val="none"/>
        </w:rPr>
      </w:pPr>
      <w:r>
        <w:rPr>
          <w:rFonts w:hint="default" w:ascii="Times New Roman" w:hAnsi="Times New Roman" w:eastAsia="楷体" w:cs="Times New Roman"/>
          <w:b/>
          <w:bCs/>
          <w:color w:val="auto"/>
          <w:sz w:val="32"/>
          <w:highlight w:val="none"/>
        </w:rPr>
        <w:t>编制单位：广西</w:t>
      </w:r>
      <w:r>
        <w:rPr>
          <w:rFonts w:hint="default" w:ascii="Times New Roman" w:hAnsi="Times New Roman" w:eastAsia="楷体" w:cs="Times New Roman"/>
          <w:b/>
          <w:bCs/>
          <w:color w:val="auto"/>
          <w:sz w:val="32"/>
          <w:highlight w:val="none"/>
          <w:lang w:eastAsia="zh-CN"/>
        </w:rPr>
        <w:t>绿港</w:t>
      </w:r>
      <w:r>
        <w:rPr>
          <w:rFonts w:hint="default" w:ascii="Times New Roman" w:hAnsi="Times New Roman" w:eastAsia="楷体" w:cs="Times New Roman"/>
          <w:b/>
          <w:bCs/>
          <w:color w:val="auto"/>
          <w:sz w:val="32"/>
          <w:highlight w:val="none"/>
        </w:rPr>
        <w:t>环保科技有限公司</w:t>
      </w:r>
    </w:p>
    <w:p w14:paraId="50B05A9D">
      <w:pPr>
        <w:pStyle w:val="85"/>
        <w:ind w:firstLine="321"/>
        <w:jc w:val="center"/>
        <w:rPr>
          <w:rFonts w:hint="default" w:ascii="Times New Roman" w:hAnsi="Times New Roman" w:eastAsia="楷体" w:cs="Times New Roman"/>
          <w:b/>
          <w:bCs/>
          <w:color w:val="auto"/>
          <w:sz w:val="32"/>
          <w:highlight w:val="none"/>
        </w:rPr>
      </w:pPr>
    </w:p>
    <w:p w14:paraId="5D151E46">
      <w:pPr>
        <w:spacing w:line="360" w:lineRule="auto"/>
        <w:jc w:val="center"/>
        <w:rPr>
          <w:rFonts w:hint="default" w:ascii="Times New Roman" w:hAnsi="Times New Roman" w:cs="Times New Roman"/>
          <w:color w:val="auto"/>
          <w:highlight w:val="none"/>
          <w:shd w:val="clear" w:color="auto" w:fill="FFFF00"/>
        </w:rPr>
      </w:pPr>
      <w:r>
        <w:rPr>
          <w:rFonts w:hint="default" w:ascii="Times New Roman" w:hAnsi="Times New Roman" w:eastAsia="楷体" w:cs="Times New Roman"/>
          <w:b/>
          <w:bCs/>
          <w:color w:val="auto"/>
          <w:sz w:val="32"/>
          <w:highlight w:val="none"/>
        </w:rPr>
        <w:t>二</w:t>
      </w:r>
      <w:r>
        <w:rPr>
          <w:rFonts w:hint="eastAsia" w:ascii="Times New Roman" w:hAnsi="Times New Roman" w:eastAsia="楷体" w:cs="Times New Roman"/>
          <w:b/>
          <w:bCs/>
          <w:color w:val="auto"/>
          <w:sz w:val="32"/>
          <w:highlight w:val="none"/>
          <w:lang w:val="en-US" w:eastAsia="zh-CN"/>
        </w:rPr>
        <w:t>〇</w:t>
      </w:r>
      <w:r>
        <w:rPr>
          <w:rFonts w:hint="default" w:ascii="Times New Roman" w:hAnsi="Times New Roman" w:eastAsia="楷体" w:cs="Times New Roman"/>
          <w:b/>
          <w:bCs/>
          <w:color w:val="auto"/>
          <w:sz w:val="32"/>
          <w:highlight w:val="none"/>
        </w:rPr>
        <w:t>二</w:t>
      </w:r>
      <w:r>
        <w:rPr>
          <w:rFonts w:hint="default" w:ascii="Times New Roman" w:hAnsi="Times New Roman" w:eastAsia="楷体" w:cs="Times New Roman"/>
          <w:b/>
          <w:bCs/>
          <w:color w:val="auto"/>
          <w:sz w:val="32"/>
          <w:highlight w:val="none"/>
          <w:lang w:eastAsia="zh-CN"/>
        </w:rPr>
        <w:t>五</w:t>
      </w:r>
      <w:r>
        <w:rPr>
          <w:rFonts w:hint="default" w:ascii="Times New Roman" w:hAnsi="Times New Roman" w:eastAsia="楷体" w:cs="Times New Roman"/>
          <w:b/>
          <w:bCs/>
          <w:color w:val="auto"/>
          <w:sz w:val="32"/>
          <w:highlight w:val="none"/>
        </w:rPr>
        <w:t>年</w:t>
      </w:r>
      <w:r>
        <w:rPr>
          <w:rFonts w:hint="eastAsia" w:ascii="Times New Roman" w:hAnsi="Times New Roman" w:eastAsia="楷体" w:cs="Times New Roman"/>
          <w:b/>
          <w:bCs/>
          <w:color w:val="auto"/>
          <w:sz w:val="32"/>
          <w:highlight w:val="none"/>
          <w:lang w:val="en-US" w:eastAsia="zh-CN"/>
        </w:rPr>
        <w:t>五</w:t>
      </w:r>
      <w:r>
        <w:rPr>
          <w:rFonts w:hint="default" w:ascii="Times New Roman" w:hAnsi="Times New Roman" w:eastAsia="楷体" w:cs="Times New Roman"/>
          <w:b/>
          <w:bCs/>
          <w:color w:val="auto"/>
          <w:sz w:val="32"/>
          <w:highlight w:val="none"/>
        </w:rPr>
        <w:t>月</w:t>
      </w:r>
    </w:p>
    <w:p w14:paraId="583E7539">
      <w:pPr>
        <w:pStyle w:val="7"/>
        <w:ind w:firstLine="0" w:firstLineChars="0"/>
        <w:jc w:val="center"/>
        <w:rPr>
          <w:rFonts w:hint="default" w:ascii="Times New Roman" w:hAnsi="Times New Roman" w:cs="Times New Roman"/>
          <w:b/>
          <w:color w:val="auto"/>
          <w:kern w:val="0"/>
          <w:sz w:val="32"/>
          <w:szCs w:val="32"/>
          <w:highlight w:val="none"/>
        </w:rPr>
        <w:sectPr>
          <w:headerReference r:id="rId3" w:type="default"/>
          <w:footerReference r:id="rId4" w:type="default"/>
          <w:pgSz w:w="11906" w:h="16838"/>
          <w:pgMar w:top="1418" w:right="1514" w:bottom="1418" w:left="1780" w:header="1134" w:footer="992" w:gutter="0"/>
          <w:pgNumType w:fmt="upperRoman"/>
          <w:cols w:space="720" w:num="1"/>
          <w:docGrid w:type="lines" w:linePitch="466" w:charSpace="3406"/>
        </w:sectPr>
      </w:pPr>
    </w:p>
    <w:p w14:paraId="4CE872ED">
      <w:pPr>
        <w:jc w:val="center"/>
        <w:rPr>
          <w:rFonts w:hint="eastAsia"/>
          <w:b/>
          <w:bCs/>
          <w:color w:val="auto"/>
          <w:sz w:val="24"/>
          <w:szCs w:val="24"/>
          <w:highlight w:val="none"/>
          <w:lang w:eastAsia="zh-CN"/>
        </w:rPr>
      </w:pPr>
      <w:r>
        <w:rPr>
          <w:rFonts w:hint="eastAsia"/>
          <w:b/>
          <w:bCs/>
          <w:color w:val="auto"/>
          <w:sz w:val="40"/>
          <w:szCs w:val="40"/>
          <w:highlight w:val="none"/>
          <w:lang w:eastAsia="zh-CN"/>
        </w:rPr>
        <w:t>项目现场照片</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8"/>
      </w:tblGrid>
      <w:tr w14:paraId="63CAA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8" w:type="dxa"/>
            <w:noWrap w:val="0"/>
            <w:vAlign w:val="center"/>
          </w:tcPr>
          <w:p w14:paraId="4261B644">
            <w:pPr>
              <w:jc w:val="center"/>
              <w:rPr>
                <w:rFonts w:hint="eastAsia"/>
                <w:b/>
                <w:bCs/>
                <w:color w:val="auto"/>
                <w:sz w:val="24"/>
                <w:szCs w:val="24"/>
                <w:highlight w:val="none"/>
                <w:vertAlign w:val="baseline"/>
                <w:lang w:eastAsia="zh-CN"/>
              </w:rPr>
            </w:pPr>
            <w:r>
              <w:rPr>
                <w:color w:val="auto"/>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2425700</wp:posOffset>
                      </wp:positionH>
                      <wp:positionV relativeFrom="paragraph">
                        <wp:posOffset>1464945</wp:posOffset>
                      </wp:positionV>
                      <wp:extent cx="294005" cy="1652905"/>
                      <wp:effectExtent l="9525" t="1905" r="20320" b="2540"/>
                      <wp:wrapNone/>
                      <wp:docPr id="5" name="直线 1066"/>
                      <wp:cNvGraphicFramePr/>
                      <a:graphic xmlns:a="http://schemas.openxmlformats.org/drawingml/2006/main">
                        <a:graphicData uri="http://schemas.microsoft.com/office/word/2010/wordprocessingShape">
                          <wps:wsp>
                            <wps:cNvCnPr/>
                            <wps:spPr>
                              <a:xfrm flipV="1">
                                <a:off x="0" y="0"/>
                                <a:ext cx="294005" cy="1652905"/>
                              </a:xfrm>
                              <a:prstGeom prst="line">
                                <a:avLst/>
                              </a:prstGeom>
                              <a:ln w="19050" cap="flat" cmpd="sng">
                                <a:solidFill>
                                  <a:srgbClr val="FF0000"/>
                                </a:solidFill>
                                <a:prstDash val="solid"/>
                                <a:headEnd type="none" w="med" len="med"/>
                                <a:tailEnd type="none" w="med" len="med"/>
                              </a:ln>
                              <a:effectLst/>
                            </wps:spPr>
                            <wps:bodyPr upright="1"/>
                          </wps:wsp>
                        </a:graphicData>
                      </a:graphic>
                    </wp:anchor>
                  </w:drawing>
                </mc:Choice>
                <mc:Fallback>
                  <w:pict>
                    <v:line id="直线 1066" o:spid="_x0000_s1026" o:spt="20" style="position:absolute;left:0pt;flip:y;margin-left:191pt;margin-top:115.35pt;height:130.15pt;width:23.15pt;z-index:251663360;mso-width-relative:page;mso-height-relative:page;" filled="f" stroked="t" coordsize="21600,21600" o:gfxdata="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kb3XaAAAACwEAAA8AAAAAAAAAAQAgAAAAIgAAAGRycy9kb3ducmV2&#10;LnhtbFBLAQIUABQAAAAIAIdO4kAbCY5A+gEAAPwDAAAOAAAAAAAAAAEAIAAAACkBAABkcnMvZTJv&#10;RG9jLnhtbFBLBQYAAAAABgAGAFkBAACVBQAAAAA=&#10;">
                      <v:fill on="f" focussize="0,0"/>
                      <v:stroke weight="1.5pt" color="#FF0000" joinstyle="round"/>
                      <v:imagedata o:title=""/>
                      <o:lock v:ext="edit" aspectratio="f"/>
                    </v:line>
                  </w:pict>
                </mc:Fallback>
              </mc:AlternateContent>
            </w:r>
            <w:r>
              <w:rPr>
                <w:color w:val="auto"/>
                <w:sz w:val="24"/>
                <w:szCs w:val="24"/>
                <w:highlight w:val="none"/>
              </w:rPr>
              <mc:AlternateContent>
                <mc:Choice Requires="wps">
                  <w:drawing>
                    <wp:anchor distT="0" distB="0" distL="114300" distR="114300" simplePos="0" relativeHeight="251669504" behindDoc="0" locked="0" layoutInCell="1" allowOverlap="1">
                      <wp:simplePos x="0" y="0"/>
                      <wp:positionH relativeFrom="column">
                        <wp:posOffset>1068070</wp:posOffset>
                      </wp:positionH>
                      <wp:positionV relativeFrom="paragraph">
                        <wp:posOffset>1909445</wp:posOffset>
                      </wp:positionV>
                      <wp:extent cx="1344930" cy="316865"/>
                      <wp:effectExtent l="0" t="0" r="0" b="0"/>
                      <wp:wrapNone/>
                      <wp:docPr id="11" name="文本框 1062"/>
                      <wp:cNvGraphicFramePr/>
                      <a:graphic xmlns:a="http://schemas.openxmlformats.org/drawingml/2006/main">
                        <a:graphicData uri="http://schemas.microsoft.com/office/word/2010/wordprocessingShape">
                          <wps:wsp>
                            <wps:cNvSpPr txBox="1"/>
                            <wps:spPr>
                              <a:xfrm>
                                <a:off x="0" y="0"/>
                                <a:ext cx="1344930" cy="316865"/>
                              </a:xfrm>
                              <a:prstGeom prst="rect">
                                <a:avLst/>
                              </a:prstGeom>
                              <a:noFill/>
                              <a:ln>
                                <a:noFill/>
                              </a:ln>
                              <a:effectLst/>
                            </wps:spPr>
                            <wps:txbx>
                              <w:txbxContent>
                                <w:p w14:paraId="0452743B">
                                  <w:pPr>
                                    <w:rPr>
                                      <w:rFonts w:hint="eastAsia" w:ascii="Times New Roman" w:hAnsi="Times New Roman" w:eastAsia="宋体" w:cs="Times New Roman"/>
                                      <w:b w:val="0"/>
                                      <w:bCs w:val="0"/>
                                      <w:color w:val="000000"/>
                                      <w:sz w:val="24"/>
                                      <w:szCs w:val="32"/>
                                      <w:lang w:eastAsia="zh-CN"/>
                                    </w:rPr>
                                  </w:pPr>
                                  <w:r>
                                    <w:rPr>
                                      <w:rFonts w:hint="eastAsia" w:ascii="Times New Roman" w:hAnsi="Times New Roman" w:eastAsia="宋体" w:cs="Times New Roman"/>
                                      <w:b w:val="0"/>
                                      <w:bCs w:val="0"/>
                                      <w:color w:val="000000"/>
                                      <w:sz w:val="24"/>
                                      <w:szCs w:val="32"/>
                                      <w:lang w:eastAsia="zh-CN"/>
                                    </w:rPr>
                                    <w:t>敏感点大岭脚村</w:t>
                                  </w:r>
                                </w:p>
                              </w:txbxContent>
                            </wps:txbx>
                            <wps:bodyPr vert="horz" wrap="square" anchor="t" anchorCtr="0" upright="1"/>
                          </wps:wsp>
                        </a:graphicData>
                      </a:graphic>
                    </wp:anchor>
                  </w:drawing>
                </mc:Choice>
                <mc:Fallback>
                  <w:pict>
                    <v:shape id="文本框 1062" o:spid="_x0000_s1026" o:spt="202" type="#_x0000_t202" style="position:absolute;left:0pt;margin-left:84.1pt;margin-top:150.35pt;height:24.95pt;width:105.9pt;z-index:251669504;mso-width-relative:page;mso-height-relative:page;" filled="f" stroked="f" coordsize="21600,21600" o:gfxdata="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ImtSvWAAAACwEAAA8AAAAAAAAAAQAgAAAAIgAA&#10;AGRycy9kb3ducmV2LnhtbFBLAQIUABQAAAAIAIdO4kBd4BVk0QEAAJMDAAAOAAAAAAAAAAEAIAAA&#10;ACUBAABkcnMvZTJvRG9jLnhtbFBLBQYAAAAABgAGAFkBAABoBQAAAAA=&#10;">
                      <v:fill on="f" focussize="0,0"/>
                      <v:stroke on="f"/>
                      <v:imagedata o:title=""/>
                      <o:lock v:ext="edit" aspectratio="f"/>
                      <v:textbox>
                        <w:txbxContent>
                          <w:p w14:paraId="0452743B">
                            <w:pPr>
                              <w:rPr>
                                <w:rFonts w:hint="eastAsia" w:ascii="Times New Roman" w:hAnsi="Times New Roman" w:eastAsia="宋体" w:cs="Times New Roman"/>
                                <w:b w:val="0"/>
                                <w:bCs w:val="0"/>
                                <w:color w:val="000000"/>
                                <w:sz w:val="24"/>
                                <w:szCs w:val="32"/>
                                <w:lang w:eastAsia="zh-CN"/>
                              </w:rPr>
                            </w:pPr>
                            <w:r>
                              <w:rPr>
                                <w:rFonts w:hint="eastAsia" w:ascii="Times New Roman" w:hAnsi="Times New Roman" w:eastAsia="宋体" w:cs="Times New Roman"/>
                                <w:b w:val="0"/>
                                <w:bCs w:val="0"/>
                                <w:color w:val="000000"/>
                                <w:sz w:val="24"/>
                                <w:szCs w:val="32"/>
                                <w:lang w:eastAsia="zh-CN"/>
                              </w:rPr>
                              <w:t>敏感点大岭脚村</w:t>
                            </w:r>
                          </w:p>
                        </w:txbxContent>
                      </v:textbox>
                    </v:shape>
                  </w:pict>
                </mc:Fallback>
              </mc:AlternateContent>
            </w:r>
            <w:r>
              <w:rPr>
                <w:color w:val="auto"/>
                <w:sz w:val="24"/>
                <w:szCs w:val="24"/>
                <w:highlight w:val="none"/>
              </w:rPr>
              <mc:AlternateContent>
                <mc:Choice Requires="wps">
                  <w:drawing>
                    <wp:anchor distT="0" distB="0" distL="114300" distR="114300" simplePos="0" relativeHeight="251666432" behindDoc="0" locked="0" layoutInCell="1" allowOverlap="1">
                      <wp:simplePos x="0" y="0"/>
                      <wp:positionH relativeFrom="column">
                        <wp:posOffset>2834640</wp:posOffset>
                      </wp:positionH>
                      <wp:positionV relativeFrom="paragraph">
                        <wp:posOffset>950595</wp:posOffset>
                      </wp:positionV>
                      <wp:extent cx="1889760" cy="311150"/>
                      <wp:effectExtent l="0" t="0" r="15240" b="12700"/>
                      <wp:wrapNone/>
                      <wp:docPr id="8" name="文本框 1065"/>
                      <wp:cNvGraphicFramePr/>
                      <a:graphic xmlns:a="http://schemas.openxmlformats.org/drawingml/2006/main">
                        <a:graphicData uri="http://schemas.microsoft.com/office/word/2010/wordprocessingShape">
                          <wps:wsp>
                            <wps:cNvSpPr txBox="1"/>
                            <wps:spPr>
                              <a:xfrm>
                                <a:off x="0" y="0"/>
                                <a:ext cx="1889760" cy="311150"/>
                              </a:xfrm>
                              <a:prstGeom prst="rect">
                                <a:avLst/>
                              </a:prstGeom>
                              <a:solidFill>
                                <a:srgbClr val="FFFFFF">
                                  <a:alpha val="39999"/>
                                </a:srgbClr>
                              </a:solidFill>
                              <a:ln>
                                <a:noFill/>
                              </a:ln>
                              <a:effectLst/>
                            </wps:spPr>
                            <wps:txbx>
                              <w:txbxContent>
                                <w:p w14:paraId="4DF328ED">
                                  <w:pPr>
                                    <w:spacing w:line="240" w:lineRule="auto"/>
                                    <w:rPr>
                                      <w:rFonts w:hint="eastAsia" w:eastAsia="宋体"/>
                                      <w:b/>
                                      <w:bCs/>
                                      <w:color w:val="000000"/>
                                      <w:sz w:val="22"/>
                                      <w:szCs w:val="28"/>
                                      <w:lang w:eastAsia="zh-CN"/>
                                    </w:rPr>
                                  </w:pPr>
                                  <w:r>
                                    <w:rPr>
                                      <w:rFonts w:hint="eastAsia"/>
                                      <w:b/>
                                      <w:bCs/>
                                      <w:color w:val="000000"/>
                                      <w:sz w:val="22"/>
                                      <w:szCs w:val="28"/>
                                      <w:lang w:eastAsia="zh-CN"/>
                                    </w:rPr>
                                    <w:t>锦绣大道排水改造段起点</w:t>
                                  </w:r>
                                </w:p>
                              </w:txbxContent>
                            </wps:txbx>
                            <wps:bodyPr vert="horz" wrap="square" anchor="t" anchorCtr="0" upright="1"/>
                          </wps:wsp>
                        </a:graphicData>
                      </a:graphic>
                    </wp:anchor>
                  </w:drawing>
                </mc:Choice>
                <mc:Fallback>
                  <w:pict>
                    <v:shape id="文本框 1065" o:spid="_x0000_s1026" o:spt="202" type="#_x0000_t202" style="position:absolute;left:0pt;margin-left:223.2pt;margin-top:74.85pt;height:24.5pt;width:148.8pt;z-index:251666432;mso-width-relative:page;mso-height-relative:page;" fillcolor="#FFFFFF" filled="t" stroked="f" coordsize="21600,21600" o:gfxdata="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yPURLXAAAACwEAAA8AAAAAAAAAAQAgAAAAIgAAAGRycy9kb3ducmV2LnhtbFBLAQIU&#10;ABQAAAAIAIdO4kCGLVHh9AEAANwDAAAOAAAAAAAAAAEAIAAAACYBAABkcnMvZTJvRG9jLnhtbFBL&#10;BQYAAAAABgAGAFkBAACMBQAAAAA=&#10;">
                      <v:fill on="t" opacity="26213f" focussize="0,0"/>
                      <v:stroke on="f"/>
                      <v:imagedata o:title=""/>
                      <o:lock v:ext="edit" aspectratio="f"/>
                      <v:textbox>
                        <w:txbxContent>
                          <w:p w14:paraId="4DF328ED">
                            <w:pPr>
                              <w:spacing w:line="240" w:lineRule="auto"/>
                              <w:rPr>
                                <w:rFonts w:hint="eastAsia" w:eastAsia="宋体"/>
                                <w:b/>
                                <w:bCs/>
                                <w:color w:val="000000"/>
                                <w:sz w:val="22"/>
                                <w:szCs w:val="28"/>
                                <w:lang w:eastAsia="zh-CN"/>
                              </w:rPr>
                            </w:pPr>
                            <w:r>
                              <w:rPr>
                                <w:rFonts w:hint="eastAsia"/>
                                <w:b/>
                                <w:bCs/>
                                <w:color w:val="000000"/>
                                <w:sz w:val="22"/>
                                <w:szCs w:val="28"/>
                                <w:lang w:eastAsia="zh-CN"/>
                              </w:rPr>
                              <w:t>锦绣大道排水改造段起点</w:t>
                            </w:r>
                          </w:p>
                        </w:txbxContent>
                      </v:textbox>
                    </v:shape>
                  </w:pict>
                </mc:Fallback>
              </mc:AlternateContent>
            </w:r>
            <w:r>
              <w:rPr>
                <w:color w:val="auto"/>
                <w:sz w:val="24"/>
                <w:szCs w:val="24"/>
                <w:highlight w:val="none"/>
              </w:rPr>
              <mc:AlternateContent>
                <mc:Choice Requires="wps">
                  <w:drawing>
                    <wp:anchor distT="0" distB="0" distL="114300" distR="114300" simplePos="0" relativeHeight="251671552" behindDoc="0" locked="0" layoutInCell="1" allowOverlap="1">
                      <wp:simplePos x="0" y="0"/>
                      <wp:positionH relativeFrom="column">
                        <wp:posOffset>2857500</wp:posOffset>
                      </wp:positionH>
                      <wp:positionV relativeFrom="paragraph">
                        <wp:posOffset>1285875</wp:posOffset>
                      </wp:positionV>
                      <wp:extent cx="128270" cy="148590"/>
                      <wp:effectExtent l="0" t="6350" r="24130" b="16510"/>
                      <wp:wrapNone/>
                      <wp:docPr id="13" name="直线 1063"/>
                      <wp:cNvGraphicFramePr/>
                      <a:graphic xmlns:a="http://schemas.openxmlformats.org/drawingml/2006/main">
                        <a:graphicData uri="http://schemas.microsoft.com/office/word/2010/wordprocessingShape">
                          <wps:wsp>
                            <wps:cNvCnPr/>
                            <wps:spPr>
                              <a:xfrm flipH="1">
                                <a:off x="0" y="0"/>
                                <a:ext cx="128270" cy="148590"/>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直线 1063" o:spid="_x0000_s1026" o:spt="20" style="position:absolute;left:0pt;flip:x;margin-left:225pt;margin-top:101.25pt;height:11.7pt;width:10.1pt;z-index:251671552;mso-width-relative:page;mso-height-relative:page;" filled="f" stroked="t" coordsize="21600,21600" o:gfxdata="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4szPzYAAAACwEAAA8AAAAAAAAAAQAgAAAAIgAAAGRycy9k&#10;b3ducmV2LnhtbFBLAQIUABQAAAAIAIdO4kBc5JgQAgIAAP0DAAAOAAAAAAAAAAEAIAAAACcBAABk&#10;cnMvZTJvRG9jLnhtbFBLBQYAAAAABgAGAFkBAACbBQAAAAA=&#10;">
                      <v:fill on="f" focussize="0,0"/>
                      <v:stroke weight="1.5pt" color="#000000" joinstyle="round" endarrow="open"/>
                      <v:imagedata o:title=""/>
                      <o:lock v:ext="edit" aspectratio="f"/>
                    </v:line>
                  </w:pict>
                </mc:Fallback>
              </mc:AlternateContent>
            </w:r>
            <w:r>
              <w:rPr>
                <w:color w:val="auto"/>
                <w:sz w:val="24"/>
                <w:szCs w:val="24"/>
                <w:highlight w:val="none"/>
              </w:rPr>
              <mc:AlternateContent>
                <mc:Choice Requires="wps">
                  <w:drawing>
                    <wp:anchor distT="0" distB="0" distL="114300" distR="114300" simplePos="0" relativeHeight="251668480" behindDoc="0" locked="0" layoutInCell="1" allowOverlap="1">
                      <wp:simplePos x="0" y="0"/>
                      <wp:positionH relativeFrom="column">
                        <wp:posOffset>1111885</wp:posOffset>
                      </wp:positionH>
                      <wp:positionV relativeFrom="paragraph">
                        <wp:posOffset>1736725</wp:posOffset>
                      </wp:positionV>
                      <wp:extent cx="1381125" cy="730250"/>
                      <wp:effectExtent l="4445" t="4445" r="5080" b="8255"/>
                      <wp:wrapNone/>
                      <wp:docPr id="10" name="任意多边形 1064"/>
                      <wp:cNvGraphicFramePr/>
                      <a:graphic xmlns:a="http://schemas.openxmlformats.org/drawingml/2006/main">
                        <a:graphicData uri="http://schemas.microsoft.com/office/word/2010/wordprocessingShape">
                          <wps:wsp>
                            <wps:cNvSpPr/>
                            <wps:spPr>
                              <a:xfrm>
                                <a:off x="0" y="0"/>
                                <a:ext cx="1381125" cy="730250"/>
                              </a:xfrm>
                              <a:custGeom>
                                <a:avLst/>
                                <a:gdLst/>
                                <a:ahLst/>
                                <a:cxnLst/>
                                <a:pathLst>
                                  <a:path w="2175" h="1150">
                                    <a:moveTo>
                                      <a:pt x="0" y="663"/>
                                    </a:moveTo>
                                    <a:lnTo>
                                      <a:pt x="225" y="825"/>
                                    </a:lnTo>
                                    <a:lnTo>
                                      <a:pt x="637" y="813"/>
                                    </a:lnTo>
                                    <a:lnTo>
                                      <a:pt x="875" y="925"/>
                                    </a:lnTo>
                                    <a:lnTo>
                                      <a:pt x="1012" y="1150"/>
                                    </a:lnTo>
                                    <a:lnTo>
                                      <a:pt x="1162" y="1050"/>
                                    </a:lnTo>
                                    <a:lnTo>
                                      <a:pt x="1275" y="1088"/>
                                    </a:lnTo>
                                    <a:lnTo>
                                      <a:pt x="1512" y="1113"/>
                                    </a:lnTo>
                                    <a:lnTo>
                                      <a:pt x="1800" y="1063"/>
                                    </a:lnTo>
                                    <a:lnTo>
                                      <a:pt x="1800" y="875"/>
                                    </a:lnTo>
                                    <a:lnTo>
                                      <a:pt x="2137" y="838"/>
                                    </a:lnTo>
                                    <a:lnTo>
                                      <a:pt x="2175" y="688"/>
                                    </a:lnTo>
                                    <a:lnTo>
                                      <a:pt x="2000" y="575"/>
                                    </a:lnTo>
                                    <a:lnTo>
                                      <a:pt x="1912" y="313"/>
                                    </a:lnTo>
                                    <a:lnTo>
                                      <a:pt x="1837" y="113"/>
                                    </a:lnTo>
                                    <a:lnTo>
                                      <a:pt x="1537" y="0"/>
                                    </a:lnTo>
                                    <a:lnTo>
                                      <a:pt x="1375" y="50"/>
                                    </a:lnTo>
                                    <a:lnTo>
                                      <a:pt x="1400" y="175"/>
                                    </a:lnTo>
                                    <a:lnTo>
                                      <a:pt x="1200" y="200"/>
                                    </a:lnTo>
                                    <a:lnTo>
                                      <a:pt x="975" y="75"/>
                                    </a:lnTo>
                                    <a:lnTo>
                                      <a:pt x="850" y="125"/>
                                    </a:lnTo>
                                    <a:lnTo>
                                      <a:pt x="875" y="238"/>
                                    </a:lnTo>
                                    <a:lnTo>
                                      <a:pt x="475" y="238"/>
                                    </a:lnTo>
                                    <a:lnTo>
                                      <a:pt x="450" y="363"/>
                                    </a:lnTo>
                                    <a:lnTo>
                                      <a:pt x="125" y="400"/>
                                    </a:lnTo>
                                    <a:lnTo>
                                      <a:pt x="0" y="663"/>
                                    </a:lnTo>
                                    <a:close/>
                                  </a:path>
                                </a:pathLst>
                              </a:custGeom>
                              <a:solidFill>
                                <a:srgbClr val="EBF1DE">
                                  <a:alpha val="50000"/>
                                </a:srgbClr>
                              </a:solidFill>
                              <a:ln w="9525" cap="flat" cmpd="sng">
                                <a:solidFill>
                                  <a:srgbClr val="EBF1DE"/>
                                </a:solidFill>
                                <a:prstDash val="solid"/>
                                <a:headEnd type="none" w="med" len="med"/>
                                <a:tailEnd type="none" w="med" len="med"/>
                              </a:ln>
                              <a:effectLst/>
                            </wps:spPr>
                            <wps:bodyPr vert="horz" wrap="square" anchor="t" anchorCtr="0" upright="1"/>
                          </wps:wsp>
                        </a:graphicData>
                      </a:graphic>
                    </wp:anchor>
                  </w:drawing>
                </mc:Choice>
                <mc:Fallback>
                  <w:pict>
                    <v:shape id="任意多边形 1064" o:spid="_x0000_s1026" o:spt="100" style="position:absolute;left:0pt;margin-left:87.55pt;margin-top:136.75pt;height:57.5pt;width:108.75pt;z-index:251668480;mso-width-relative:page;mso-height-relative:page;" fillcolor="#EBF1DE" filled="t" stroked="t" coordsize="2175,1150" o:gfxdata="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" path="m0,663l225,825,637,813,875,925,1012,1150,1162,1050,1275,1088,1512,1113,1800,1063,1800,875,2137,838,2175,688,2000,575,1912,313,1837,113,1537,0,1375,50,1400,175,1200,200,975,75,850,125,875,238,475,238,450,363,125,400,0,663xe">
                      <v:fill on="t" opacity="32768f" focussize="0,0"/>
                      <v:stroke color="#EBF1DE" joinstyle="round"/>
                      <v:imagedata o:title=""/>
                      <o:lock v:ext="edit" aspectratio="f"/>
                    </v:shape>
                  </w:pict>
                </mc:Fallback>
              </mc:AlternateContent>
            </w:r>
            <w:r>
              <w:rPr>
                <w:rFonts w:hint="eastAsia" w:ascii="Times New Roman" w:hAnsi="Times New Roman" w:eastAsia="仿宋_GB2312" w:cs="Times New Roman"/>
                <w:b/>
                <w:bCs/>
                <w:color w:val="auto"/>
                <w:sz w:val="24"/>
                <w:szCs w:val="24"/>
                <w:highlight w:val="none"/>
                <w:vertAlign w:val="baseline"/>
                <w:lang w:eastAsia="zh-CN"/>
              </w:rPr>
              <w:drawing>
                <wp:inline distT="0" distB="0" distL="114300" distR="114300">
                  <wp:extent cx="5564505" cy="3130550"/>
                  <wp:effectExtent l="0" t="0" r="17145" b="12700"/>
                  <wp:docPr id="28" name="图片 344" descr="cd0a5ed76fb8a9a614afeb91884ce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44" descr="cd0a5ed76fb8a9a614afeb91884ceb5"/>
                          <pic:cNvPicPr>
                            <a:picLocks noChangeAspect="1"/>
                          </pic:cNvPicPr>
                        </pic:nvPicPr>
                        <pic:blipFill>
                          <a:blip r:embed="rId19"/>
                          <a:stretch>
                            <a:fillRect/>
                          </a:stretch>
                        </pic:blipFill>
                        <pic:spPr>
                          <a:xfrm>
                            <a:off x="0" y="0"/>
                            <a:ext cx="5564505" cy="3130550"/>
                          </a:xfrm>
                          <a:prstGeom prst="rect">
                            <a:avLst/>
                          </a:prstGeom>
                          <a:noFill/>
                          <a:ln>
                            <a:noFill/>
                          </a:ln>
                        </pic:spPr>
                      </pic:pic>
                    </a:graphicData>
                  </a:graphic>
                </wp:inline>
              </w:drawing>
            </w:r>
          </w:p>
        </w:tc>
      </w:tr>
      <w:tr w14:paraId="090A3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8" w:type="dxa"/>
            <w:noWrap w:val="0"/>
            <w:vAlign w:val="center"/>
          </w:tcPr>
          <w:p w14:paraId="1B46AB56">
            <w:pPr>
              <w:jc w:val="center"/>
              <w:rPr>
                <w:rFonts w:hint="eastAsia"/>
                <w:b/>
                <w:bCs/>
                <w:color w:val="auto"/>
                <w:sz w:val="24"/>
                <w:szCs w:val="24"/>
                <w:highlight w:val="none"/>
                <w:vertAlign w:val="baseline"/>
                <w:lang w:eastAsia="zh-CN"/>
              </w:rPr>
            </w:pPr>
            <w:r>
              <w:rPr>
                <w:rFonts w:hint="eastAsia" w:ascii="Times New Roman" w:hAnsi="Times New Roman" w:eastAsia="仿宋_GB2312" w:cs="Times New Roman"/>
                <w:b/>
                <w:bCs/>
                <w:color w:val="auto"/>
                <w:sz w:val="32"/>
                <w:szCs w:val="32"/>
                <w:highlight w:val="none"/>
                <w:lang w:val="en-US" w:eastAsia="zh-CN"/>
              </w:rPr>
              <w:t>敏感点大岭脚村</w:t>
            </w:r>
          </w:p>
        </w:tc>
      </w:tr>
      <w:tr w14:paraId="2296F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8" w:type="dxa"/>
            <w:noWrap w:val="0"/>
            <w:vAlign w:val="center"/>
          </w:tcPr>
          <w:p w14:paraId="28C4F6E7">
            <w:pPr>
              <w:jc w:val="center"/>
              <w:rPr>
                <w:rFonts w:hint="eastAsia"/>
                <w:b/>
                <w:bCs/>
                <w:color w:val="auto"/>
                <w:sz w:val="24"/>
                <w:szCs w:val="24"/>
                <w:highlight w:val="none"/>
                <w:vertAlign w:val="baseline"/>
                <w:lang w:eastAsia="zh-CN"/>
              </w:rPr>
            </w:pPr>
            <w:r>
              <w:rPr>
                <w:color w:val="auto"/>
                <w:sz w:val="24"/>
                <w:szCs w:val="24"/>
                <w:highlight w:val="none"/>
              </w:rPr>
              <mc:AlternateContent>
                <mc:Choice Requires="wps">
                  <w:drawing>
                    <wp:anchor distT="0" distB="0" distL="114300" distR="114300" simplePos="0" relativeHeight="251670528" behindDoc="0" locked="0" layoutInCell="1" allowOverlap="1">
                      <wp:simplePos x="0" y="0"/>
                      <wp:positionH relativeFrom="column">
                        <wp:posOffset>3721735</wp:posOffset>
                      </wp:positionH>
                      <wp:positionV relativeFrom="paragraph">
                        <wp:posOffset>1282065</wp:posOffset>
                      </wp:positionV>
                      <wp:extent cx="1785620" cy="358775"/>
                      <wp:effectExtent l="0" t="0" r="5080" b="3175"/>
                      <wp:wrapNone/>
                      <wp:docPr id="12" name="文本框 1068"/>
                      <wp:cNvGraphicFramePr/>
                      <a:graphic xmlns:a="http://schemas.openxmlformats.org/drawingml/2006/main">
                        <a:graphicData uri="http://schemas.microsoft.com/office/word/2010/wordprocessingShape">
                          <wps:wsp>
                            <wps:cNvSpPr txBox="1"/>
                            <wps:spPr>
                              <a:xfrm>
                                <a:off x="0" y="0"/>
                                <a:ext cx="1785620" cy="358775"/>
                              </a:xfrm>
                              <a:prstGeom prst="rect">
                                <a:avLst/>
                              </a:prstGeom>
                              <a:solidFill>
                                <a:srgbClr val="FFFFFF">
                                  <a:alpha val="39999"/>
                                </a:srgbClr>
                              </a:solidFill>
                              <a:ln>
                                <a:noFill/>
                              </a:ln>
                              <a:effectLst/>
                            </wps:spPr>
                            <wps:txbx>
                              <w:txbxContent>
                                <w:p w14:paraId="57A7D5CB">
                                  <w:pPr>
                                    <w:rPr>
                                      <w:rFonts w:hint="eastAsia" w:eastAsia="宋体"/>
                                      <w:b/>
                                      <w:bCs/>
                                      <w:color w:val="000000"/>
                                      <w:sz w:val="22"/>
                                      <w:szCs w:val="28"/>
                                      <w:lang w:eastAsia="zh-CN"/>
                                    </w:rPr>
                                  </w:pPr>
                                  <w:r>
                                    <w:rPr>
                                      <w:rFonts w:hint="eastAsia"/>
                                      <w:b/>
                                      <w:bCs/>
                                      <w:color w:val="000000"/>
                                      <w:sz w:val="22"/>
                                      <w:szCs w:val="28"/>
                                      <w:lang w:eastAsia="zh-CN"/>
                                    </w:rPr>
                                    <w:t>锦绣大道排水改造段终点</w:t>
                                  </w:r>
                                </w:p>
                              </w:txbxContent>
                            </wps:txbx>
                            <wps:bodyPr vert="horz" wrap="square" anchor="t" anchorCtr="0" upright="1"/>
                          </wps:wsp>
                        </a:graphicData>
                      </a:graphic>
                    </wp:anchor>
                  </w:drawing>
                </mc:Choice>
                <mc:Fallback>
                  <w:pict>
                    <v:shape id="文本框 1068" o:spid="_x0000_s1026" o:spt="202" type="#_x0000_t202" style="position:absolute;left:0pt;margin-left:293.05pt;margin-top:100.95pt;height:28.25pt;width:140.6pt;z-index:251670528;mso-width-relative:page;mso-height-relative:page;" fillcolor="#FFFFFF" filled="t" stroked="f" coordsize="21600,21600" o:gfxdata="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lYfg/2QAAAAsBAAAPAAAAAAAAAAEAIAAAACIAAABkcnMvZG93bnJldi54bWxQSwEC&#10;FAAUAAAACACHTuJApIksPfMBAADdAwAADgAAAAAAAAABACAAAAAoAQAAZHJzL2Uyb0RvYy54bWxQ&#10;SwUGAAAAAAYABgBZAQAAjQUAAAAA&#10;">
                      <v:fill on="t" opacity="26213f" focussize="0,0"/>
                      <v:stroke on="f"/>
                      <v:imagedata o:title=""/>
                      <o:lock v:ext="edit" aspectratio="f"/>
                      <v:textbox>
                        <w:txbxContent>
                          <w:p w14:paraId="57A7D5CB">
                            <w:pPr>
                              <w:rPr>
                                <w:rFonts w:hint="eastAsia" w:eastAsia="宋体"/>
                                <w:b/>
                                <w:bCs/>
                                <w:color w:val="000000"/>
                                <w:sz w:val="22"/>
                                <w:szCs w:val="28"/>
                                <w:lang w:eastAsia="zh-CN"/>
                              </w:rPr>
                            </w:pPr>
                            <w:r>
                              <w:rPr>
                                <w:rFonts w:hint="eastAsia"/>
                                <w:b/>
                                <w:bCs/>
                                <w:color w:val="000000"/>
                                <w:sz w:val="22"/>
                                <w:szCs w:val="28"/>
                                <w:lang w:eastAsia="zh-CN"/>
                              </w:rPr>
                              <w:t>锦绣大道排水改造段终点</w:t>
                            </w:r>
                          </w:p>
                        </w:txbxContent>
                      </v:textbox>
                    </v:shape>
                  </w:pict>
                </mc:Fallback>
              </mc:AlternateContent>
            </w:r>
            <w:r>
              <w:rPr>
                <w:color w:val="auto"/>
                <w:sz w:val="24"/>
                <w:szCs w:val="24"/>
                <w:highlight w:val="none"/>
              </w:rPr>
              <mc:AlternateContent>
                <mc:Choice Requires="wps">
                  <w:drawing>
                    <wp:anchor distT="0" distB="0" distL="114300" distR="114300" simplePos="0" relativeHeight="251667456" behindDoc="0" locked="0" layoutInCell="1" allowOverlap="1">
                      <wp:simplePos x="0" y="0"/>
                      <wp:positionH relativeFrom="column">
                        <wp:posOffset>4333875</wp:posOffset>
                      </wp:positionH>
                      <wp:positionV relativeFrom="paragraph">
                        <wp:posOffset>1013460</wp:posOffset>
                      </wp:positionV>
                      <wp:extent cx="135890" cy="223520"/>
                      <wp:effectExtent l="0" t="0" r="16510" b="5080"/>
                      <wp:wrapNone/>
                      <wp:docPr id="9" name="直线 1067"/>
                      <wp:cNvGraphicFramePr/>
                      <a:graphic xmlns:a="http://schemas.openxmlformats.org/drawingml/2006/main">
                        <a:graphicData uri="http://schemas.microsoft.com/office/word/2010/wordprocessingShape">
                          <wps:wsp>
                            <wps:cNvCnPr/>
                            <wps:spPr>
                              <a:xfrm flipH="1" flipV="1">
                                <a:off x="0" y="0"/>
                                <a:ext cx="135890" cy="223520"/>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直线 1067" o:spid="_x0000_s1026" o:spt="20" style="position:absolute;left:0pt;flip:x y;margin-left:341.25pt;margin-top:79.8pt;height:17.6pt;width:10.7pt;z-index:251667456;mso-width-relative:page;mso-height-relative:page;" filled="f" stroked="t" coordsize="21600,21600" o:gfxdata="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udeVNgAAAALAQAADwAAAAAAAAABACAAAAAiAAAA&#10;ZHJzL2Rvd25yZXYueG1sUEsBAhQAFAAAAAgAh07iQLxAiu4HAgAABgQAAA4AAAAAAAAAAQAgAAAA&#10;JwEAAGRycy9lMm9Eb2MueG1sUEsFBgAAAAAGAAYAWQEAAKAFAAAAAA==&#10;">
                      <v:fill on="f" focussize="0,0"/>
                      <v:stroke weight="1.5pt" color="#000000" joinstyle="round" endarrow="open"/>
                      <v:imagedata o:title=""/>
                      <o:lock v:ext="edit" aspectratio="f"/>
                    </v:line>
                  </w:pict>
                </mc:Fallback>
              </mc:AlternateContent>
            </w:r>
            <w:r>
              <w:rPr>
                <w:color w:val="auto"/>
                <w:sz w:val="24"/>
                <w:szCs w:val="24"/>
                <w:highlight w:val="none"/>
              </w:rPr>
              <mc:AlternateContent>
                <mc:Choice Requires="wps">
                  <w:drawing>
                    <wp:anchor distT="0" distB="0" distL="114300" distR="114300" simplePos="0" relativeHeight="251665408" behindDoc="0" locked="0" layoutInCell="1" allowOverlap="1">
                      <wp:simplePos x="0" y="0"/>
                      <wp:positionH relativeFrom="column">
                        <wp:posOffset>1781175</wp:posOffset>
                      </wp:positionH>
                      <wp:positionV relativeFrom="paragraph">
                        <wp:posOffset>847090</wp:posOffset>
                      </wp:positionV>
                      <wp:extent cx="2129790" cy="1082675"/>
                      <wp:effectExtent l="4445" t="8255" r="18415" b="13970"/>
                      <wp:wrapNone/>
                      <wp:docPr id="7" name="直线 1069"/>
                      <wp:cNvGraphicFramePr/>
                      <a:graphic xmlns:a="http://schemas.openxmlformats.org/drawingml/2006/main">
                        <a:graphicData uri="http://schemas.microsoft.com/office/word/2010/wordprocessingShape">
                          <wps:wsp>
                            <wps:cNvCnPr/>
                            <wps:spPr>
                              <a:xfrm flipV="1">
                                <a:off x="0" y="0"/>
                                <a:ext cx="2129790" cy="1082675"/>
                              </a:xfrm>
                              <a:prstGeom prst="line">
                                <a:avLst/>
                              </a:prstGeom>
                              <a:ln w="19050" cap="flat" cmpd="sng">
                                <a:solidFill>
                                  <a:srgbClr val="FF0000"/>
                                </a:solidFill>
                                <a:prstDash val="solid"/>
                                <a:headEnd type="none" w="med" len="med"/>
                                <a:tailEnd type="none" w="med" len="med"/>
                              </a:ln>
                              <a:effectLst/>
                            </wps:spPr>
                            <wps:bodyPr upright="1"/>
                          </wps:wsp>
                        </a:graphicData>
                      </a:graphic>
                    </wp:anchor>
                  </w:drawing>
                </mc:Choice>
                <mc:Fallback>
                  <w:pict>
                    <v:line id="直线 1069" o:spid="_x0000_s1026" o:spt="20" style="position:absolute;left:0pt;flip:y;margin-left:140.25pt;margin-top:66.7pt;height:85.25pt;width:167.7pt;z-index:251665408;mso-width-relative:page;mso-height-relative:page;" filled="f" stroked="t" coordsize="21600,21600" o:gfxdata="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WYNSNoAAAALAQAADwAAAAAAAAABACAAAAAiAAAAZHJzL2Rvd25y&#10;ZXYueG1sUEsBAhQAFAAAAAgAh07iQGPZh0n8AQAA/QMAAA4AAAAAAAAAAQAgAAAAKQEAAGRycy9l&#10;Mm9Eb2MueG1sUEsFBgAAAAAGAAYAWQEAAJcFAAAAAA==&#10;">
                      <v:fill on="f" focussize="0,0"/>
                      <v:stroke weight="1.5pt" color="#FF0000" joinstyle="round"/>
                      <v:imagedata o:title=""/>
                      <o:lock v:ext="edit" aspectratio="f"/>
                    </v:line>
                  </w:pict>
                </mc:Fallback>
              </mc:AlternateContent>
            </w:r>
            <w:r>
              <w:rPr>
                <w:color w:val="auto"/>
                <w:sz w:val="24"/>
                <w:szCs w:val="24"/>
                <w:highlight w:val="none"/>
              </w:rPr>
              <mc:AlternateContent>
                <mc:Choice Requires="wps">
                  <w:drawing>
                    <wp:anchor distT="0" distB="0" distL="114300" distR="114300" simplePos="0" relativeHeight="251664384" behindDoc="0" locked="0" layoutInCell="1" allowOverlap="1">
                      <wp:simplePos x="0" y="0"/>
                      <wp:positionH relativeFrom="column">
                        <wp:posOffset>2248535</wp:posOffset>
                      </wp:positionH>
                      <wp:positionV relativeFrom="paragraph">
                        <wp:posOffset>1002665</wp:posOffset>
                      </wp:positionV>
                      <wp:extent cx="2129790" cy="1082675"/>
                      <wp:effectExtent l="4445" t="8255" r="18415" b="13970"/>
                      <wp:wrapNone/>
                      <wp:docPr id="6" name="直线 1070"/>
                      <wp:cNvGraphicFramePr/>
                      <a:graphic xmlns:a="http://schemas.openxmlformats.org/drawingml/2006/main">
                        <a:graphicData uri="http://schemas.microsoft.com/office/word/2010/wordprocessingShape">
                          <wps:wsp>
                            <wps:cNvCnPr/>
                            <wps:spPr>
                              <a:xfrm flipV="1">
                                <a:off x="0" y="0"/>
                                <a:ext cx="2129790" cy="1082675"/>
                              </a:xfrm>
                              <a:prstGeom prst="line">
                                <a:avLst/>
                              </a:prstGeom>
                              <a:ln w="19050" cap="flat" cmpd="sng">
                                <a:solidFill>
                                  <a:srgbClr val="FF0000"/>
                                </a:solidFill>
                                <a:prstDash val="solid"/>
                                <a:headEnd type="none" w="med" len="med"/>
                                <a:tailEnd type="none" w="med" len="med"/>
                              </a:ln>
                              <a:effectLst/>
                            </wps:spPr>
                            <wps:bodyPr upright="1"/>
                          </wps:wsp>
                        </a:graphicData>
                      </a:graphic>
                    </wp:anchor>
                  </w:drawing>
                </mc:Choice>
                <mc:Fallback>
                  <w:pict>
                    <v:line id="直线 1070" o:spid="_x0000_s1026" o:spt="20" style="position:absolute;left:0pt;flip:y;margin-left:177.05pt;margin-top:78.95pt;height:85.25pt;width:167.7pt;z-index:251664384;mso-width-relative:page;mso-height-relative:page;" filled="f" stroked="t" coordsize="21600,21600" o:gfxdata="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5V6xi2gAAAAsBAAAPAAAAAAAAAAEAIAAAACIAAABkcnMvZG93bnJl&#10;di54bWxQSwECFAAUAAAACACHTuJAXS0utPsBAAD9AwAADgAAAAAAAAABACAAAAApAQAAZHJzL2Uy&#10;b0RvYy54bWxQSwUGAAAAAAYABgBZAQAAlgUAAAAA&#10;">
                      <v:fill on="f" focussize="0,0"/>
                      <v:stroke weight="1.5pt" color="#FF0000" joinstyle="round"/>
                      <v:imagedata o:title=""/>
                      <o:lock v:ext="edit" aspectratio="f"/>
                    </v:line>
                  </w:pict>
                </mc:Fallback>
              </mc:AlternateContent>
            </w:r>
            <w:r>
              <w:rPr>
                <w:rFonts w:hint="eastAsia" w:ascii="Times New Roman" w:hAnsi="Times New Roman" w:eastAsia="仿宋_GB2312" w:cs="Times New Roman"/>
                <w:b/>
                <w:bCs/>
                <w:color w:val="auto"/>
                <w:sz w:val="24"/>
                <w:szCs w:val="24"/>
                <w:highlight w:val="none"/>
                <w:vertAlign w:val="baseline"/>
                <w:lang w:eastAsia="zh-CN"/>
              </w:rPr>
              <w:drawing>
                <wp:inline distT="0" distB="0" distL="114300" distR="114300">
                  <wp:extent cx="5694680" cy="3204210"/>
                  <wp:effectExtent l="0" t="0" r="1270" b="15240"/>
                  <wp:docPr id="29" name="图片 345" descr="05968133912fa923e2bd6e6571fde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45" descr="05968133912fa923e2bd6e6571fdec6"/>
                          <pic:cNvPicPr>
                            <a:picLocks noChangeAspect="1"/>
                          </pic:cNvPicPr>
                        </pic:nvPicPr>
                        <pic:blipFill>
                          <a:blip r:embed="rId20"/>
                          <a:stretch>
                            <a:fillRect/>
                          </a:stretch>
                        </pic:blipFill>
                        <pic:spPr>
                          <a:xfrm>
                            <a:off x="0" y="0"/>
                            <a:ext cx="5694680" cy="3204210"/>
                          </a:xfrm>
                          <a:prstGeom prst="rect">
                            <a:avLst/>
                          </a:prstGeom>
                          <a:noFill/>
                          <a:ln>
                            <a:noFill/>
                          </a:ln>
                        </pic:spPr>
                      </pic:pic>
                    </a:graphicData>
                  </a:graphic>
                </wp:inline>
              </w:drawing>
            </w:r>
          </w:p>
        </w:tc>
      </w:tr>
      <w:tr w14:paraId="539D9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8" w:type="dxa"/>
            <w:noWrap w:val="0"/>
            <w:vAlign w:val="center"/>
          </w:tcPr>
          <w:p w14:paraId="04DB8AD0">
            <w:pPr>
              <w:jc w:val="center"/>
              <w:rPr>
                <w:rFonts w:hint="eastAsia" w:ascii="Times New Roman" w:hAnsi="Times New Roman" w:eastAsia="仿宋_GB2312" w:cs="Times New Roman"/>
                <w:b/>
                <w:bCs/>
                <w:color w:val="auto"/>
                <w:sz w:val="24"/>
                <w:szCs w:val="24"/>
                <w:highlight w:val="none"/>
                <w:vertAlign w:val="baseline"/>
                <w:lang w:eastAsia="zh-CN"/>
              </w:rPr>
            </w:pPr>
            <w:r>
              <w:rPr>
                <w:rFonts w:hint="eastAsia" w:ascii="Times New Roman" w:hAnsi="Times New Roman" w:eastAsia="仿宋_GB2312" w:cs="Times New Roman"/>
                <w:b/>
                <w:bCs/>
                <w:color w:val="auto"/>
                <w:sz w:val="32"/>
                <w:szCs w:val="32"/>
                <w:highlight w:val="none"/>
                <w:lang w:val="en-US" w:eastAsia="zh-CN"/>
              </w:rPr>
              <w:t>锦绣大道排水改造段</w:t>
            </w:r>
          </w:p>
        </w:tc>
      </w:tr>
      <w:tr w14:paraId="4C4F3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8" w:type="dxa"/>
            <w:noWrap w:val="0"/>
            <w:vAlign w:val="center"/>
          </w:tcPr>
          <w:p w14:paraId="0C67EBD2">
            <w:pPr>
              <w:jc w:val="center"/>
              <w:rPr>
                <w:rFonts w:hint="eastAsia" w:ascii="Times New Roman" w:hAnsi="Times New Roman" w:eastAsia="仿宋_GB2312" w:cs="Times New Roman"/>
                <w:b/>
                <w:bCs/>
                <w:color w:val="auto"/>
                <w:sz w:val="24"/>
                <w:szCs w:val="24"/>
                <w:highlight w:val="none"/>
                <w:vertAlign w:val="baseline"/>
                <w:lang w:eastAsia="zh-CN"/>
              </w:rPr>
            </w:pPr>
            <w:r>
              <w:rPr>
                <w:color w:val="auto"/>
                <w:sz w:val="24"/>
                <w:szCs w:val="24"/>
                <w:highlight w:val="none"/>
              </w:rPr>
              <mc:AlternateContent>
                <mc:Choice Requires="wps">
                  <w:drawing>
                    <wp:anchor distT="0" distB="0" distL="114300" distR="114300" simplePos="0" relativeHeight="251683840" behindDoc="0" locked="0" layoutInCell="1" allowOverlap="1">
                      <wp:simplePos x="0" y="0"/>
                      <wp:positionH relativeFrom="column">
                        <wp:posOffset>1680210</wp:posOffset>
                      </wp:positionH>
                      <wp:positionV relativeFrom="paragraph">
                        <wp:posOffset>969645</wp:posOffset>
                      </wp:positionV>
                      <wp:extent cx="774065" cy="354965"/>
                      <wp:effectExtent l="0" t="0" r="0" b="0"/>
                      <wp:wrapNone/>
                      <wp:docPr id="62" name="文本框 62"/>
                      <wp:cNvGraphicFramePr/>
                      <a:graphic xmlns:a="http://schemas.openxmlformats.org/drawingml/2006/main">
                        <a:graphicData uri="http://schemas.microsoft.com/office/word/2010/wordprocessingShape">
                          <wps:wsp>
                            <wps:cNvSpPr txBox="1"/>
                            <wps:spPr>
                              <a:xfrm rot="21420000">
                                <a:off x="3086735" y="2043430"/>
                                <a:ext cx="774065" cy="354965"/>
                              </a:xfrm>
                              <a:prstGeom prst="rect">
                                <a:avLst/>
                              </a:prstGeom>
                              <a:noFill/>
                              <a:ln w="6350">
                                <a:noFill/>
                              </a:ln>
                              <a:effectLst/>
                            </wps:spPr>
                            <wps:txbx>
                              <w:txbxContent>
                                <w:p w14:paraId="5BEA00A1">
                                  <w:pPr>
                                    <w:rPr>
                                      <w:rFonts w:hint="default" w:eastAsia="宋体"/>
                                      <w:b/>
                                      <w:bCs/>
                                      <w:color w:val="0000FF"/>
                                      <w:sz w:val="18"/>
                                      <w:szCs w:val="13"/>
                                      <w:lang w:val="en-US" w:eastAsia="zh-CN"/>
                                    </w:rPr>
                                  </w:pPr>
                                  <w:r>
                                    <w:rPr>
                                      <w:rFonts w:hint="eastAsia"/>
                                      <w:b/>
                                      <w:bCs/>
                                      <w:sz w:val="18"/>
                                      <w:szCs w:val="13"/>
                                      <w:lang w:val="en-US" w:eastAsia="zh-CN"/>
                                    </w:rPr>
                                    <w:t>临时中转场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3pt;margin-top:76.35pt;height:27.95pt;width:60.95pt;rotation:-196608f;z-index:251683840;mso-width-relative:page;mso-height-relative:page;" filled="f" stroked="f" coordsize="21600,21600" o:gfxdata="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aZRX52gAA&#10;AAsBAAAPAAAAAAAAAAEAIAAAACIAAABkcnMvZG93bnJldi54bWxQSwECFAAUAAAACACHTuJA0pxh&#10;1VUCAACQBAAADgAAAAAAAAABACAAAAApAQAAZHJzL2Uyb0RvYy54bWxQSwUGAAAAAAYABgBZAQAA&#10;8AUAAAAA&#10;">
                      <v:fill on="f" focussize="0,0"/>
                      <v:stroke on="f" weight="0.5pt"/>
                      <v:imagedata o:title=""/>
                      <o:lock v:ext="edit" aspectratio="f"/>
                      <v:textbox>
                        <w:txbxContent>
                          <w:p w14:paraId="5BEA00A1">
                            <w:pPr>
                              <w:rPr>
                                <w:rFonts w:hint="default" w:eastAsia="宋体"/>
                                <w:b/>
                                <w:bCs/>
                                <w:color w:val="0000FF"/>
                                <w:sz w:val="18"/>
                                <w:szCs w:val="13"/>
                                <w:lang w:val="en-US" w:eastAsia="zh-CN"/>
                              </w:rPr>
                            </w:pPr>
                            <w:r>
                              <w:rPr>
                                <w:rFonts w:hint="eastAsia"/>
                                <w:b/>
                                <w:bCs/>
                                <w:sz w:val="18"/>
                                <w:szCs w:val="13"/>
                                <w:lang w:val="en-US" w:eastAsia="zh-CN"/>
                              </w:rPr>
                              <w:t>临时中转场</w:t>
                            </w:r>
                          </w:p>
                        </w:txbxContent>
                      </v:textbox>
                    </v:shape>
                  </w:pict>
                </mc:Fallback>
              </mc:AlternateContent>
            </w:r>
            <w:r>
              <w:rPr>
                <w:color w:val="auto"/>
                <w:sz w:val="24"/>
                <w:szCs w:val="24"/>
                <w:highlight w:val="none"/>
              </w:rPr>
              <mc:AlternateContent>
                <mc:Choice Requires="wps">
                  <w:drawing>
                    <wp:anchor distT="0" distB="0" distL="114300" distR="114300" simplePos="0" relativeHeight="251682816" behindDoc="0" locked="0" layoutInCell="1" allowOverlap="1">
                      <wp:simplePos x="0" y="0"/>
                      <wp:positionH relativeFrom="column">
                        <wp:posOffset>1799590</wp:posOffset>
                      </wp:positionH>
                      <wp:positionV relativeFrom="paragraph">
                        <wp:posOffset>1092200</wp:posOffset>
                      </wp:positionV>
                      <wp:extent cx="412115" cy="145415"/>
                      <wp:effectExtent l="10160" t="17145" r="15875" b="27940"/>
                      <wp:wrapNone/>
                      <wp:docPr id="61" name="矩形 61"/>
                      <wp:cNvGraphicFramePr/>
                      <a:graphic xmlns:a="http://schemas.openxmlformats.org/drawingml/2006/main">
                        <a:graphicData uri="http://schemas.microsoft.com/office/word/2010/wordprocessingShape">
                          <wps:wsp>
                            <wps:cNvSpPr/>
                            <wps:spPr>
                              <a:xfrm rot="21420000">
                                <a:off x="2967990" y="2240280"/>
                                <a:ext cx="412115" cy="145415"/>
                              </a:xfrm>
                              <a:prstGeom prst="rect">
                                <a:avLst/>
                              </a:prstGeom>
                              <a:noFill/>
                              <a:ln w="12700" cap="flat" cmpd="sng" algn="ctr">
                                <a:solidFill>
                                  <a:srgbClr val="92D050"/>
                                </a:solidFill>
                                <a:prstDash val="sysDot"/>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1.7pt;margin-top:86pt;height:11.45pt;width:32.45pt;rotation:-196608f;z-index:251682816;v-text-anchor:middle;mso-width-relative:page;mso-height-relative:page;" filled="f" stroked="t" coordsize="21600,21600" o:gfxdata="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Wf3fRdkAAAALAQAADwAAAAAAAAABACAAAAAi&#10;AAAAZHJzL2Rvd25yZXYueG1sUEsBAhQAFAAAAAgAh07iQFhT1vJ7AgAA3wQAAA4AAAAAAAAAAQAg&#10;AAAAKAEAAGRycy9lMm9Eb2MueG1sUEsFBgAAAAAGAAYAWQEAABUGAAAAAA==&#10;">
                      <v:fill on="f" focussize="0,0"/>
                      <v:stroke weight="1pt" color="#92D050" joinstyle="round" dashstyle="1 1"/>
                      <v:imagedata o:title=""/>
                      <o:lock v:ext="edit" aspectratio="f"/>
                    </v:rect>
                  </w:pict>
                </mc:Fallback>
              </mc:AlternateContent>
            </w:r>
            <w:r>
              <w:rPr>
                <w:rFonts w:hint="eastAsia" w:ascii="Times New Roman" w:hAnsi="Times New Roman" w:eastAsia="仿宋_GB2312" w:cs="Times New Roman"/>
                <w:b/>
                <w:bCs/>
                <w:color w:val="auto"/>
                <w:sz w:val="24"/>
                <w:szCs w:val="24"/>
                <w:highlight w:val="none"/>
                <w:vertAlign w:val="baseline"/>
                <w:lang w:eastAsia="zh-CN"/>
              </w:rPr>
              <w:drawing>
                <wp:inline distT="0" distB="0" distL="114300" distR="114300">
                  <wp:extent cx="5760085" cy="3240405"/>
                  <wp:effectExtent l="0" t="0" r="12065" b="17145"/>
                  <wp:docPr id="30" name="图片 361" descr="3c644299dbeed7c1bc998ae4dada8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61" descr="3c644299dbeed7c1bc998ae4dada8c6"/>
                          <pic:cNvPicPr>
                            <a:picLocks noChangeAspect="1"/>
                          </pic:cNvPicPr>
                        </pic:nvPicPr>
                        <pic:blipFill>
                          <a:blip r:embed="rId21"/>
                          <a:stretch>
                            <a:fillRect/>
                          </a:stretch>
                        </pic:blipFill>
                        <pic:spPr>
                          <a:xfrm>
                            <a:off x="0" y="0"/>
                            <a:ext cx="5760085" cy="3240405"/>
                          </a:xfrm>
                          <a:prstGeom prst="rect">
                            <a:avLst/>
                          </a:prstGeom>
                          <a:noFill/>
                          <a:ln>
                            <a:noFill/>
                          </a:ln>
                        </pic:spPr>
                      </pic:pic>
                    </a:graphicData>
                  </a:graphic>
                </wp:inline>
              </w:drawing>
            </w:r>
            <w:r>
              <w:rPr>
                <w:color w:val="auto"/>
                <w:sz w:val="24"/>
                <w:szCs w:val="24"/>
                <w:highlight w:val="none"/>
              </w:rPr>
              <mc:AlternateContent>
                <mc:Choice Requires="wps">
                  <w:drawing>
                    <wp:anchor distT="0" distB="0" distL="114300" distR="114300" simplePos="0" relativeHeight="251673600" behindDoc="0" locked="0" layoutInCell="1" allowOverlap="1">
                      <wp:simplePos x="0" y="0"/>
                      <wp:positionH relativeFrom="column">
                        <wp:posOffset>1763395</wp:posOffset>
                      </wp:positionH>
                      <wp:positionV relativeFrom="paragraph">
                        <wp:posOffset>1049020</wp:posOffset>
                      </wp:positionV>
                      <wp:extent cx="2792095" cy="240665"/>
                      <wp:effectExtent l="635" t="9525" r="7620" b="16510"/>
                      <wp:wrapNone/>
                      <wp:docPr id="15" name="任意多边形 1075"/>
                      <wp:cNvGraphicFramePr/>
                      <a:graphic xmlns:a="http://schemas.openxmlformats.org/drawingml/2006/main">
                        <a:graphicData uri="http://schemas.microsoft.com/office/word/2010/wordprocessingShape">
                          <wps:wsp>
                            <wps:cNvSpPr/>
                            <wps:spPr>
                              <a:xfrm>
                                <a:off x="0" y="0"/>
                                <a:ext cx="2792095" cy="240665"/>
                              </a:xfrm>
                              <a:custGeom>
                                <a:avLst/>
                                <a:gdLst/>
                                <a:ahLst/>
                                <a:cxnLst/>
                                <a:pathLst>
                                  <a:path w="3925" h="675">
                                    <a:moveTo>
                                      <a:pt x="3925" y="0"/>
                                    </a:moveTo>
                                    <a:cubicBezTo>
                                      <a:pt x="3651" y="72"/>
                                      <a:pt x="3110" y="253"/>
                                      <a:pt x="2325" y="388"/>
                                    </a:cubicBezTo>
                                    <a:cubicBezTo>
                                      <a:pt x="1540" y="523"/>
                                      <a:pt x="433" y="625"/>
                                      <a:pt x="0" y="675"/>
                                    </a:cubicBezTo>
                                  </a:path>
                                </a:pathLst>
                              </a:custGeom>
                              <a:noFill/>
                              <a:ln w="19050" cap="flat" cmpd="sng">
                                <a:solidFill>
                                  <a:srgbClr val="00B0F0"/>
                                </a:solidFill>
                                <a:prstDash val="solid"/>
                                <a:headEnd type="none" w="med" len="med"/>
                                <a:tailEnd type="none" w="med" len="med"/>
                              </a:ln>
                              <a:effectLst/>
                            </wps:spPr>
                            <wps:bodyPr vert="horz" wrap="square" anchor="t" anchorCtr="0" upright="1"/>
                          </wps:wsp>
                        </a:graphicData>
                      </a:graphic>
                    </wp:anchor>
                  </w:drawing>
                </mc:Choice>
                <mc:Fallback>
                  <w:pict>
                    <v:shape id="任意多边形 1075" o:spid="_x0000_s1026" o:spt="100" style="position:absolute;left:0pt;margin-left:138.85pt;margin-top:82.6pt;height:18.95pt;width:219.85pt;z-index:251673600;mso-width-relative:page;mso-height-relative:page;" filled="f" stroked="t" coordsize="3925,675" o:gfxdata="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KgOc23ZAAAACwEAAA8AAAAAAAAAAQAgAAAAIgAAAGRycy9kb3ducmV2LnhtbFBL&#10;AQIUABQAAAAIAIdO4kAjWWXpoAIAAHYFAAAOAAAAAAAAAAEAIAAAACgBAABkcnMvZTJvRG9jLnht&#10;bFBLBQYAAAAABgAGAFkBAAA6BgAAAAA=&#10;" path="m3925,0c3651,72,3110,253,2325,388c1540,523,433,625,0,675e">
                      <v:fill on="f" focussize="0,0"/>
                      <v:stroke weight="1.5pt" color="#00B0F0" joinstyle="round"/>
                      <v:imagedata o:title=""/>
                      <o:lock v:ext="edit" aspectratio="f"/>
                    </v:shape>
                  </w:pict>
                </mc:Fallback>
              </mc:AlternateContent>
            </w:r>
            <w:r>
              <w:rPr>
                <w:color w:val="auto"/>
                <w:sz w:val="24"/>
                <w:szCs w:val="24"/>
                <w:highlight w:val="none"/>
              </w:rPr>
              <mc:AlternateContent>
                <mc:Choice Requires="wps">
                  <w:drawing>
                    <wp:anchor distT="0" distB="0" distL="114300" distR="114300" simplePos="0" relativeHeight="251678720" behindDoc="0" locked="0" layoutInCell="1" allowOverlap="1">
                      <wp:simplePos x="0" y="0"/>
                      <wp:positionH relativeFrom="column">
                        <wp:posOffset>1464310</wp:posOffset>
                      </wp:positionH>
                      <wp:positionV relativeFrom="paragraph">
                        <wp:posOffset>1264285</wp:posOffset>
                      </wp:positionV>
                      <wp:extent cx="213995" cy="348615"/>
                      <wp:effectExtent l="5715" t="0" r="8890" b="13335"/>
                      <wp:wrapNone/>
                      <wp:docPr id="20" name="直线 1074"/>
                      <wp:cNvGraphicFramePr/>
                      <a:graphic xmlns:a="http://schemas.openxmlformats.org/drawingml/2006/main">
                        <a:graphicData uri="http://schemas.microsoft.com/office/word/2010/wordprocessingShape">
                          <wps:wsp>
                            <wps:cNvCnPr/>
                            <wps:spPr>
                              <a:xfrm flipV="1">
                                <a:off x="0" y="0"/>
                                <a:ext cx="213995" cy="34861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线 1074" o:spid="_x0000_s1026" o:spt="20" style="position:absolute;left:0pt;flip:y;margin-left:115.3pt;margin-top:99.55pt;height:27.45pt;width:16.85pt;z-index:251678720;mso-width-relative:page;mso-height-relative:page;" filled="f" stroked="t" coordsize="21600,21600" o:gfxdata="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ok3Uk3AAAAAsBAAAPAAAAAAAAAAEAIAAAACIAAABkcnMv&#10;ZG93bnJldi54bWxQSwECFAAUAAAACACHTuJA/4vR7v8BAAD9AwAADgAAAAAAAAABACAAAAArAQAA&#10;ZHJzL2Uyb0RvYy54bWxQSwUGAAAAAAYABgBZAQAAnAUAAAAA&#10;">
                      <v:fill on="f" focussize="0,0"/>
                      <v:stroke weight="1pt" color="#000000" joinstyle="round" endarrow="open"/>
                      <v:imagedata o:title=""/>
                      <o:lock v:ext="edit" aspectratio="f"/>
                    </v:line>
                  </w:pict>
                </mc:Fallback>
              </mc:AlternateContent>
            </w:r>
            <w:r>
              <w:rPr>
                <w:color w:val="auto"/>
                <w:sz w:val="24"/>
                <w:szCs w:val="24"/>
                <w:highlight w:val="none"/>
              </w:rPr>
              <mc:AlternateContent>
                <mc:Choice Requires="wps">
                  <w:drawing>
                    <wp:anchor distT="0" distB="0" distL="114300" distR="114300" simplePos="0" relativeHeight="251672576" behindDoc="0" locked="0" layoutInCell="1" allowOverlap="1">
                      <wp:simplePos x="0" y="0"/>
                      <wp:positionH relativeFrom="column">
                        <wp:posOffset>1049020</wp:posOffset>
                      </wp:positionH>
                      <wp:positionV relativeFrom="paragraph">
                        <wp:posOffset>683895</wp:posOffset>
                      </wp:positionV>
                      <wp:extent cx="887730" cy="2052320"/>
                      <wp:effectExtent l="9525" t="9525" r="17145" b="14605"/>
                      <wp:wrapNone/>
                      <wp:docPr id="14" name="任意多边形 1080"/>
                      <wp:cNvGraphicFramePr/>
                      <a:graphic xmlns:a="http://schemas.openxmlformats.org/drawingml/2006/main">
                        <a:graphicData uri="http://schemas.microsoft.com/office/word/2010/wordprocessingShape">
                          <wps:wsp>
                            <wps:cNvSpPr/>
                            <wps:spPr>
                              <a:xfrm>
                                <a:off x="0" y="0"/>
                                <a:ext cx="887870" cy="2052358"/>
                              </a:xfrm>
                              <a:custGeom>
                                <a:avLst/>
                                <a:gdLst>
                                  <a:gd name="connsiteX0" fmla="*/ 1398 w 1398"/>
                                  <a:gd name="connsiteY0" fmla="*/ 3232 h 3232"/>
                                  <a:gd name="connsiteX1" fmla="*/ 0 w 1398"/>
                                  <a:gd name="connsiteY1" fmla="*/ 2780 h 3232"/>
                                  <a:gd name="connsiteX2" fmla="*/ 1135 w 1398"/>
                                  <a:gd name="connsiteY2" fmla="*/ 940 h 3232"/>
                                  <a:gd name="connsiteX3" fmla="*/ 952 w 1398"/>
                                  <a:gd name="connsiteY3" fmla="*/ 430 h 3232"/>
                                  <a:gd name="connsiteX4" fmla="*/ 705 w 1398"/>
                                  <a:gd name="connsiteY4" fmla="*/ 139 h 3232"/>
                                  <a:gd name="connsiteX5" fmla="*/ 1130 w 1398"/>
                                  <a:gd name="connsiteY5" fmla="*/ 0 h 3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pathLst>
                                  <a:path w="1398" h="3232">
                                    <a:moveTo>
                                      <a:pt x="1398" y="3232"/>
                                    </a:moveTo>
                                    <a:lnTo>
                                      <a:pt x="0" y="2780"/>
                                    </a:lnTo>
                                    <a:cubicBezTo>
                                      <a:pt x="-19" y="2683"/>
                                      <a:pt x="1197" y="1482"/>
                                      <a:pt x="1135" y="940"/>
                                    </a:cubicBezTo>
                                    <a:cubicBezTo>
                                      <a:pt x="1080" y="486"/>
                                      <a:pt x="1041" y="619"/>
                                      <a:pt x="952" y="430"/>
                                    </a:cubicBezTo>
                                    <a:cubicBezTo>
                                      <a:pt x="860" y="176"/>
                                      <a:pt x="736" y="232"/>
                                      <a:pt x="705" y="139"/>
                                    </a:cubicBezTo>
                                    <a:cubicBezTo>
                                      <a:pt x="673" y="46"/>
                                      <a:pt x="1135" y="-2"/>
                                      <a:pt x="1130" y="0"/>
                                    </a:cubicBezTo>
                                  </a:path>
                                </a:pathLst>
                              </a:custGeom>
                              <a:noFill/>
                              <a:ln w="19050" cap="flat" cmpd="sng">
                                <a:solidFill>
                                  <a:srgbClr val="FF0000"/>
                                </a:solidFill>
                                <a:prstDash val="solid"/>
                                <a:headEnd type="none" w="med" len="med"/>
                                <a:tailEnd type="none" w="med" len="med"/>
                              </a:ln>
                              <a:effectLst/>
                            </wps:spPr>
                            <wps:bodyPr vert="horz" wrap="square" anchor="t" anchorCtr="0" upright="1"/>
                          </wps:wsp>
                        </a:graphicData>
                      </a:graphic>
                    </wp:anchor>
                  </w:drawing>
                </mc:Choice>
                <mc:Fallback>
                  <w:pict>
                    <v:shape id="任意多边形 1080" o:spid="_x0000_s1026" o:spt="100" style="position:absolute;left:0pt;margin-left:82.6pt;margin-top:53.85pt;height:161.6pt;width:69.9pt;z-index:251672576;mso-width-relative:page;mso-height-relative:page;" filled="f" stroked="t" coordsize="1398,3232" o:gfxdata="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" path="m1398,3232l0,2780c-19,2683,1197,1482,1135,940c1080,486,1041,619,952,430c860,176,736,232,705,139c673,46,1135,-2,1130,0e">
                      <v:path o:connectlocs="887870,2052358;0,1765332;720838,596911;604615,273055;447745,88266;717663,0" o:connectangles="0,0,0,0,0,0"/>
                      <v:fill on="f" focussize="0,0"/>
                      <v:stroke weight="1.5pt" color="#FF0000" joinstyle="round"/>
                      <v:imagedata o:title=""/>
                      <o:lock v:ext="edit" aspectratio="f"/>
                    </v:shape>
                  </w:pict>
                </mc:Fallback>
              </mc:AlternateContent>
            </w:r>
            <w:r>
              <w:rPr>
                <w:color w:val="auto"/>
                <w:sz w:val="24"/>
                <w:szCs w:val="24"/>
                <w:highlight w:val="none"/>
              </w:rPr>
              <mc:AlternateContent>
                <mc:Choice Requires="wps">
                  <w:drawing>
                    <wp:anchor distT="0" distB="0" distL="114300" distR="114300" simplePos="0" relativeHeight="251680768" behindDoc="0" locked="0" layoutInCell="1" allowOverlap="1">
                      <wp:simplePos x="0" y="0"/>
                      <wp:positionH relativeFrom="column">
                        <wp:posOffset>1877695</wp:posOffset>
                      </wp:positionH>
                      <wp:positionV relativeFrom="paragraph">
                        <wp:posOffset>2264410</wp:posOffset>
                      </wp:positionV>
                      <wp:extent cx="3790315" cy="374650"/>
                      <wp:effectExtent l="0" t="0" r="635" b="6350"/>
                      <wp:wrapNone/>
                      <wp:docPr id="22" name="文本框 1071"/>
                      <wp:cNvGraphicFramePr/>
                      <a:graphic xmlns:a="http://schemas.openxmlformats.org/drawingml/2006/main">
                        <a:graphicData uri="http://schemas.microsoft.com/office/word/2010/wordprocessingShape">
                          <wps:wsp>
                            <wps:cNvSpPr txBox="1"/>
                            <wps:spPr>
                              <a:xfrm>
                                <a:off x="0" y="0"/>
                                <a:ext cx="3790315" cy="374650"/>
                              </a:xfrm>
                              <a:prstGeom prst="rect">
                                <a:avLst/>
                              </a:prstGeom>
                              <a:solidFill>
                                <a:srgbClr val="FFFFFF">
                                  <a:alpha val="39999"/>
                                </a:srgbClr>
                              </a:solidFill>
                              <a:ln>
                                <a:noFill/>
                              </a:ln>
                              <a:effectLst/>
                            </wps:spPr>
                            <wps:txbx>
                              <w:txbxContent>
                                <w:p w14:paraId="699E5338">
                                  <w:pPr>
                                    <w:keepNext w:val="0"/>
                                    <w:keepLines w:val="0"/>
                                    <w:widowControl/>
                                    <w:suppressLineNumbers w:val="0"/>
                                    <w:jc w:val="left"/>
                                    <w:rPr>
                                      <w:rFonts w:hint="eastAsia"/>
                                      <w:lang w:eastAsia="zh-CN"/>
                                    </w:rPr>
                                  </w:pPr>
                                  <w:r>
                                    <w:rPr>
                                      <w:rFonts w:hint="eastAsia" w:ascii="宋体" w:hAnsi="宋体" w:eastAsia="宋体" w:cs="宋体"/>
                                      <w:b/>
                                      <w:bCs/>
                                      <w:color w:val="000000"/>
                                      <w:kern w:val="0"/>
                                      <w:sz w:val="22"/>
                                      <w:szCs w:val="22"/>
                                      <w:lang w:val="en-US" w:eastAsia="zh-CN" w:bidi="ar"/>
                                    </w:rPr>
                                    <w:t>城市更新项目建设服务于金窝水库的排水水系改造</w:t>
                                  </w:r>
                                  <w:r>
                                    <w:rPr>
                                      <w:rFonts w:hint="eastAsia" w:ascii="宋体" w:hAnsi="宋体" w:cs="宋体"/>
                                      <w:b/>
                                      <w:bCs/>
                                      <w:color w:val="000000"/>
                                      <w:kern w:val="0"/>
                                      <w:sz w:val="22"/>
                                      <w:szCs w:val="22"/>
                                      <w:lang w:val="en-US" w:eastAsia="zh-CN" w:bidi="ar"/>
                                    </w:rPr>
                                    <w:t>段起点</w:t>
                                  </w:r>
                                </w:p>
                              </w:txbxContent>
                            </wps:txbx>
                            <wps:bodyPr vert="horz" wrap="square" anchor="t" anchorCtr="0" upright="1"/>
                          </wps:wsp>
                        </a:graphicData>
                      </a:graphic>
                    </wp:anchor>
                  </w:drawing>
                </mc:Choice>
                <mc:Fallback>
                  <w:pict>
                    <v:shape id="文本框 1071" o:spid="_x0000_s1026" o:spt="202" type="#_x0000_t202" style="position:absolute;left:0pt;margin-left:147.85pt;margin-top:178.3pt;height:29.5pt;width:298.45pt;z-index:251680768;mso-width-relative:page;mso-height-relative:page;" fillcolor="#FFFFFF" filled="t" stroked="f" coordsize="21600,21600" o:gfxdata="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t2KmtkAAAALAQAADwAAAAAAAAABACAAAAAiAAAAZHJzL2Rvd25yZXYueG1s&#10;UEsBAhQAFAAAAAgAh07iQKaryen3AQAA3QMAAA4AAAAAAAAAAQAgAAAAKAEAAGRycy9lMm9Eb2Mu&#10;eG1sUEsFBgAAAAAGAAYAWQEAAJEFAAAAAA==&#10;">
                      <v:fill on="t" opacity="26213f" focussize="0,0"/>
                      <v:stroke on="f"/>
                      <v:imagedata o:title=""/>
                      <o:lock v:ext="edit" aspectratio="f"/>
                      <v:textbox>
                        <w:txbxContent>
                          <w:p w14:paraId="699E5338">
                            <w:pPr>
                              <w:keepNext w:val="0"/>
                              <w:keepLines w:val="0"/>
                              <w:widowControl/>
                              <w:suppressLineNumbers w:val="0"/>
                              <w:jc w:val="left"/>
                              <w:rPr>
                                <w:rFonts w:hint="eastAsia"/>
                                <w:lang w:eastAsia="zh-CN"/>
                              </w:rPr>
                            </w:pPr>
                            <w:r>
                              <w:rPr>
                                <w:rFonts w:hint="eastAsia" w:ascii="宋体" w:hAnsi="宋体" w:eastAsia="宋体" w:cs="宋体"/>
                                <w:b/>
                                <w:bCs/>
                                <w:color w:val="000000"/>
                                <w:kern w:val="0"/>
                                <w:sz w:val="22"/>
                                <w:szCs w:val="22"/>
                                <w:lang w:val="en-US" w:eastAsia="zh-CN" w:bidi="ar"/>
                              </w:rPr>
                              <w:t>城市更新项目建设服务于金窝水库的排水水系改造</w:t>
                            </w:r>
                            <w:r>
                              <w:rPr>
                                <w:rFonts w:hint="eastAsia" w:ascii="宋体" w:hAnsi="宋体" w:cs="宋体"/>
                                <w:b/>
                                <w:bCs/>
                                <w:color w:val="000000"/>
                                <w:kern w:val="0"/>
                                <w:sz w:val="22"/>
                                <w:szCs w:val="22"/>
                                <w:lang w:val="en-US" w:eastAsia="zh-CN" w:bidi="ar"/>
                              </w:rPr>
                              <w:t>段起点</w:t>
                            </w:r>
                          </w:p>
                        </w:txbxContent>
                      </v:textbox>
                    </v:shape>
                  </w:pict>
                </mc:Fallback>
              </mc:AlternateContent>
            </w:r>
            <w:r>
              <w:rPr>
                <w:color w:val="auto"/>
                <w:sz w:val="24"/>
                <w:szCs w:val="24"/>
                <w:highlight w:val="none"/>
              </w:rPr>
              <mc:AlternateContent>
                <mc:Choice Requires="wps">
                  <w:drawing>
                    <wp:anchor distT="0" distB="0" distL="114300" distR="114300" simplePos="0" relativeHeight="251679744" behindDoc="0" locked="0" layoutInCell="1" allowOverlap="1">
                      <wp:simplePos x="0" y="0"/>
                      <wp:positionH relativeFrom="column">
                        <wp:posOffset>70485</wp:posOffset>
                      </wp:positionH>
                      <wp:positionV relativeFrom="paragraph">
                        <wp:posOffset>1548130</wp:posOffset>
                      </wp:positionV>
                      <wp:extent cx="1800860" cy="365760"/>
                      <wp:effectExtent l="0" t="0" r="8890" b="15240"/>
                      <wp:wrapNone/>
                      <wp:docPr id="21" name="文本框 1073"/>
                      <wp:cNvGraphicFramePr/>
                      <a:graphic xmlns:a="http://schemas.openxmlformats.org/drawingml/2006/main">
                        <a:graphicData uri="http://schemas.microsoft.com/office/word/2010/wordprocessingShape">
                          <wps:wsp>
                            <wps:cNvSpPr txBox="1"/>
                            <wps:spPr>
                              <a:xfrm>
                                <a:off x="0" y="0"/>
                                <a:ext cx="1800860" cy="365760"/>
                              </a:xfrm>
                              <a:prstGeom prst="rect">
                                <a:avLst/>
                              </a:prstGeom>
                              <a:solidFill>
                                <a:srgbClr val="FFFFFF">
                                  <a:alpha val="39999"/>
                                </a:srgbClr>
                              </a:solidFill>
                              <a:ln>
                                <a:noFill/>
                              </a:ln>
                              <a:effectLst/>
                            </wps:spPr>
                            <wps:txbx>
                              <w:txbxContent>
                                <w:p w14:paraId="4B6600E0">
                                  <w:pPr>
                                    <w:rPr>
                                      <w:rFonts w:hint="eastAsia"/>
                                      <w:b/>
                                      <w:bCs/>
                                      <w:color w:val="000000"/>
                                      <w:lang w:eastAsia="zh-CN"/>
                                    </w:rPr>
                                  </w:pPr>
                                  <w:r>
                                    <w:rPr>
                                      <w:rFonts w:hint="eastAsia"/>
                                      <w:b/>
                                      <w:bCs/>
                                      <w:color w:val="000000"/>
                                      <w:lang w:eastAsia="zh-CN"/>
                                    </w:rPr>
                                    <w:t>钦州港路排水工程终点</w:t>
                                  </w:r>
                                </w:p>
                              </w:txbxContent>
                            </wps:txbx>
                            <wps:bodyPr vert="horz" wrap="square" anchor="t" anchorCtr="0" upright="1"/>
                          </wps:wsp>
                        </a:graphicData>
                      </a:graphic>
                    </wp:anchor>
                  </w:drawing>
                </mc:Choice>
                <mc:Fallback>
                  <w:pict>
                    <v:shape id="文本框 1073" o:spid="_x0000_s1026" o:spt="202" type="#_x0000_t202" style="position:absolute;left:0pt;margin-left:5.55pt;margin-top:121.9pt;height:28.8pt;width:141.8pt;z-index:251679744;mso-width-relative:page;mso-height-relative:page;" fillcolor="#FFFFFF" filled="t" stroked="f" coordsize="21600,21600" o:gfxdata="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Fr3N+1wAAAAoBAAAPAAAAAAAAAAEAIAAAACIAAABkcnMvZG93bnJldi54bWxQSwECFAAU&#10;AAAACACHTuJAVJhkf/IBAADdAwAADgAAAAAAAAABACAAAAAmAQAAZHJzL2Uyb0RvYy54bWxQSwUG&#10;AAAAAAYABgBZAQAAigUAAAAA&#10;">
                      <v:fill on="t" opacity="26213f" focussize="0,0"/>
                      <v:stroke on="f"/>
                      <v:imagedata o:title=""/>
                      <o:lock v:ext="edit" aspectratio="f"/>
                      <v:textbox>
                        <w:txbxContent>
                          <w:p w14:paraId="4B6600E0">
                            <w:pPr>
                              <w:rPr>
                                <w:rFonts w:hint="eastAsia"/>
                                <w:b/>
                                <w:bCs/>
                                <w:color w:val="000000"/>
                                <w:lang w:eastAsia="zh-CN"/>
                              </w:rPr>
                            </w:pPr>
                            <w:r>
                              <w:rPr>
                                <w:rFonts w:hint="eastAsia"/>
                                <w:b/>
                                <w:bCs/>
                                <w:color w:val="000000"/>
                                <w:lang w:eastAsia="zh-CN"/>
                              </w:rPr>
                              <w:t>钦州港路排水工程终点</w:t>
                            </w:r>
                          </w:p>
                        </w:txbxContent>
                      </v:textbox>
                    </v:shape>
                  </w:pict>
                </mc:Fallback>
              </mc:AlternateContent>
            </w:r>
            <w:r>
              <w:rPr>
                <w:color w:val="auto"/>
                <w:sz w:val="24"/>
                <w:szCs w:val="24"/>
                <w:highlight w:val="none"/>
              </w:rPr>
              <mc:AlternateContent>
                <mc:Choice Requires="wps">
                  <w:drawing>
                    <wp:anchor distT="0" distB="0" distL="114300" distR="114300" simplePos="0" relativeHeight="251675648" behindDoc="0" locked="0" layoutInCell="1" allowOverlap="1">
                      <wp:simplePos x="0" y="0"/>
                      <wp:positionH relativeFrom="column">
                        <wp:posOffset>3159125</wp:posOffset>
                      </wp:positionH>
                      <wp:positionV relativeFrom="paragraph">
                        <wp:posOffset>1393190</wp:posOffset>
                      </wp:positionV>
                      <wp:extent cx="1843405" cy="393065"/>
                      <wp:effectExtent l="0" t="0" r="4445" b="6985"/>
                      <wp:wrapNone/>
                      <wp:docPr id="17" name="文本框 1077"/>
                      <wp:cNvGraphicFramePr/>
                      <a:graphic xmlns:a="http://schemas.openxmlformats.org/drawingml/2006/main">
                        <a:graphicData uri="http://schemas.microsoft.com/office/word/2010/wordprocessingShape">
                          <wps:wsp>
                            <wps:cNvSpPr txBox="1"/>
                            <wps:spPr>
                              <a:xfrm>
                                <a:off x="0" y="0"/>
                                <a:ext cx="1843405" cy="393065"/>
                              </a:xfrm>
                              <a:prstGeom prst="rect">
                                <a:avLst/>
                              </a:prstGeom>
                              <a:solidFill>
                                <a:srgbClr val="FFFFFF">
                                  <a:alpha val="39999"/>
                                </a:srgbClr>
                              </a:solidFill>
                              <a:ln>
                                <a:noFill/>
                              </a:ln>
                              <a:effectLst/>
                            </wps:spPr>
                            <wps:txbx>
                              <w:txbxContent>
                                <w:p w14:paraId="5D9CC16E">
                                  <w:pPr>
                                    <w:rPr>
                                      <w:rFonts w:hint="eastAsia"/>
                                      <w:b/>
                                      <w:bCs/>
                                      <w:color w:val="000000"/>
                                      <w:lang w:eastAsia="zh-CN"/>
                                    </w:rPr>
                                  </w:pPr>
                                  <w:r>
                                    <w:rPr>
                                      <w:rFonts w:hint="eastAsia"/>
                                      <w:b/>
                                      <w:bCs/>
                                      <w:color w:val="000000"/>
                                      <w:lang w:eastAsia="zh-CN"/>
                                    </w:rPr>
                                    <w:t>钦州港路排水工程起点</w:t>
                                  </w:r>
                                </w:p>
                              </w:txbxContent>
                            </wps:txbx>
                            <wps:bodyPr vert="horz" wrap="square" anchor="t" anchorCtr="0" upright="1"/>
                          </wps:wsp>
                        </a:graphicData>
                      </a:graphic>
                    </wp:anchor>
                  </w:drawing>
                </mc:Choice>
                <mc:Fallback>
                  <w:pict>
                    <v:shape id="文本框 1077" o:spid="_x0000_s1026" o:spt="202" type="#_x0000_t202" style="position:absolute;left:0pt;margin-left:248.75pt;margin-top:109.7pt;height:30.95pt;width:145.15pt;z-index:251675648;mso-width-relative:page;mso-height-relative:page;" fillcolor="#FFFFFF" filled="t" stroked="f" coordsize="21600,21600" o:gfxdata="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lNM8NkAAAALAQAADwAAAAAAAAABACAAAAAiAAAAZHJzL2Rvd25yZXYueG1sUEsB&#10;AhQAFAAAAAgAh07iQBbL52r0AQAA3QMAAA4AAAAAAAAAAQAgAAAAKAEAAGRycy9lMm9Eb2MueG1s&#10;UEsFBgAAAAAGAAYAWQEAAI4FAAAAAA==&#10;">
                      <v:fill on="t" opacity="26213f" focussize="0,0"/>
                      <v:stroke on="f"/>
                      <v:imagedata o:title=""/>
                      <o:lock v:ext="edit" aspectratio="f"/>
                      <v:textbox>
                        <w:txbxContent>
                          <w:p w14:paraId="5D9CC16E">
                            <w:pPr>
                              <w:rPr>
                                <w:rFonts w:hint="eastAsia"/>
                                <w:b/>
                                <w:bCs/>
                                <w:color w:val="000000"/>
                                <w:lang w:eastAsia="zh-CN"/>
                              </w:rPr>
                            </w:pPr>
                            <w:r>
                              <w:rPr>
                                <w:rFonts w:hint="eastAsia"/>
                                <w:b/>
                                <w:bCs/>
                                <w:color w:val="000000"/>
                                <w:lang w:eastAsia="zh-CN"/>
                              </w:rPr>
                              <w:t>钦州港路排水工程起点</w:t>
                            </w:r>
                          </w:p>
                        </w:txbxContent>
                      </v:textbox>
                    </v:shape>
                  </w:pict>
                </mc:Fallback>
              </mc:AlternateContent>
            </w:r>
            <w:r>
              <w:rPr>
                <w:color w:val="auto"/>
                <w:sz w:val="24"/>
                <w:szCs w:val="24"/>
                <w:highlight w:val="none"/>
              </w:rPr>
              <mc:AlternateContent>
                <mc:Choice Requires="wps">
                  <w:drawing>
                    <wp:anchor distT="0" distB="0" distL="114300" distR="114300" simplePos="0" relativeHeight="251674624" behindDoc="0" locked="0" layoutInCell="1" allowOverlap="1">
                      <wp:simplePos x="0" y="0"/>
                      <wp:positionH relativeFrom="column">
                        <wp:posOffset>32385</wp:posOffset>
                      </wp:positionH>
                      <wp:positionV relativeFrom="paragraph">
                        <wp:posOffset>25400</wp:posOffset>
                      </wp:positionV>
                      <wp:extent cx="3818890" cy="337185"/>
                      <wp:effectExtent l="0" t="0" r="10160" b="5715"/>
                      <wp:wrapNone/>
                      <wp:docPr id="16" name="文本框 1079"/>
                      <wp:cNvGraphicFramePr/>
                      <a:graphic xmlns:a="http://schemas.openxmlformats.org/drawingml/2006/main">
                        <a:graphicData uri="http://schemas.microsoft.com/office/word/2010/wordprocessingShape">
                          <wps:wsp>
                            <wps:cNvSpPr txBox="1"/>
                            <wps:spPr>
                              <a:xfrm>
                                <a:off x="0" y="0"/>
                                <a:ext cx="3818890" cy="337185"/>
                              </a:xfrm>
                              <a:prstGeom prst="rect">
                                <a:avLst/>
                              </a:prstGeom>
                              <a:solidFill>
                                <a:srgbClr val="FFFFFF">
                                  <a:alpha val="39999"/>
                                </a:srgbClr>
                              </a:solidFill>
                              <a:ln>
                                <a:noFill/>
                              </a:ln>
                              <a:effectLst/>
                            </wps:spPr>
                            <wps:txbx>
                              <w:txbxContent>
                                <w:p w14:paraId="4EEF07B5">
                                  <w:pPr>
                                    <w:keepNext w:val="0"/>
                                    <w:keepLines w:val="0"/>
                                    <w:widowControl/>
                                    <w:suppressLineNumbers w:val="0"/>
                                    <w:jc w:val="left"/>
                                    <w:rPr>
                                      <w:b/>
                                      <w:bCs/>
                                      <w:color w:val="000000"/>
                                      <w:sz w:val="20"/>
                                      <w:szCs w:val="22"/>
                                    </w:rPr>
                                  </w:pPr>
                                  <w:r>
                                    <w:rPr>
                                      <w:rFonts w:hint="eastAsia" w:ascii="宋体" w:hAnsi="宋体" w:eastAsia="宋体" w:cs="宋体"/>
                                      <w:b/>
                                      <w:bCs/>
                                      <w:color w:val="000000"/>
                                      <w:kern w:val="0"/>
                                      <w:sz w:val="22"/>
                                      <w:szCs w:val="22"/>
                                      <w:lang w:val="en-US" w:eastAsia="zh-CN" w:bidi="ar"/>
                                    </w:rPr>
                                    <w:t>城市更新项目建设服务于金窝水库的排水水系改造</w:t>
                                  </w:r>
                                  <w:r>
                                    <w:rPr>
                                      <w:rFonts w:hint="eastAsia" w:ascii="宋体" w:hAnsi="宋体" w:cs="宋体"/>
                                      <w:b/>
                                      <w:bCs/>
                                      <w:color w:val="000000"/>
                                      <w:kern w:val="0"/>
                                      <w:sz w:val="22"/>
                                      <w:szCs w:val="22"/>
                                      <w:lang w:val="en-US" w:eastAsia="zh-CN" w:bidi="ar"/>
                                    </w:rPr>
                                    <w:t>段终点</w:t>
                                  </w:r>
                                </w:p>
                                <w:p w14:paraId="76B806AE">
                                  <w:pPr>
                                    <w:rPr>
                                      <w:rFonts w:hint="eastAsia"/>
                                      <w:lang w:eastAsia="zh-CN"/>
                                    </w:rPr>
                                  </w:pPr>
                                </w:p>
                              </w:txbxContent>
                            </wps:txbx>
                            <wps:bodyPr vert="horz" wrap="square" anchor="t" anchorCtr="0" upright="1"/>
                          </wps:wsp>
                        </a:graphicData>
                      </a:graphic>
                    </wp:anchor>
                  </w:drawing>
                </mc:Choice>
                <mc:Fallback>
                  <w:pict>
                    <v:shape id="文本框 1079" o:spid="_x0000_s1026" o:spt="202" type="#_x0000_t202" style="position:absolute;left:0pt;margin-left:2.55pt;margin-top:2pt;height:26.55pt;width:300.7pt;z-index:251674624;mso-width-relative:page;mso-height-relative:page;" fillcolor="#FFFFFF" filled="t" stroked="f" coordsize="21600,21600" o:gfxdata="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HJ+MtQAAAAGAQAADwAAAAAAAAABACAAAAAiAAAAZHJzL2Rvd25yZXYueG1sUEsBAhQAFAAA&#10;AAgAh07iQJYaDMPzAQAA3QMAAA4AAAAAAAAAAQAgAAAAIwEAAGRycy9lMm9Eb2MueG1sUEsFBgAA&#10;AAAGAAYAWQEAAIgFAAAAAA==&#10;">
                      <v:fill on="t" opacity="26213f" focussize="0,0"/>
                      <v:stroke on="f"/>
                      <v:imagedata o:title=""/>
                      <o:lock v:ext="edit" aspectratio="f"/>
                      <v:textbox>
                        <w:txbxContent>
                          <w:p w14:paraId="4EEF07B5">
                            <w:pPr>
                              <w:keepNext w:val="0"/>
                              <w:keepLines w:val="0"/>
                              <w:widowControl/>
                              <w:suppressLineNumbers w:val="0"/>
                              <w:jc w:val="left"/>
                              <w:rPr>
                                <w:b/>
                                <w:bCs/>
                                <w:color w:val="000000"/>
                                <w:sz w:val="20"/>
                                <w:szCs w:val="22"/>
                              </w:rPr>
                            </w:pPr>
                            <w:r>
                              <w:rPr>
                                <w:rFonts w:hint="eastAsia" w:ascii="宋体" w:hAnsi="宋体" w:eastAsia="宋体" w:cs="宋体"/>
                                <w:b/>
                                <w:bCs/>
                                <w:color w:val="000000"/>
                                <w:kern w:val="0"/>
                                <w:sz w:val="22"/>
                                <w:szCs w:val="22"/>
                                <w:lang w:val="en-US" w:eastAsia="zh-CN" w:bidi="ar"/>
                              </w:rPr>
                              <w:t>城市更新项目建设服务于金窝水库的排水水系改造</w:t>
                            </w:r>
                            <w:r>
                              <w:rPr>
                                <w:rFonts w:hint="eastAsia" w:ascii="宋体" w:hAnsi="宋体" w:cs="宋体"/>
                                <w:b/>
                                <w:bCs/>
                                <w:color w:val="000000"/>
                                <w:kern w:val="0"/>
                                <w:sz w:val="22"/>
                                <w:szCs w:val="22"/>
                                <w:lang w:val="en-US" w:eastAsia="zh-CN" w:bidi="ar"/>
                              </w:rPr>
                              <w:t>段终点</w:t>
                            </w:r>
                          </w:p>
                          <w:p w14:paraId="76B806AE">
                            <w:pPr>
                              <w:rPr>
                                <w:rFonts w:hint="eastAsia"/>
                                <w:lang w:eastAsia="zh-CN"/>
                              </w:rPr>
                            </w:pPr>
                          </w:p>
                        </w:txbxContent>
                      </v:textbox>
                    </v:shape>
                  </w:pict>
                </mc:Fallback>
              </mc:AlternateContent>
            </w:r>
            <w:r>
              <w:rPr>
                <w:color w:val="auto"/>
                <w:sz w:val="24"/>
                <w:szCs w:val="24"/>
                <w:highlight w:val="none"/>
              </w:rPr>
              <mc:AlternateContent>
                <mc:Choice Requires="wps">
                  <w:drawing>
                    <wp:anchor distT="0" distB="0" distL="114300" distR="114300" simplePos="0" relativeHeight="251681792" behindDoc="0" locked="0" layoutInCell="1" allowOverlap="1">
                      <wp:simplePos x="0" y="0"/>
                      <wp:positionH relativeFrom="column">
                        <wp:posOffset>2131060</wp:posOffset>
                      </wp:positionH>
                      <wp:positionV relativeFrom="paragraph">
                        <wp:posOffset>2585720</wp:posOffset>
                      </wp:positionV>
                      <wp:extent cx="654685" cy="210185"/>
                      <wp:effectExtent l="0" t="6350" r="12065" b="31115"/>
                      <wp:wrapNone/>
                      <wp:docPr id="23" name="直线 1072"/>
                      <wp:cNvGraphicFramePr/>
                      <a:graphic xmlns:a="http://schemas.openxmlformats.org/drawingml/2006/main">
                        <a:graphicData uri="http://schemas.microsoft.com/office/word/2010/wordprocessingShape">
                          <wps:wsp>
                            <wps:cNvCnPr/>
                            <wps:spPr>
                              <a:xfrm flipH="1">
                                <a:off x="0" y="0"/>
                                <a:ext cx="654685" cy="21018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线 1072" o:spid="_x0000_s1026" o:spt="20" style="position:absolute;left:0pt;flip:x;margin-left:167.8pt;margin-top:203.6pt;height:16.55pt;width:51.55pt;z-index:251681792;mso-width-relative:page;mso-height-relative:page;" filled="f" stroked="t" coordsize="21600,21600" o:gfxdata="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i7A9twAAAALAQAADwAAAAAAAAABACAAAAAiAAAAZHJz&#10;L2Rvd25yZXYueG1sUEsBAhQAFAAAAAgAh07iQMp4UckAAgAA/QMAAA4AAAAAAAAAAQAgAAAAKwEA&#10;AGRycy9lMm9Eb2MueG1sUEsFBgAAAAAGAAYAWQEAAJ0FAAAAAA==&#10;">
                      <v:fill on="f" focussize="0,0"/>
                      <v:stroke weight="1pt" color="#000000" joinstyle="round" endarrow="open"/>
                      <v:imagedata o:title=""/>
                      <o:lock v:ext="edit" aspectratio="f"/>
                    </v:line>
                  </w:pict>
                </mc:Fallback>
              </mc:AlternateContent>
            </w:r>
            <w:r>
              <w:rPr>
                <w:color w:val="auto"/>
                <w:sz w:val="24"/>
                <w:szCs w:val="24"/>
                <w:highlight w:val="none"/>
              </w:rPr>
              <mc:AlternateContent>
                <mc:Choice Requires="wps">
                  <w:drawing>
                    <wp:anchor distT="0" distB="0" distL="114300" distR="114300" simplePos="0" relativeHeight="251677696" behindDoc="0" locked="0" layoutInCell="1" allowOverlap="1">
                      <wp:simplePos x="0" y="0"/>
                      <wp:positionH relativeFrom="column">
                        <wp:posOffset>4453255</wp:posOffset>
                      </wp:positionH>
                      <wp:positionV relativeFrom="paragraph">
                        <wp:posOffset>1082040</wp:posOffset>
                      </wp:positionV>
                      <wp:extent cx="118745" cy="277495"/>
                      <wp:effectExtent l="12065" t="0" r="21590" b="8255"/>
                      <wp:wrapNone/>
                      <wp:docPr id="19" name="直线 1076"/>
                      <wp:cNvGraphicFramePr/>
                      <a:graphic xmlns:a="http://schemas.openxmlformats.org/drawingml/2006/main">
                        <a:graphicData uri="http://schemas.microsoft.com/office/word/2010/wordprocessingShape">
                          <wps:wsp>
                            <wps:cNvCnPr/>
                            <wps:spPr>
                              <a:xfrm flipH="1" flipV="1">
                                <a:off x="0" y="0"/>
                                <a:ext cx="118745" cy="27749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线 1076" o:spid="_x0000_s1026" o:spt="20" style="position:absolute;left:0pt;flip:x y;margin-left:350.65pt;margin-top:85.2pt;height:21.85pt;width:9.35pt;z-index:251677696;mso-width-relative:page;mso-height-relative:page;" filled="f" stroked="t" coordsize="21600,21600" o:gfxdata="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mBj3LYAAAACwEAAA8AAAAAAAAAAQAgAAAAIgAAAGRy&#10;cy9kb3ducmV2LnhtbFBLAQIUABQAAAAIAIdO4kBESXQbBQIAAAcEAAAOAAAAAAAAAAEAIAAAACcB&#10;AABkcnMvZTJvRG9jLnhtbFBLBQYAAAAABgAGAFkBAACeBQAAAAA=&#10;">
                      <v:fill on="f" focussize="0,0"/>
                      <v:stroke weight="1pt" color="#000000" joinstyle="round" endarrow="open"/>
                      <v:imagedata o:title=""/>
                      <o:lock v:ext="edit" aspectratio="f"/>
                    </v:line>
                  </w:pict>
                </mc:Fallback>
              </mc:AlternateContent>
            </w:r>
            <w:r>
              <w:rPr>
                <w:color w:val="auto"/>
                <w:sz w:val="24"/>
                <w:szCs w:val="24"/>
                <w:highlight w:val="none"/>
              </w:rPr>
              <mc:AlternateContent>
                <mc:Choice Requires="wps">
                  <w:drawing>
                    <wp:anchor distT="0" distB="0" distL="114300" distR="114300" simplePos="0" relativeHeight="251676672" behindDoc="0" locked="0" layoutInCell="1" allowOverlap="1">
                      <wp:simplePos x="0" y="0"/>
                      <wp:positionH relativeFrom="column">
                        <wp:posOffset>1897380</wp:posOffset>
                      </wp:positionH>
                      <wp:positionV relativeFrom="paragraph">
                        <wp:posOffset>364490</wp:posOffset>
                      </wp:positionV>
                      <wp:extent cx="174625" cy="206375"/>
                      <wp:effectExtent l="5080" t="3810" r="10795" b="18415"/>
                      <wp:wrapNone/>
                      <wp:docPr id="18" name="直线 1078"/>
                      <wp:cNvGraphicFramePr/>
                      <a:graphic xmlns:a="http://schemas.openxmlformats.org/drawingml/2006/main">
                        <a:graphicData uri="http://schemas.microsoft.com/office/word/2010/wordprocessingShape">
                          <wps:wsp>
                            <wps:cNvCnPr/>
                            <wps:spPr>
                              <a:xfrm>
                                <a:off x="0" y="0"/>
                                <a:ext cx="174625" cy="206375"/>
                              </a:xfrm>
                              <a:prstGeom prst="line">
                                <a:avLst/>
                              </a:prstGeom>
                              <a:ln w="12700" cap="flat" cmpd="sng">
                                <a:solidFill>
                                  <a:srgbClr val="000000"/>
                                </a:solidFill>
                                <a:prstDash val="solid"/>
                                <a:headEnd type="none" w="med" len="med"/>
                                <a:tailEnd type="arrow" w="med" len="med"/>
                              </a:ln>
                              <a:effectLst/>
                            </wps:spPr>
                            <wps:bodyPr upright="1"/>
                          </wps:wsp>
                        </a:graphicData>
                      </a:graphic>
                    </wp:anchor>
                  </w:drawing>
                </mc:Choice>
                <mc:Fallback>
                  <w:pict>
                    <v:line id="直线 1078" o:spid="_x0000_s1026" o:spt="20" style="position:absolute;left:0pt;margin-left:149.4pt;margin-top:28.7pt;height:16.25pt;width:13.75pt;z-index:251676672;mso-width-relative:page;mso-height-relative:page;" filled="f" stroked="t" coordsize="21600,21600" o:gfxdata="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oCo1DYAAAACQEAAA8AAAAAAAAAAQAgAAAAIgAAAGRycy9kb3ducmV2Lnht&#10;bFBLAQIUABQAAAAIAIdO4kCmqy0X+QEAAPMDAAAOAAAAAAAAAAEAIAAAACcBAABkcnMvZTJvRG9j&#10;LnhtbFBLBQYAAAAABgAGAFkBAACSBQAAAAA=&#10;">
                      <v:fill on="f" focussize="0,0"/>
                      <v:stroke weight="1pt" color="#000000" joinstyle="round" endarrow="open"/>
                      <v:imagedata o:title=""/>
                      <o:lock v:ext="edit" aspectratio="f"/>
                    </v:line>
                  </w:pict>
                </mc:Fallback>
              </mc:AlternateContent>
            </w:r>
          </w:p>
        </w:tc>
      </w:tr>
      <w:tr w14:paraId="092A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8" w:type="dxa"/>
            <w:noWrap w:val="0"/>
            <w:vAlign w:val="center"/>
          </w:tcPr>
          <w:p w14:paraId="5B98CBB4">
            <w:pPr>
              <w:jc w:val="center"/>
              <w:rPr>
                <w:rFonts w:hint="eastAsia"/>
                <w:b/>
                <w:bCs/>
                <w:color w:val="auto"/>
                <w:sz w:val="24"/>
                <w:szCs w:val="24"/>
                <w:highlight w:val="none"/>
                <w:vertAlign w:val="baseline"/>
                <w:lang w:eastAsia="zh-CN"/>
              </w:rPr>
            </w:pPr>
            <w:r>
              <w:rPr>
                <w:rFonts w:hint="eastAsia" w:ascii="Times New Roman" w:hAnsi="Times New Roman" w:eastAsia="仿宋_GB2312" w:cs="Times New Roman"/>
                <w:b/>
                <w:bCs/>
                <w:color w:val="auto"/>
                <w:sz w:val="32"/>
                <w:szCs w:val="32"/>
                <w:highlight w:val="none"/>
                <w:lang w:val="en-US" w:eastAsia="zh-CN"/>
              </w:rPr>
              <w:t>城市更新项目水系改造南侧</w:t>
            </w:r>
          </w:p>
        </w:tc>
      </w:tr>
      <w:tr w14:paraId="4C10B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8" w:type="dxa"/>
            <w:noWrap w:val="0"/>
            <w:vAlign w:val="center"/>
          </w:tcPr>
          <w:p w14:paraId="0D3366B3">
            <w:pPr>
              <w:jc w:val="center"/>
              <w:rPr>
                <w:rFonts w:hint="eastAsia"/>
                <w:b/>
                <w:bCs/>
                <w:color w:val="auto"/>
                <w:sz w:val="24"/>
                <w:szCs w:val="24"/>
                <w:highlight w:val="none"/>
                <w:vertAlign w:val="baseline"/>
                <w:lang w:eastAsia="zh-CN"/>
              </w:rPr>
            </w:pPr>
            <w:r>
              <w:rPr>
                <w:rFonts w:hint="eastAsia" w:ascii="Times New Roman" w:hAnsi="Times New Roman" w:eastAsia="仿宋_GB2312" w:cs="Times New Roman"/>
                <w:b/>
                <w:bCs/>
                <w:color w:val="auto"/>
                <w:sz w:val="24"/>
                <w:szCs w:val="24"/>
                <w:highlight w:val="none"/>
                <w:vertAlign w:val="baseline"/>
                <w:lang w:eastAsia="zh-CN"/>
              </w:rPr>
              <w:drawing>
                <wp:inline distT="0" distB="0" distL="114300" distR="114300">
                  <wp:extent cx="5760085" cy="3241040"/>
                  <wp:effectExtent l="0" t="0" r="12065" b="16510"/>
                  <wp:docPr id="31" name="图片 347" descr="44c0b5c27ca9b77f5f9a9d32c40a3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47" descr="44c0b5c27ca9b77f5f9a9d32c40a3f6"/>
                          <pic:cNvPicPr>
                            <a:picLocks noChangeAspect="1"/>
                          </pic:cNvPicPr>
                        </pic:nvPicPr>
                        <pic:blipFill>
                          <a:blip r:embed="rId22"/>
                          <a:stretch>
                            <a:fillRect/>
                          </a:stretch>
                        </pic:blipFill>
                        <pic:spPr>
                          <a:xfrm>
                            <a:off x="0" y="0"/>
                            <a:ext cx="5760085" cy="3241040"/>
                          </a:xfrm>
                          <a:prstGeom prst="rect">
                            <a:avLst/>
                          </a:prstGeom>
                          <a:noFill/>
                          <a:ln>
                            <a:noFill/>
                          </a:ln>
                        </pic:spPr>
                      </pic:pic>
                    </a:graphicData>
                  </a:graphic>
                </wp:inline>
              </w:drawing>
            </w:r>
          </w:p>
        </w:tc>
      </w:tr>
      <w:tr w14:paraId="2B98D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28" w:type="dxa"/>
            <w:noWrap w:val="0"/>
            <w:vAlign w:val="center"/>
          </w:tcPr>
          <w:p w14:paraId="0A543492">
            <w:pPr>
              <w:jc w:val="center"/>
              <w:rPr>
                <w:rFonts w:hint="eastAsia" w:ascii="Times New Roman" w:hAnsi="Times New Roman" w:eastAsia="仿宋_GB2312" w:cs="Times New Roman"/>
                <w:b/>
                <w:bCs/>
                <w:color w:val="auto"/>
                <w:sz w:val="24"/>
                <w:szCs w:val="24"/>
                <w:highlight w:val="none"/>
                <w:vertAlign w:val="baseline"/>
                <w:lang w:eastAsia="zh-CN"/>
              </w:rPr>
            </w:pPr>
            <w:r>
              <w:rPr>
                <w:rFonts w:hint="eastAsia" w:ascii="Times New Roman" w:hAnsi="Times New Roman" w:eastAsia="仿宋_GB2312" w:cs="Times New Roman"/>
                <w:b/>
                <w:bCs/>
                <w:color w:val="auto"/>
                <w:sz w:val="32"/>
                <w:szCs w:val="32"/>
                <w:highlight w:val="none"/>
                <w:lang w:val="en-US" w:eastAsia="zh-CN"/>
              </w:rPr>
              <w:t>城市更新项目水系改造西南侧</w:t>
            </w:r>
          </w:p>
        </w:tc>
      </w:tr>
    </w:tbl>
    <w:p w14:paraId="47BE8855">
      <w:pPr>
        <w:pStyle w:val="7"/>
        <w:ind w:firstLine="0" w:firstLineChars="0"/>
        <w:jc w:val="center"/>
        <w:rPr>
          <w:rFonts w:hint="default" w:ascii="Times New Roman" w:hAnsi="Times New Roman" w:cs="Times New Roman"/>
          <w:b/>
          <w:color w:val="auto"/>
          <w:kern w:val="0"/>
          <w:sz w:val="32"/>
          <w:szCs w:val="32"/>
          <w:highlight w:val="none"/>
        </w:rPr>
      </w:pPr>
    </w:p>
    <w:p w14:paraId="0A92CB00">
      <w:pPr>
        <w:pStyle w:val="7"/>
        <w:ind w:firstLine="0" w:firstLineChars="0"/>
        <w:jc w:val="center"/>
        <w:rPr>
          <w:rFonts w:hint="default" w:ascii="Times New Roman" w:hAnsi="Times New Roman" w:cs="Times New Roman"/>
          <w:b/>
          <w:color w:val="auto"/>
          <w:kern w:val="0"/>
          <w:sz w:val="32"/>
          <w:szCs w:val="32"/>
          <w:highlight w:val="none"/>
        </w:rPr>
      </w:pPr>
    </w:p>
    <w:p w14:paraId="18E95A2D">
      <w:pPr>
        <w:pStyle w:val="7"/>
        <w:ind w:firstLine="0" w:firstLineChars="0"/>
        <w:jc w:val="center"/>
        <w:rPr>
          <w:rFonts w:hint="default" w:ascii="Times New Roman" w:hAnsi="Times New Roman" w:cs="Times New Roman"/>
          <w:b/>
          <w:color w:val="auto"/>
          <w:kern w:val="0"/>
          <w:sz w:val="32"/>
          <w:szCs w:val="32"/>
          <w:highlight w:val="none"/>
        </w:rPr>
      </w:pPr>
    </w:p>
    <w:p w14:paraId="070397DF">
      <w:pPr>
        <w:pStyle w:val="7"/>
        <w:ind w:firstLine="0" w:firstLineChars="0"/>
        <w:jc w:val="center"/>
        <w:rPr>
          <w:rFonts w:hint="default" w:ascii="Times New Roman" w:hAnsi="Times New Roman" w:cs="Times New Roman"/>
          <w:b/>
          <w:color w:val="auto"/>
          <w:kern w:val="0"/>
          <w:sz w:val="32"/>
          <w:szCs w:val="32"/>
          <w:highlight w:val="none"/>
        </w:rPr>
      </w:pPr>
    </w:p>
    <w:p w14:paraId="332A7D8A">
      <w:pPr>
        <w:pStyle w:val="7"/>
        <w:ind w:firstLine="0" w:firstLineChars="0"/>
        <w:jc w:val="center"/>
        <w:rPr>
          <w:rFonts w:hint="default" w:ascii="Times New Roman" w:hAnsi="Times New Roman" w:cs="Times New Roman"/>
          <w:b/>
          <w:color w:val="auto"/>
          <w:kern w:val="0"/>
          <w:sz w:val="32"/>
          <w:szCs w:val="32"/>
          <w:highlight w:val="none"/>
        </w:rPr>
      </w:pPr>
      <w:r>
        <w:rPr>
          <w:rFonts w:hint="default" w:ascii="Times New Roman" w:hAnsi="Times New Roman" w:cs="Times New Roman"/>
          <w:b/>
          <w:color w:val="auto"/>
          <w:kern w:val="0"/>
          <w:sz w:val="32"/>
          <w:szCs w:val="32"/>
          <w:highlight w:val="none"/>
        </w:rPr>
        <w:t>概  述</w:t>
      </w:r>
    </w:p>
    <w:p w14:paraId="21C1BFEE">
      <w:pPr>
        <w:pStyle w:val="41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一、建设项目的由来</w:t>
      </w:r>
    </w:p>
    <w:p w14:paraId="18C856E5">
      <w:pPr>
        <w:pStyle w:val="684"/>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2023年10月24日，十四届全国人大常委会第六次会议审议通过国务院提出的建议增发2023年国债支持灾后恢复重建和提升防灾减灾救灾能力的提案，决定在2023年四季度增加发行2023年国债1万亿元，作为特别国债管理。增发的国债资金将重点用于八个方向，其中第六是用于城市排水防涝能力提升行动，支持构建城市排水防涝工程体系，推动系统解决城市内涝问题。</w:t>
      </w:r>
    </w:p>
    <w:p w14:paraId="059B0EE8">
      <w:pPr>
        <w:pStyle w:val="684"/>
        <w:ind w:firstLine="480"/>
        <w:rPr>
          <w:rFonts w:hint="default" w:ascii="Times New Roman" w:hAnsi="Times New Roman" w:eastAsia="宋体" w:cs="Times New Roman"/>
          <w:color w:val="auto"/>
          <w:sz w:val="24"/>
          <w:szCs w:val="24"/>
          <w:highlight w:val="none"/>
          <w:lang w:val="en-US" w:eastAsia="zh-CN"/>
        </w:rPr>
      </w:pPr>
      <w:r>
        <w:rPr>
          <w:rFonts w:hint="eastAsia" w:ascii="Times New Roman" w:cs="Times New Roman"/>
          <w:color w:val="auto"/>
          <w:sz w:val="24"/>
          <w:szCs w:val="24"/>
          <w:highlight w:val="none"/>
          <w:u w:val="single"/>
          <w:lang w:val="en-US" w:eastAsia="zh-CN"/>
        </w:rPr>
        <w:t>钦州港新型城乡融合发展示范区(自贸新城)现有排水沟沿村道向南蜿蜒排至钦州港金鼓江的，是友谊大道以东区域村庄的排水、排洪设施，考虑到钦州港新型城乡融合发展示范区(自贸新城)项目的建设以及友谊大道以东区域村庄的排洪、排水能力需求，需对钦州港新型城乡融合发展示范区(自贸新城)排水系统进行改造，以确保钦州港新型城乡融合发展示范区(自贸新城)的排洪、排水功能的正常运行，</w:t>
      </w:r>
      <w:r>
        <w:rPr>
          <w:rFonts w:hint="default" w:ascii="Times New Roman" w:hAnsi="Times New Roman" w:eastAsia="宋体" w:cs="Times New Roman"/>
          <w:color w:val="auto"/>
          <w:sz w:val="24"/>
          <w:szCs w:val="24"/>
          <w:highlight w:val="none"/>
          <w:lang w:val="en-US" w:eastAsia="zh-CN"/>
        </w:rPr>
        <w:t>广西自贸区临海融合投资建设有限公司结合项目的实际情况提出建设钦州港新型城乡融合发展示范区(自贸新城)排水改造工程。</w:t>
      </w:r>
    </w:p>
    <w:p w14:paraId="7CE0FB16">
      <w:pPr>
        <w:pStyle w:val="684"/>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城市更新项目建设服务于金窝水库的排水水系改造段主要用于企山水库50年一遇泄洪，根据《水利水电工程等级划分及洪水标准》（SL252-2017）项目建设的土堤护岸防洪标准/[重现期（年）]50≤50＜100，堤防级别为Ⅱ级，工程规模为大（2）型，属于新建中大型水利工程</w:t>
      </w:r>
      <w:r>
        <w:rPr>
          <w:rFonts w:hint="default" w:ascii="Times New Roman" w:hAnsi="Times New Roman" w:eastAsia="宋体" w:cs="Times New Roman"/>
          <w:color w:val="auto"/>
          <w:sz w:val="24"/>
          <w:szCs w:val="24"/>
          <w:highlight w:val="none"/>
          <w:lang w:eastAsia="zh-CN"/>
        </w:rPr>
        <w:t>。</w:t>
      </w:r>
    </w:p>
    <w:p w14:paraId="166C789B">
      <w:pPr>
        <w:pStyle w:val="684"/>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根据《国民经济行业分类（GB/T4754-2017）》及《执行国民经济行业分类第1号修改单的通知》（国统字﹝2019〕66号），本项目行业属于河湖治理及防洪设施工程建筑（E4822）。依据《中华人民共和国环境影响评价法》《建设项目环境保护管理条例》及有关环境管理规定，项目应进行环境影响评价。根据《建设项目环境影响评价分类管理名录（2021年版）》，项目属名录中“五十一、水利—127防洪除涝工程”“新建大中型”类别，项目需编制环境影响报告书。</w:t>
      </w:r>
    </w:p>
    <w:p w14:paraId="66693E8B">
      <w:pPr>
        <w:pStyle w:val="410"/>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highlight w:val="none"/>
          <w:lang w:eastAsia="zh-CN"/>
        </w:rPr>
        <w:t>二、建设项目特点</w:t>
      </w:r>
    </w:p>
    <w:p w14:paraId="046CEB94">
      <w:pPr>
        <w:ind w:firstLine="480" w:firstLineChars="200"/>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项目建设</w:t>
      </w:r>
      <w:r>
        <w:rPr>
          <w:rFonts w:hint="default" w:ascii="Times New Roman" w:hAnsi="Times New Roman" w:eastAsia="宋体" w:cs="Times New Roman"/>
          <w:color w:val="auto"/>
          <w:sz w:val="24"/>
          <w:szCs w:val="24"/>
          <w:highlight w:val="none"/>
          <w:lang w:eastAsia="zh-CN"/>
        </w:rPr>
        <w:t>分为</w:t>
      </w:r>
      <w:r>
        <w:rPr>
          <w:rFonts w:hint="default" w:ascii="Times New Roman" w:hAnsi="Times New Roman" w:eastAsia="宋体" w:cs="Times New Roman"/>
          <w:color w:val="auto"/>
          <w:sz w:val="24"/>
          <w:szCs w:val="24"/>
          <w:highlight w:val="none"/>
        </w:rPr>
        <w:t>锦绣大道排水改造段</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城市更新项目建设服务于金窝水库的排水水系改造段</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钦州港路排水</w:t>
      </w:r>
      <w:r>
        <w:rPr>
          <w:rFonts w:hint="default" w:ascii="Times New Roman" w:hAnsi="Times New Roman" w:eastAsia="宋体" w:cs="Times New Roman"/>
          <w:color w:val="auto"/>
          <w:sz w:val="24"/>
          <w:szCs w:val="24"/>
          <w:highlight w:val="none"/>
          <w:lang w:eastAsia="zh-CN"/>
        </w:rPr>
        <w:t>段</w:t>
      </w:r>
      <w:r>
        <w:rPr>
          <w:rFonts w:hint="default" w:ascii="Times New Roman" w:hAnsi="Times New Roman" w:eastAsia="宋体" w:cs="Times New Roman"/>
          <w:color w:val="auto"/>
          <w:sz w:val="24"/>
          <w:szCs w:val="24"/>
          <w:highlight w:val="none"/>
          <w:lang w:val="en-US" w:eastAsia="zh-CN"/>
        </w:rPr>
        <w:t>工程</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主要施工内容包括道路回填，</w:t>
      </w:r>
      <w:r>
        <w:rPr>
          <w:rFonts w:hint="default" w:ascii="Times New Roman" w:hAnsi="Times New Roman" w:eastAsia="宋体" w:cs="Times New Roman"/>
          <w:color w:val="auto"/>
          <w:sz w:val="24"/>
          <w:szCs w:val="24"/>
          <w:highlight w:val="none"/>
          <w:lang w:val="en-US" w:eastAsia="zh-CN"/>
        </w:rPr>
        <w:tab/>
      </w:r>
      <w:r>
        <w:rPr>
          <w:rFonts w:hint="eastAsia" w:ascii="Times New Roman" w:hAnsi="Times New Roman" w:eastAsia="宋体" w:cs="Times New Roman"/>
          <w:color w:val="auto"/>
          <w:sz w:val="24"/>
          <w:szCs w:val="24"/>
          <w:highlight w:val="none"/>
          <w:lang w:val="en-US" w:eastAsia="zh-CN"/>
        </w:rPr>
        <w:t>清淤换填</w:t>
      </w:r>
      <w:r>
        <w:rPr>
          <w:rFonts w:hint="default" w:ascii="Times New Roman" w:hAnsi="Times New Roman" w:eastAsia="宋体" w:cs="Times New Roman"/>
          <w:color w:val="auto"/>
          <w:sz w:val="24"/>
          <w:szCs w:val="24"/>
          <w:highlight w:val="none"/>
          <w:lang w:val="en-US" w:eastAsia="zh-CN"/>
        </w:rPr>
        <w:t>、箱涵施工、挡土墙施工、土石方工程。</w:t>
      </w:r>
    </w:p>
    <w:p w14:paraId="1108F4DF">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本项目施工期废气影响主要为</w:t>
      </w:r>
      <w:r>
        <w:rPr>
          <w:rFonts w:hint="default" w:ascii="Times New Roman" w:hAnsi="Times New Roman" w:eastAsia="宋体" w:cs="Times New Roman"/>
          <w:color w:val="auto"/>
          <w:sz w:val="24"/>
          <w:szCs w:val="24"/>
          <w:highlight w:val="none"/>
          <w:u w:val="single"/>
        </w:rPr>
        <w:t>施工作业</w:t>
      </w:r>
      <w:r>
        <w:rPr>
          <w:rFonts w:hint="eastAsia" w:ascii="Times New Roman"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rPr>
        <w:t>运输扬尘</w:t>
      </w:r>
      <w:r>
        <w:rPr>
          <w:rFonts w:hint="eastAsia" w:ascii="Times New Roman" w:cs="Times New Roman"/>
          <w:color w:val="auto"/>
          <w:sz w:val="24"/>
          <w:szCs w:val="24"/>
          <w:highlight w:val="none"/>
          <w:u w:val="single"/>
          <w:lang w:eastAsia="zh-CN"/>
        </w:rPr>
        <w:t>、</w:t>
      </w:r>
      <w:r>
        <w:rPr>
          <w:rFonts w:hint="eastAsia" w:ascii="Times New Roman" w:cs="Times New Roman"/>
          <w:color w:val="auto"/>
          <w:sz w:val="24"/>
          <w:szCs w:val="24"/>
          <w:highlight w:val="none"/>
          <w:u w:val="single"/>
          <w:lang w:val="en-US" w:eastAsia="zh-CN"/>
        </w:rPr>
        <w:t>临时中转场及道路回填扬尘、淤泥恶臭</w:t>
      </w:r>
      <w:r>
        <w:rPr>
          <w:rFonts w:hint="default" w:ascii="Times New Roman" w:hAnsi="Times New Roman" w:eastAsia="宋体" w:cs="Times New Roman"/>
          <w:color w:val="auto"/>
          <w:sz w:val="24"/>
          <w:szCs w:val="24"/>
          <w:highlight w:val="none"/>
        </w:rPr>
        <w:t>影响；噪声影响为施工机械作业噪声影响；废水主要为施工废水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基坑废水，车辆冲洗废水</w:t>
      </w:r>
      <w:r>
        <w:rPr>
          <w:rFonts w:hint="eastAsia" w:ascii="Times New Roman" w:cs="Times New Roman"/>
          <w:color w:val="auto"/>
          <w:sz w:val="24"/>
          <w:szCs w:val="24"/>
          <w:highlight w:val="none"/>
          <w:lang w:val="en-US" w:eastAsia="zh-CN"/>
        </w:rPr>
        <w:t>，</w:t>
      </w:r>
      <w:r>
        <w:rPr>
          <w:rFonts w:hint="eastAsia" w:ascii="Times New Roman" w:cs="Times New Roman"/>
          <w:color w:val="auto"/>
          <w:sz w:val="24"/>
          <w:szCs w:val="24"/>
          <w:highlight w:val="none"/>
          <w:u w:val="single"/>
          <w:lang w:val="en-US" w:eastAsia="zh-CN"/>
        </w:rPr>
        <w:t>淤泥渗滤液，施工期初期雨水</w:t>
      </w:r>
      <w:r>
        <w:rPr>
          <w:rFonts w:hint="default" w:ascii="Times New Roman" w:hAnsi="Times New Roman" w:eastAsia="宋体" w:cs="Times New Roman"/>
          <w:color w:val="auto"/>
          <w:sz w:val="24"/>
          <w:szCs w:val="24"/>
          <w:highlight w:val="none"/>
        </w:rPr>
        <w:t>；生态影响主要为陆域占用、施工活动</w:t>
      </w:r>
      <w:r>
        <w:rPr>
          <w:rFonts w:hint="eastAsia" w:ascii="Times New Roman" w:cs="Times New Roman"/>
          <w:color w:val="auto"/>
          <w:sz w:val="24"/>
          <w:szCs w:val="24"/>
          <w:highlight w:val="none"/>
          <w:lang w:eastAsia="zh-CN"/>
        </w:rPr>
        <w:t>、</w:t>
      </w:r>
      <w:r>
        <w:rPr>
          <w:rFonts w:hint="eastAsia" w:ascii="Times New Roman" w:cs="Times New Roman"/>
          <w:color w:val="auto"/>
          <w:sz w:val="24"/>
          <w:szCs w:val="24"/>
          <w:highlight w:val="none"/>
          <w:u w:val="single"/>
          <w:lang w:val="en-US" w:eastAsia="zh-CN"/>
        </w:rPr>
        <w:t>河道改移后的</w:t>
      </w:r>
      <w:r>
        <w:rPr>
          <w:rFonts w:hint="default" w:ascii="Times New Roman" w:hAnsi="Times New Roman" w:eastAsia="宋体" w:cs="Times New Roman"/>
          <w:color w:val="auto"/>
          <w:sz w:val="24"/>
          <w:szCs w:val="24"/>
          <w:highlight w:val="none"/>
        </w:rPr>
        <w:t>生态环境的影响。</w:t>
      </w:r>
    </w:p>
    <w:p w14:paraId="7972F3AE">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③本项目</w:t>
      </w:r>
      <w:r>
        <w:rPr>
          <w:rFonts w:hint="default" w:ascii="Times New Roman" w:hAnsi="Times New Roman" w:eastAsia="宋体" w:cs="Times New Roman"/>
          <w:color w:val="auto"/>
          <w:sz w:val="24"/>
          <w:szCs w:val="24"/>
          <w:highlight w:val="none"/>
          <w:lang w:val="en-US" w:eastAsia="zh-CN"/>
        </w:rPr>
        <w:t>为非排污生态影响类项目，运营期无污染物产生</w:t>
      </w:r>
      <w:r>
        <w:rPr>
          <w:rFonts w:hint="default" w:ascii="Times New Roman" w:hAnsi="Times New Roman" w:eastAsia="宋体" w:cs="Times New Roman"/>
          <w:color w:val="auto"/>
          <w:sz w:val="24"/>
          <w:szCs w:val="24"/>
          <w:highlight w:val="none"/>
        </w:rPr>
        <w:t>。</w:t>
      </w:r>
    </w:p>
    <w:p w14:paraId="3D89A45A">
      <w:pPr>
        <w:pStyle w:val="410"/>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三</w:t>
      </w:r>
      <w:r>
        <w:rPr>
          <w:rFonts w:hint="default" w:ascii="Times New Roman" w:hAnsi="Times New Roman" w:eastAsia="宋体" w:cs="Times New Roman"/>
          <w:b/>
          <w:color w:val="auto"/>
          <w:sz w:val="24"/>
          <w:szCs w:val="24"/>
          <w:highlight w:val="none"/>
        </w:rPr>
        <w:t>、环境影响评价过程</w:t>
      </w:r>
    </w:p>
    <w:p w14:paraId="6DEB2323">
      <w:pPr>
        <w:ind w:firstLine="480" w:firstLineChars="200"/>
        <w:rPr>
          <w:rFonts w:hint="default" w:ascii="Times New Roman" w:hAnsi="Times New Roman" w:eastAsia="宋体" w:cs="Times New Roman"/>
          <w:color w:val="auto"/>
          <w:sz w:val="24"/>
          <w:szCs w:val="24"/>
          <w:highlight w:val="none"/>
        </w:rPr>
      </w:pPr>
      <w:r>
        <w:rPr>
          <w:rFonts w:hint="eastAsia" w:ascii="Times New Roman" w:cs="Times New Roman"/>
          <w:color w:val="auto"/>
          <w:sz w:val="24"/>
          <w:szCs w:val="24"/>
          <w:highlight w:val="none"/>
          <w:lang w:val="en-US" w:eastAsia="zh-CN"/>
        </w:rPr>
        <w:t>2024</w:t>
      </w:r>
      <w:r>
        <w:rPr>
          <w:rFonts w:hint="default" w:ascii="Times New Roman" w:hAnsi="Times New Roman" w:eastAsia="宋体" w:cs="Times New Roman"/>
          <w:color w:val="auto"/>
          <w:sz w:val="24"/>
          <w:szCs w:val="24"/>
          <w:highlight w:val="none"/>
        </w:rPr>
        <w:t>年</w:t>
      </w:r>
      <w:r>
        <w:rPr>
          <w:rFonts w:hint="eastAsia" w:ascii="Times New Roman"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月，建设单位委托我公司承担本项目的环境影响评价工作（委托书详见附件1），工程评价内容主要</w:t>
      </w:r>
      <w:r>
        <w:rPr>
          <w:rFonts w:hint="default" w:ascii="Times New Roman" w:hAnsi="Times New Roman" w:eastAsia="宋体" w:cs="Times New Roman"/>
          <w:color w:val="auto"/>
          <w:sz w:val="24"/>
          <w:szCs w:val="24"/>
          <w:highlight w:val="none"/>
          <w:lang w:val="en-US" w:eastAsia="zh-CN"/>
        </w:rPr>
        <w:t>有锦绣大道排水改造工程、城市更新项目建设服务于金窝水库的排水水系改造工程、钦州港路排水工程</w:t>
      </w:r>
      <w:r>
        <w:rPr>
          <w:rFonts w:hint="default" w:ascii="Times New Roman" w:hAnsi="Times New Roman" w:eastAsia="宋体" w:cs="Times New Roman"/>
          <w:color w:val="auto"/>
          <w:sz w:val="24"/>
          <w:szCs w:val="24"/>
          <w:highlight w:val="none"/>
        </w:rPr>
        <w:t>等附属工程。我公司接受委托后，环评工作组成员对项目场址及周边环境敏感目标及污染源进行了现场调查，并同步开展公众参与调查。通过现场调查、相关部门咨询及资料收集和分析，结合项目排污特征及周边环境敏感点、污染源分布及相关规划情况，环评单位确定了本次环境影响评价工作等级，在此基础上</w:t>
      </w:r>
      <w:r>
        <w:rPr>
          <w:rFonts w:hint="default" w:ascii="Times New Roman" w:hAnsi="Times New Roman" w:eastAsia="宋体" w:cs="Times New Roman"/>
          <w:color w:val="auto"/>
          <w:sz w:val="24"/>
          <w:szCs w:val="24"/>
          <w:highlight w:val="none"/>
          <w:lang w:eastAsia="zh-CN"/>
        </w:rPr>
        <w:t>制定</w:t>
      </w:r>
      <w:r>
        <w:rPr>
          <w:rFonts w:hint="default" w:ascii="Times New Roman" w:hAnsi="Times New Roman" w:eastAsia="宋体" w:cs="Times New Roman"/>
          <w:color w:val="auto"/>
          <w:sz w:val="24"/>
          <w:szCs w:val="24"/>
          <w:highlight w:val="none"/>
        </w:rPr>
        <w:t>了项目环境质量现状监测方案并委托</w:t>
      </w:r>
      <w:r>
        <w:rPr>
          <w:rFonts w:hint="default" w:ascii="Times New Roman" w:hAnsi="Times New Roman" w:eastAsia="宋体" w:cs="Times New Roman"/>
          <w:color w:val="auto"/>
          <w:sz w:val="24"/>
          <w:szCs w:val="24"/>
          <w:highlight w:val="none"/>
          <w:lang w:eastAsia="zh-CN"/>
        </w:rPr>
        <w:t>广西恒沁检测科技有限公司</w:t>
      </w:r>
      <w:r>
        <w:rPr>
          <w:rFonts w:hint="default" w:ascii="Times New Roman" w:hAnsi="Times New Roman" w:eastAsia="宋体" w:cs="Times New Roman"/>
          <w:color w:val="auto"/>
          <w:sz w:val="24"/>
          <w:szCs w:val="24"/>
          <w:highlight w:val="none"/>
        </w:rPr>
        <w:t>进行现场监测，</w:t>
      </w:r>
      <w:r>
        <w:rPr>
          <w:rFonts w:hint="default" w:ascii="Times New Roman" w:hAnsi="Times New Roman" w:eastAsia="宋体" w:cs="Times New Roman"/>
          <w:color w:val="auto"/>
          <w:sz w:val="24"/>
          <w:szCs w:val="24"/>
          <w:highlight w:val="none"/>
          <w:lang w:eastAsia="zh-CN"/>
        </w:rPr>
        <w:t>获得</w:t>
      </w:r>
      <w:r>
        <w:rPr>
          <w:rFonts w:hint="default" w:ascii="Times New Roman" w:hAnsi="Times New Roman" w:eastAsia="宋体" w:cs="Times New Roman"/>
          <w:color w:val="auto"/>
          <w:sz w:val="24"/>
          <w:szCs w:val="24"/>
          <w:highlight w:val="none"/>
        </w:rPr>
        <w:t>区域环境质量现状数据。</w:t>
      </w:r>
    </w:p>
    <w:p w14:paraId="37F5FA3F">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在现场踏勘及调查、环境质量现状监测、公众参与调查的基础上，结合本工程的实际情况，环评单位根据环境影响评价有关技术导则、规范进行了环境影响预测及评价，制定了相应的环境保护措施，编制完成了《</w:t>
      </w:r>
      <w:r>
        <w:rPr>
          <w:rFonts w:hint="default" w:ascii="Times New Roman" w:hAnsi="Times New Roman" w:eastAsia="宋体" w:cs="Times New Roman"/>
          <w:color w:val="auto"/>
          <w:sz w:val="24"/>
          <w:szCs w:val="24"/>
          <w:highlight w:val="none"/>
          <w:lang w:eastAsia="zh-CN"/>
        </w:rPr>
        <w:t>钦州港新型城乡融合发展示范区（自贸新城）排水改造工程</w:t>
      </w:r>
      <w:r>
        <w:rPr>
          <w:rFonts w:hint="default" w:ascii="Times New Roman" w:hAnsi="Times New Roman" w:eastAsia="宋体" w:cs="Times New Roman"/>
          <w:color w:val="auto"/>
          <w:sz w:val="24"/>
          <w:szCs w:val="24"/>
          <w:highlight w:val="none"/>
        </w:rPr>
        <w:t>环境影响报告书》。</w:t>
      </w:r>
    </w:p>
    <w:p w14:paraId="6A7CB878">
      <w:pPr>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四</w:t>
      </w:r>
      <w:r>
        <w:rPr>
          <w:rFonts w:hint="default" w:ascii="Times New Roman" w:hAnsi="Times New Roman" w:eastAsia="宋体" w:cs="Times New Roman"/>
          <w:b/>
          <w:color w:val="auto"/>
          <w:sz w:val="24"/>
          <w:szCs w:val="24"/>
          <w:highlight w:val="none"/>
        </w:rPr>
        <w:t>、分析判定相关情况</w:t>
      </w:r>
    </w:p>
    <w:p w14:paraId="293BB808">
      <w:pPr>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项目建设符合国家产业政策、与《关于印发机场、港口、水利（河湖整治与防洪除涝工程）三个行业建设项目环境影响评价文件审批原则的通知》（环办环评〔2018〕2号）、生态环境分区管控、</w:t>
      </w:r>
      <w:r>
        <w:rPr>
          <w:rFonts w:hint="default" w:ascii="Times New Roman" w:hAnsi="Times New Roman" w:eastAsia="宋体" w:cs="Times New Roman"/>
          <w:color w:val="auto"/>
          <w:sz w:val="24"/>
          <w:szCs w:val="24"/>
          <w:highlight w:val="none"/>
          <w:u w:val="single"/>
          <w:lang w:val="en-US" w:eastAsia="zh-CN"/>
        </w:rPr>
        <w:t>《</w:t>
      </w:r>
      <w:r>
        <w:rPr>
          <w:rFonts w:hint="eastAsia" w:ascii="Times New Roman" w:cs="Times New Roman"/>
          <w:color w:val="auto"/>
          <w:sz w:val="24"/>
          <w:szCs w:val="24"/>
          <w:highlight w:val="none"/>
          <w:u w:val="single"/>
          <w:lang w:val="en-US" w:eastAsia="zh-CN"/>
        </w:rPr>
        <w:t>钦州市城市总体规划修改（2012-2030）</w:t>
      </w:r>
      <w:r>
        <w:rPr>
          <w:rFonts w:hint="default" w:ascii="Times New Roman" w:hAnsi="Times New Roman" w:eastAsia="宋体" w:cs="Times New Roman"/>
          <w:color w:val="auto"/>
          <w:sz w:val="24"/>
          <w:szCs w:val="24"/>
          <w:highlight w:val="none"/>
          <w:u w:val="single"/>
          <w:lang w:val="en-US" w:eastAsia="zh-CN"/>
        </w:rPr>
        <w:t>》</w:t>
      </w:r>
      <w:r>
        <w:rPr>
          <w:rFonts w:hint="default" w:ascii="Times New Roman" w:hAnsi="Times New Roman" w:eastAsia="宋体" w:cs="Times New Roman"/>
          <w:color w:val="auto"/>
          <w:sz w:val="24"/>
          <w:szCs w:val="24"/>
          <w:highlight w:val="none"/>
          <w:lang w:val="en-US" w:eastAsia="zh-CN"/>
        </w:rPr>
        <w:t>、</w:t>
      </w:r>
      <w:r>
        <w:rPr>
          <w:rFonts w:hint="eastAsia"/>
          <w:color w:val="auto"/>
          <w:highlight w:val="none"/>
          <w:u w:val="single"/>
          <w:lang w:val="en-US" w:eastAsia="zh-CN"/>
        </w:rPr>
        <w:t>《中国（广西）自由贸易试验区钦州港片区管线综合专项规划（2023-2035）》、</w:t>
      </w:r>
      <w:r>
        <w:rPr>
          <w:rFonts w:hint="default" w:ascii="Times New Roman" w:hAnsi="Times New Roman" w:eastAsia="宋体" w:cs="Times New Roman"/>
          <w:color w:val="auto"/>
          <w:sz w:val="24"/>
          <w:szCs w:val="24"/>
          <w:highlight w:val="none"/>
          <w:lang w:val="en-US" w:eastAsia="zh-CN"/>
        </w:rPr>
        <w:t>《钦州市生态环境保护“十四五”规划》、《广西城市内涝治理实施方案》、《钦州市水安全保障“十四五”规划报告》、《广西壮族自治区主体功能区划》、</w:t>
      </w:r>
      <w:r>
        <w:rPr>
          <w:rFonts w:hint="default" w:ascii="Times New Roman" w:hAnsi="Times New Roman" w:eastAsia="宋体" w:cs="Times New Roman"/>
          <w:color w:val="auto"/>
          <w:sz w:val="24"/>
          <w:szCs w:val="24"/>
          <w:highlight w:val="none"/>
          <w:lang w:eastAsia="zh-CN"/>
        </w:rPr>
        <w:t>《广西壮族自治区生态功能区划》《中华人民共和国河道管理条例》及《广西壮族自治区河道管理条例》</w:t>
      </w:r>
      <w:r>
        <w:rPr>
          <w:rFonts w:hint="default" w:ascii="Times New Roman" w:hAnsi="Times New Roman" w:eastAsia="宋体" w:cs="Times New Roman"/>
          <w:color w:val="auto"/>
          <w:sz w:val="24"/>
          <w:szCs w:val="24"/>
          <w:highlight w:val="none"/>
          <w:lang w:val="en-US" w:eastAsia="zh-CN"/>
        </w:rPr>
        <w:t>相符，</w:t>
      </w:r>
      <w:r>
        <w:rPr>
          <w:rFonts w:hint="default" w:ascii="Times New Roman" w:hAnsi="Times New Roman" w:eastAsia="宋体" w:cs="Times New Roman"/>
          <w:color w:val="auto"/>
          <w:sz w:val="24"/>
          <w:szCs w:val="24"/>
          <w:highlight w:val="none"/>
          <w:lang w:eastAsia="zh-CN"/>
        </w:rPr>
        <w:t>项目情况具体分析详见</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REF _Ref149833609 \n \h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1.7</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lang w:eastAsia="zh-CN"/>
        </w:rPr>
        <w:t>章政策与规划相符性分析。</w:t>
      </w:r>
    </w:p>
    <w:p w14:paraId="6319C7B5">
      <w:pPr>
        <w:ind w:firstLine="482"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lang w:eastAsia="zh-CN"/>
        </w:rPr>
        <w:t>五</w:t>
      </w:r>
      <w:r>
        <w:rPr>
          <w:rFonts w:hint="default" w:ascii="Times New Roman" w:hAnsi="Times New Roman" w:eastAsia="宋体" w:cs="Times New Roman"/>
          <w:b/>
          <w:color w:val="auto"/>
          <w:sz w:val="24"/>
          <w:szCs w:val="24"/>
          <w:highlight w:val="none"/>
        </w:rPr>
        <w:t>、关注的主要环境问题及环境影响</w:t>
      </w:r>
    </w:p>
    <w:p w14:paraId="05A98452">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本次环境影响评价关注的主要环境问题有：</w:t>
      </w:r>
    </w:p>
    <w:p w14:paraId="49A53454">
      <w:pPr>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（1）</w:t>
      </w:r>
      <w:r>
        <w:rPr>
          <w:rFonts w:hint="eastAsia" w:ascii="Times New Roman" w:cs="Times New Roman"/>
          <w:color w:val="auto"/>
          <w:sz w:val="24"/>
          <w:szCs w:val="24"/>
          <w:highlight w:val="none"/>
          <w:lang w:val="en-US" w:eastAsia="zh-CN"/>
        </w:rPr>
        <w:t>已施工部分工程的回顾性影响分析；</w:t>
      </w:r>
    </w:p>
    <w:p w14:paraId="2F0C47F3">
      <w:pPr>
        <w:ind w:firstLine="480" w:firstLineChars="200"/>
        <w:rPr>
          <w:rFonts w:hint="default" w:ascii="Times New Roman" w:hAnsi="Times New Roman" w:eastAsia="宋体" w:cs="Times New Roman"/>
          <w:color w:val="auto"/>
          <w:sz w:val="24"/>
          <w:szCs w:val="24"/>
          <w:highlight w:val="none"/>
        </w:rPr>
      </w:pPr>
      <w:r>
        <w:rPr>
          <w:rFonts w:hint="eastAsia" w:ascii="Times New Roman" w:cs="Times New Roman"/>
          <w:color w:val="auto"/>
          <w:sz w:val="24"/>
          <w:szCs w:val="24"/>
          <w:highlight w:val="none"/>
          <w:lang w:eastAsia="zh-CN"/>
        </w:rPr>
        <w:t>（</w:t>
      </w:r>
      <w:r>
        <w:rPr>
          <w:rFonts w:hint="eastAsia" w:ascii="Times New Roman" w:cs="Times New Roman"/>
          <w:color w:val="auto"/>
          <w:sz w:val="24"/>
          <w:szCs w:val="24"/>
          <w:highlight w:val="none"/>
          <w:lang w:val="en-US" w:eastAsia="zh-CN"/>
        </w:rPr>
        <w:t>2</w:t>
      </w:r>
      <w:r>
        <w:rPr>
          <w:rFonts w:hint="eastAsia" w:ascii="Times New Roman" w:cs="Times New Roman"/>
          <w:color w:val="auto"/>
          <w:sz w:val="24"/>
          <w:szCs w:val="24"/>
          <w:highlight w:val="none"/>
          <w:lang w:eastAsia="zh-CN"/>
        </w:rPr>
        <w:t>）</w:t>
      </w:r>
      <w:r>
        <w:rPr>
          <w:rFonts w:hint="eastAsia" w:ascii="Times New Roman" w:cs="Times New Roman"/>
          <w:color w:val="auto"/>
          <w:sz w:val="24"/>
          <w:szCs w:val="24"/>
          <w:highlight w:val="none"/>
          <w:u w:val="single"/>
          <w:lang w:val="en-US" w:eastAsia="zh-CN"/>
        </w:rPr>
        <w:t>拟</w:t>
      </w:r>
      <w:r>
        <w:rPr>
          <w:rFonts w:hint="default" w:ascii="Times New Roman" w:hAnsi="Times New Roman" w:eastAsia="宋体" w:cs="Times New Roman"/>
          <w:color w:val="auto"/>
          <w:sz w:val="24"/>
          <w:szCs w:val="24"/>
          <w:highlight w:val="none"/>
        </w:rPr>
        <w:t>建设施工及运营过程中对周边环境可能造成的影响；</w:t>
      </w:r>
    </w:p>
    <w:p w14:paraId="23358D0D">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）项目</w:t>
      </w:r>
      <w:r>
        <w:rPr>
          <w:rFonts w:hint="eastAsia" w:ascii="Times New Roman" w:cs="Times New Roman"/>
          <w:color w:val="auto"/>
          <w:sz w:val="24"/>
          <w:szCs w:val="24"/>
          <w:highlight w:val="none"/>
          <w:u w:val="single"/>
          <w:lang w:val="en-US" w:eastAsia="zh-CN"/>
        </w:rPr>
        <w:t>河道改移对水生</w:t>
      </w:r>
      <w:r>
        <w:rPr>
          <w:rFonts w:hint="default" w:ascii="Times New Roman" w:hAnsi="Times New Roman" w:eastAsia="宋体" w:cs="Times New Roman"/>
          <w:color w:val="auto"/>
          <w:sz w:val="24"/>
          <w:szCs w:val="24"/>
          <w:highlight w:val="none"/>
          <w:u w:val="single"/>
        </w:rPr>
        <w:t>生态</w:t>
      </w:r>
      <w:r>
        <w:rPr>
          <w:rFonts w:hint="default" w:ascii="Times New Roman" w:hAnsi="Times New Roman" w:eastAsia="宋体" w:cs="Times New Roman"/>
          <w:color w:val="auto"/>
          <w:sz w:val="24"/>
          <w:szCs w:val="24"/>
          <w:highlight w:val="none"/>
        </w:rPr>
        <w:t>可能造成的影响；</w:t>
      </w:r>
    </w:p>
    <w:p w14:paraId="4CF1DD0F">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）项目建设拟采取的环保设施和污染防治措施的可行性和可靠性；风险防范措施的可行性。</w:t>
      </w:r>
    </w:p>
    <w:p w14:paraId="1AA7EBE8">
      <w:pPr>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六</w:t>
      </w:r>
      <w:r>
        <w:rPr>
          <w:rFonts w:hint="default" w:ascii="Times New Roman" w:hAnsi="Times New Roman" w:eastAsia="宋体" w:cs="Times New Roman"/>
          <w:b/>
          <w:color w:val="auto"/>
          <w:sz w:val="24"/>
          <w:szCs w:val="24"/>
          <w:highlight w:val="none"/>
        </w:rPr>
        <w:t>、环评主要结论</w:t>
      </w:r>
    </w:p>
    <w:p w14:paraId="48525BFC">
      <w:pPr>
        <w:ind w:firstLine="480" w:firstLineChars="200"/>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color w:val="auto"/>
          <w:sz w:val="24"/>
          <w:szCs w:val="24"/>
          <w:highlight w:val="none"/>
        </w:rPr>
        <w:t>钦州港新型城乡融合发展示范区（自贸新城）排水改造工程</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符合国家产业政策，</w:t>
      </w:r>
      <w:r>
        <w:rPr>
          <w:rFonts w:hint="default" w:ascii="Times New Roman" w:hAnsi="Times New Roman" w:eastAsia="宋体" w:cs="Times New Roman"/>
          <w:color w:val="auto"/>
          <w:sz w:val="24"/>
          <w:szCs w:val="24"/>
          <w:highlight w:val="none"/>
          <w:lang w:val="en-US" w:eastAsia="zh-CN"/>
        </w:rPr>
        <w:t>符合</w:t>
      </w:r>
      <w:r>
        <w:rPr>
          <w:rFonts w:hint="eastAsia" w:ascii="Times New Roman" w:cs="Times New Roman"/>
          <w:color w:val="auto"/>
          <w:sz w:val="24"/>
          <w:szCs w:val="24"/>
          <w:highlight w:val="none"/>
          <w:u w:val="single"/>
          <w:lang w:val="en-US" w:eastAsia="zh-CN"/>
        </w:rPr>
        <w:t>钦州市城市总体规划修改（2012-2030）、</w:t>
      </w:r>
      <w:r>
        <w:rPr>
          <w:rFonts w:hint="eastAsia"/>
          <w:color w:val="auto"/>
          <w:highlight w:val="none"/>
          <w:u w:val="single"/>
          <w:lang w:val="en-US" w:eastAsia="zh-CN"/>
        </w:rPr>
        <w:t>中国（广西）自由贸易试验区钦州港片区管线综合专项规划（2023-2035）</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项目建设有利于提升新型城乡融合发展示范区防洪排涝能力，满足城市现代化和生态城市建设的高标准要求</w:t>
      </w:r>
      <w:r>
        <w:rPr>
          <w:rFonts w:hint="default" w:ascii="Times New Roman" w:hAnsi="Times New Roman" w:eastAsia="宋体" w:cs="Times New Roman"/>
          <w:color w:val="auto"/>
          <w:sz w:val="24"/>
          <w:szCs w:val="24"/>
          <w:highlight w:val="none"/>
          <w:lang w:eastAsia="zh-CN"/>
        </w:rPr>
        <w:t>，具</w:t>
      </w:r>
      <w:r>
        <w:rPr>
          <w:rFonts w:hint="default" w:ascii="Times New Roman" w:hAnsi="Times New Roman" w:eastAsia="宋体" w:cs="Times New Roman"/>
          <w:color w:val="auto"/>
          <w:sz w:val="24"/>
          <w:szCs w:val="24"/>
          <w:highlight w:val="none"/>
        </w:rPr>
        <w:t>有较强的经济和</w:t>
      </w:r>
      <w:r>
        <w:rPr>
          <w:rFonts w:hint="default" w:ascii="Times New Roman" w:hAnsi="Times New Roman" w:eastAsia="宋体" w:cs="Times New Roman"/>
          <w:color w:val="auto"/>
          <w:sz w:val="24"/>
          <w:szCs w:val="24"/>
          <w:highlight w:val="none"/>
          <w:lang w:eastAsia="zh-CN"/>
        </w:rPr>
        <w:t>社会效</w:t>
      </w:r>
      <w:r>
        <w:rPr>
          <w:rFonts w:hint="default" w:ascii="Times New Roman" w:hAnsi="Times New Roman" w:eastAsia="宋体" w:cs="Times New Roman"/>
          <w:color w:val="auto"/>
          <w:sz w:val="24"/>
          <w:szCs w:val="24"/>
          <w:highlight w:val="none"/>
        </w:rPr>
        <w:t>益。项目的建设开发将不可避免地对区域生态、地表水、地下水、空气和声环境质量等产生一定的不利影响，通过采取完善可行的污染防治和生态保护措施，本项目对环境的不利影响程度和范围均较小。建设单位在项目建设和生产过程中要切实做好环境保护“三同时”工作，严格落实项目设计方案、水土保持方案及本报告中提出的各项污染防治和风险防范措施，可将项目建设对环境不利影响程度降至最低限度，并为环境所接受，实现经济、社会和环境的</w:t>
      </w:r>
      <w:r>
        <w:rPr>
          <w:rFonts w:hint="default" w:ascii="Times New Roman" w:hAnsi="Times New Roman" w:eastAsia="宋体" w:cs="Times New Roman"/>
          <w:color w:val="auto"/>
          <w:sz w:val="24"/>
          <w:szCs w:val="24"/>
          <w:highlight w:val="none"/>
          <w:lang w:eastAsia="zh-CN"/>
        </w:rPr>
        <w:t>可持续发</w:t>
      </w:r>
      <w:r>
        <w:rPr>
          <w:rFonts w:hint="default" w:ascii="Times New Roman" w:hAnsi="Times New Roman" w:eastAsia="宋体" w:cs="Times New Roman"/>
          <w:color w:val="auto"/>
          <w:sz w:val="24"/>
          <w:szCs w:val="24"/>
          <w:highlight w:val="none"/>
        </w:rPr>
        <w:t>展。从环境影响的角度分析，本项目选址合理，建设可行。</w:t>
      </w:r>
    </w:p>
    <w:p w14:paraId="719D3CCB">
      <w:pPr>
        <w:pStyle w:val="410"/>
        <w:rPr>
          <w:rFonts w:hint="default" w:ascii="Times New Roman" w:hAnsi="Times New Roman" w:eastAsia="宋体" w:cs="Times New Roman"/>
          <w:b/>
          <w:color w:val="auto"/>
          <w:kern w:val="0"/>
          <w:sz w:val="24"/>
          <w:szCs w:val="24"/>
          <w:highlight w:val="none"/>
        </w:rPr>
        <w:sectPr>
          <w:pgSz w:w="11906" w:h="16838"/>
          <w:pgMar w:top="1418" w:right="1514" w:bottom="1418" w:left="1780" w:header="1134" w:footer="992" w:gutter="0"/>
          <w:pgNumType w:fmt="upperRoman"/>
          <w:cols w:space="720" w:num="1"/>
          <w:docGrid w:type="lines" w:linePitch="466" w:charSpace="3406"/>
        </w:sectPr>
      </w:pPr>
    </w:p>
    <w:bookmarkEnd w:id="0"/>
    <w:p w14:paraId="087D6D1F">
      <w:pPr>
        <w:jc w:val="center"/>
        <w:rPr>
          <w:rFonts w:hint="default" w:ascii="Times New Roman" w:hAnsi="Times New Roman" w:eastAsia="黑体" w:cs="Times New Roman"/>
          <w:b/>
          <w:color w:val="auto"/>
          <w:kern w:val="0"/>
          <w:sz w:val="32"/>
          <w:szCs w:val="32"/>
          <w:highlight w:val="none"/>
        </w:rPr>
      </w:pPr>
      <w:r>
        <w:rPr>
          <w:rFonts w:hint="default" w:ascii="Times New Roman" w:hAnsi="Times New Roman" w:eastAsia="黑体" w:cs="Times New Roman"/>
          <w:b/>
          <w:color w:val="auto"/>
          <w:kern w:val="0"/>
          <w:sz w:val="32"/>
          <w:szCs w:val="32"/>
          <w:highlight w:val="none"/>
        </w:rPr>
        <w:t>目    录</w:t>
      </w:r>
    </w:p>
    <w:p w14:paraId="0FD10ECF">
      <w:pPr>
        <w:pStyle w:val="58"/>
        <w:tabs>
          <w:tab w:val="right" w:leader="dot" w:pos="8612"/>
          <w:tab w:val="clear" w:pos="8602"/>
        </w:tabs>
        <w:rPr>
          <w:color w:val="auto"/>
          <w:highlight w:val="none"/>
        </w:rPr>
      </w:pPr>
      <w:r>
        <w:rPr>
          <w:rFonts w:hint="default" w:ascii="Times New Roman" w:hAnsi="Times New Roman" w:cs="Times New Roman"/>
          <w:b w:val="0"/>
          <w:bCs/>
          <w:color w:val="auto"/>
          <w:kern w:val="44"/>
          <w:highlight w:val="none"/>
        </w:rPr>
        <w:fldChar w:fldCharType="begin"/>
      </w:r>
      <w:r>
        <w:rPr>
          <w:rFonts w:hint="default" w:ascii="Times New Roman" w:hAnsi="Times New Roman" w:cs="Times New Roman"/>
          <w:b w:val="0"/>
          <w:bCs/>
          <w:color w:val="auto"/>
          <w:kern w:val="44"/>
          <w:highlight w:val="none"/>
        </w:rPr>
        <w:instrText xml:space="preserve"> TOC \o "1-2" \h \z \u </w:instrText>
      </w:r>
      <w:r>
        <w:rPr>
          <w:rFonts w:hint="default" w:ascii="Times New Roman" w:hAnsi="Times New Roman" w:cs="Times New Roman"/>
          <w:b w:val="0"/>
          <w:bCs/>
          <w:color w:val="auto"/>
          <w:kern w:val="44"/>
          <w:highlight w:val="none"/>
        </w:rPr>
        <w:fldChar w:fldCharType="separate"/>
      </w:r>
      <w:r>
        <w:rPr>
          <w:rFonts w:hint="default" w:ascii="Times New Roman" w:hAnsi="Times New Roman" w:cs="Times New Roman"/>
          <w:bCs/>
          <w:color w:val="auto"/>
          <w:kern w:val="44"/>
          <w:highlight w:val="none"/>
        </w:rPr>
        <w:fldChar w:fldCharType="begin"/>
      </w:r>
      <w:r>
        <w:rPr>
          <w:rFonts w:hint="default" w:ascii="Times New Roman" w:hAnsi="Times New Roman" w:cs="Times New Roman"/>
          <w:bCs/>
          <w:color w:val="auto"/>
          <w:kern w:val="44"/>
          <w:highlight w:val="none"/>
        </w:rPr>
        <w:instrText xml:space="preserve"> HYPERLINK \l _Toc16514 </w:instrText>
      </w:r>
      <w:r>
        <w:rPr>
          <w:rFonts w:hint="default" w:ascii="Times New Roman" w:hAnsi="Times New Roman" w:cs="Times New Roman"/>
          <w:bCs/>
          <w:color w:val="auto"/>
          <w:kern w:val="44"/>
          <w:highlight w:val="none"/>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color w:val="auto"/>
          <w:spacing w:val="0"/>
          <w:position w:val="0"/>
          <w:highlight w:val="none"/>
          <w:vertAlign w:val="baseline"/>
        </w:rPr>
        <w:t xml:space="preserve">1. </w:t>
      </w:r>
      <w:r>
        <w:rPr>
          <w:rFonts w:hint="default"/>
          <w:color w:val="auto"/>
          <w:highlight w:val="none"/>
        </w:rPr>
        <w:t>总  则</w:t>
      </w:r>
      <w:r>
        <w:rPr>
          <w:color w:val="auto"/>
          <w:highlight w:val="none"/>
        </w:rPr>
        <w:tab/>
      </w:r>
      <w:r>
        <w:rPr>
          <w:color w:val="auto"/>
          <w:highlight w:val="none"/>
        </w:rPr>
        <w:fldChar w:fldCharType="begin"/>
      </w:r>
      <w:r>
        <w:rPr>
          <w:color w:val="auto"/>
          <w:highlight w:val="none"/>
        </w:rPr>
        <w:instrText xml:space="preserve"> PAGEREF _Toc16514 \h </w:instrText>
      </w:r>
      <w:r>
        <w:rPr>
          <w:color w:val="auto"/>
          <w:highlight w:val="none"/>
        </w:rPr>
        <w:fldChar w:fldCharType="separate"/>
      </w:r>
      <w:r>
        <w:rPr>
          <w:color w:val="auto"/>
          <w:highlight w:val="none"/>
        </w:rPr>
        <w:t>1</w:t>
      </w:r>
      <w:r>
        <w:rPr>
          <w:color w:val="auto"/>
          <w:highlight w:val="none"/>
        </w:rPr>
        <w:fldChar w:fldCharType="end"/>
      </w:r>
      <w:r>
        <w:rPr>
          <w:rFonts w:hint="default" w:ascii="Times New Roman" w:hAnsi="Times New Roman" w:cs="Times New Roman"/>
          <w:bCs/>
          <w:color w:val="auto"/>
          <w:kern w:val="44"/>
          <w:highlight w:val="none"/>
        </w:rPr>
        <w:fldChar w:fldCharType="end"/>
      </w:r>
    </w:p>
    <w:p w14:paraId="7BD5E7AA">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_Toc32172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1.1 </w:t>
      </w:r>
      <w:r>
        <w:rPr>
          <w:rFonts w:hint="default"/>
          <w:color w:val="auto"/>
          <w:highlight w:val="none"/>
        </w:rPr>
        <w:t>编制依据</w:t>
      </w:r>
      <w:r>
        <w:rPr>
          <w:color w:val="auto"/>
          <w:highlight w:val="none"/>
        </w:rPr>
        <w:tab/>
      </w:r>
      <w:r>
        <w:rPr>
          <w:color w:val="auto"/>
          <w:highlight w:val="none"/>
        </w:rPr>
        <w:fldChar w:fldCharType="begin"/>
      </w:r>
      <w:r>
        <w:rPr>
          <w:color w:val="auto"/>
          <w:highlight w:val="none"/>
        </w:rPr>
        <w:instrText xml:space="preserve"> PAGEREF _Toc32172 \h </w:instrText>
      </w:r>
      <w:r>
        <w:rPr>
          <w:color w:val="auto"/>
          <w:highlight w:val="none"/>
        </w:rPr>
        <w:fldChar w:fldCharType="separate"/>
      </w:r>
      <w:r>
        <w:rPr>
          <w:color w:val="auto"/>
          <w:highlight w:val="none"/>
        </w:rPr>
        <w:t>1</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31BBCEF0">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_Toc23662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1.2 </w:t>
      </w:r>
      <w:r>
        <w:rPr>
          <w:rFonts w:hint="default"/>
          <w:color w:val="auto"/>
          <w:highlight w:val="none"/>
        </w:rPr>
        <w:t>环境功能区划</w:t>
      </w:r>
      <w:r>
        <w:rPr>
          <w:color w:val="auto"/>
          <w:highlight w:val="none"/>
        </w:rPr>
        <w:tab/>
      </w:r>
      <w:r>
        <w:rPr>
          <w:color w:val="auto"/>
          <w:highlight w:val="none"/>
        </w:rPr>
        <w:fldChar w:fldCharType="begin"/>
      </w:r>
      <w:r>
        <w:rPr>
          <w:color w:val="auto"/>
          <w:highlight w:val="none"/>
        </w:rPr>
        <w:instrText xml:space="preserve"> PAGEREF _Toc23662 \h </w:instrText>
      </w:r>
      <w:r>
        <w:rPr>
          <w:color w:val="auto"/>
          <w:highlight w:val="none"/>
        </w:rPr>
        <w:fldChar w:fldCharType="separate"/>
      </w:r>
      <w:r>
        <w:rPr>
          <w:color w:val="auto"/>
          <w:highlight w:val="none"/>
        </w:rPr>
        <w:t>7</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6FC8D4B8">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_Toc6037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1.3 </w:t>
      </w:r>
      <w:r>
        <w:rPr>
          <w:rFonts w:hint="default"/>
          <w:color w:val="auto"/>
          <w:highlight w:val="none"/>
        </w:rPr>
        <w:t>评价标准</w:t>
      </w:r>
      <w:r>
        <w:rPr>
          <w:color w:val="auto"/>
          <w:highlight w:val="none"/>
        </w:rPr>
        <w:tab/>
      </w:r>
      <w:r>
        <w:rPr>
          <w:color w:val="auto"/>
          <w:highlight w:val="none"/>
        </w:rPr>
        <w:fldChar w:fldCharType="begin"/>
      </w:r>
      <w:r>
        <w:rPr>
          <w:color w:val="auto"/>
          <w:highlight w:val="none"/>
        </w:rPr>
        <w:instrText xml:space="preserve"> PAGEREF _Toc6037 \h </w:instrText>
      </w:r>
      <w:r>
        <w:rPr>
          <w:color w:val="auto"/>
          <w:highlight w:val="none"/>
        </w:rPr>
        <w:fldChar w:fldCharType="separate"/>
      </w:r>
      <w:r>
        <w:rPr>
          <w:color w:val="auto"/>
          <w:highlight w:val="none"/>
        </w:rPr>
        <w:t>8</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396791B1">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_Toc20809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1.4 </w:t>
      </w:r>
      <w:r>
        <w:rPr>
          <w:rFonts w:hint="eastAsia"/>
          <w:color w:val="auto"/>
          <w:highlight w:val="none"/>
          <w:lang w:eastAsia="zh-CN"/>
        </w:rPr>
        <w:t>评价因子识别与筛选</w:t>
      </w:r>
      <w:r>
        <w:rPr>
          <w:color w:val="auto"/>
          <w:highlight w:val="none"/>
        </w:rPr>
        <w:tab/>
      </w:r>
      <w:r>
        <w:rPr>
          <w:color w:val="auto"/>
          <w:highlight w:val="none"/>
        </w:rPr>
        <w:fldChar w:fldCharType="begin"/>
      </w:r>
      <w:r>
        <w:rPr>
          <w:color w:val="auto"/>
          <w:highlight w:val="none"/>
        </w:rPr>
        <w:instrText xml:space="preserve"> PAGEREF _Toc20809 \h </w:instrText>
      </w:r>
      <w:r>
        <w:rPr>
          <w:color w:val="auto"/>
          <w:highlight w:val="none"/>
        </w:rPr>
        <w:fldChar w:fldCharType="separate"/>
      </w:r>
      <w:r>
        <w:rPr>
          <w:color w:val="auto"/>
          <w:highlight w:val="none"/>
        </w:rPr>
        <w:t>13</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20A47D68">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_Toc20071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1.5 </w:t>
      </w:r>
      <w:r>
        <w:rPr>
          <w:rFonts w:hint="default"/>
          <w:color w:val="auto"/>
          <w:highlight w:val="none"/>
        </w:rPr>
        <w:t>评价等级和评价范围</w:t>
      </w:r>
      <w:r>
        <w:rPr>
          <w:color w:val="auto"/>
          <w:highlight w:val="none"/>
        </w:rPr>
        <w:tab/>
      </w:r>
      <w:r>
        <w:rPr>
          <w:color w:val="auto"/>
          <w:highlight w:val="none"/>
        </w:rPr>
        <w:fldChar w:fldCharType="begin"/>
      </w:r>
      <w:r>
        <w:rPr>
          <w:color w:val="auto"/>
          <w:highlight w:val="none"/>
        </w:rPr>
        <w:instrText xml:space="preserve"> PAGEREF _Toc20071 \h </w:instrText>
      </w:r>
      <w:r>
        <w:rPr>
          <w:color w:val="auto"/>
          <w:highlight w:val="none"/>
        </w:rPr>
        <w:fldChar w:fldCharType="separate"/>
      </w:r>
      <w:r>
        <w:rPr>
          <w:color w:val="auto"/>
          <w:highlight w:val="none"/>
        </w:rPr>
        <w:t>15</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23F98FE3">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_Toc21836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eastAsia="zh-CN"/>
        </w:rPr>
        <w:t xml:space="preserve">1.6 </w:t>
      </w:r>
      <w:r>
        <w:rPr>
          <w:rFonts w:hint="default"/>
          <w:color w:val="auto"/>
          <w:highlight w:val="none"/>
        </w:rPr>
        <w:t>主要环境保护目标</w:t>
      </w:r>
      <w:r>
        <w:rPr>
          <w:color w:val="auto"/>
          <w:highlight w:val="none"/>
        </w:rPr>
        <w:tab/>
      </w:r>
      <w:r>
        <w:rPr>
          <w:color w:val="auto"/>
          <w:highlight w:val="none"/>
        </w:rPr>
        <w:fldChar w:fldCharType="begin"/>
      </w:r>
      <w:r>
        <w:rPr>
          <w:color w:val="auto"/>
          <w:highlight w:val="none"/>
        </w:rPr>
        <w:instrText xml:space="preserve"> PAGEREF _Toc21836 \h </w:instrText>
      </w:r>
      <w:r>
        <w:rPr>
          <w:color w:val="auto"/>
          <w:highlight w:val="none"/>
        </w:rPr>
        <w:fldChar w:fldCharType="separate"/>
      </w:r>
      <w:r>
        <w:rPr>
          <w:color w:val="auto"/>
          <w:highlight w:val="none"/>
        </w:rPr>
        <w:t>24</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4F4FD678">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_Toc3852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1.7 </w:t>
      </w:r>
      <w:r>
        <w:rPr>
          <w:rFonts w:hint="default"/>
          <w:color w:val="auto"/>
          <w:highlight w:val="none"/>
        </w:rPr>
        <w:t>产业政策及规划相符性分析</w:t>
      </w:r>
      <w:r>
        <w:rPr>
          <w:color w:val="auto"/>
          <w:highlight w:val="none"/>
        </w:rPr>
        <w:tab/>
      </w:r>
      <w:r>
        <w:rPr>
          <w:color w:val="auto"/>
          <w:highlight w:val="none"/>
        </w:rPr>
        <w:fldChar w:fldCharType="begin"/>
      </w:r>
      <w:r>
        <w:rPr>
          <w:color w:val="auto"/>
          <w:highlight w:val="none"/>
        </w:rPr>
        <w:instrText xml:space="preserve"> PAGEREF _Toc3852 \h </w:instrText>
      </w:r>
      <w:r>
        <w:rPr>
          <w:color w:val="auto"/>
          <w:highlight w:val="none"/>
        </w:rPr>
        <w:fldChar w:fldCharType="separate"/>
      </w:r>
      <w:r>
        <w:rPr>
          <w:color w:val="auto"/>
          <w:highlight w:val="none"/>
        </w:rPr>
        <w:t>26</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6D9B6E2B">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_Toc23280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1.8 </w:t>
      </w:r>
      <w:r>
        <w:rPr>
          <w:rFonts w:hint="default"/>
          <w:color w:val="auto"/>
          <w:highlight w:val="none"/>
        </w:rPr>
        <w:t>评价重点和方法</w:t>
      </w:r>
      <w:r>
        <w:rPr>
          <w:color w:val="auto"/>
          <w:highlight w:val="none"/>
        </w:rPr>
        <w:tab/>
      </w:r>
      <w:r>
        <w:rPr>
          <w:color w:val="auto"/>
          <w:highlight w:val="none"/>
        </w:rPr>
        <w:fldChar w:fldCharType="begin"/>
      </w:r>
      <w:r>
        <w:rPr>
          <w:color w:val="auto"/>
          <w:highlight w:val="none"/>
        </w:rPr>
        <w:instrText xml:space="preserve"> PAGEREF _Toc23280 \h </w:instrText>
      </w:r>
      <w:r>
        <w:rPr>
          <w:color w:val="auto"/>
          <w:highlight w:val="none"/>
        </w:rPr>
        <w:fldChar w:fldCharType="separate"/>
      </w:r>
      <w:r>
        <w:rPr>
          <w:color w:val="auto"/>
          <w:highlight w:val="none"/>
        </w:rPr>
        <w:t>40</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497EA951">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_Toc7814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1.9 </w:t>
      </w:r>
      <w:r>
        <w:rPr>
          <w:rFonts w:hint="default"/>
          <w:color w:val="auto"/>
          <w:highlight w:val="none"/>
        </w:rPr>
        <w:t>评价工作程序</w:t>
      </w:r>
      <w:r>
        <w:rPr>
          <w:color w:val="auto"/>
          <w:highlight w:val="none"/>
        </w:rPr>
        <w:tab/>
      </w:r>
      <w:r>
        <w:rPr>
          <w:color w:val="auto"/>
          <w:highlight w:val="none"/>
        </w:rPr>
        <w:fldChar w:fldCharType="begin"/>
      </w:r>
      <w:r>
        <w:rPr>
          <w:color w:val="auto"/>
          <w:highlight w:val="none"/>
        </w:rPr>
        <w:instrText xml:space="preserve"> PAGEREF _Toc7814 \h </w:instrText>
      </w:r>
      <w:r>
        <w:rPr>
          <w:color w:val="auto"/>
          <w:highlight w:val="none"/>
        </w:rPr>
        <w:fldChar w:fldCharType="separate"/>
      </w:r>
      <w:r>
        <w:rPr>
          <w:color w:val="auto"/>
          <w:highlight w:val="none"/>
        </w:rPr>
        <w:t>41</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48E23091">
      <w:pPr>
        <w:pStyle w:val="58"/>
        <w:tabs>
          <w:tab w:val="right" w:leader="dot" w:pos="8612"/>
          <w:tab w:val="clear" w:pos="860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_Toc26098 </w:instrText>
      </w:r>
      <w:r>
        <w:rPr>
          <w:rFonts w:hint="default" w:ascii="Times New Roman" w:hAnsi="Times New Roman" w:eastAsia="黑体" w:cs="Times New Roman"/>
          <w:bCs/>
          <w:color w:val="auto"/>
          <w:kern w:val="44"/>
          <w:szCs w:val="28"/>
          <w:highlight w:val="none"/>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color w:val="auto"/>
          <w:spacing w:val="0"/>
          <w:position w:val="0"/>
          <w:highlight w:val="none"/>
          <w:vertAlign w:val="baseline"/>
        </w:rPr>
        <w:t xml:space="preserve">2. </w:t>
      </w:r>
      <w:r>
        <w:rPr>
          <w:rFonts w:hint="default"/>
          <w:color w:val="auto"/>
          <w:highlight w:val="none"/>
        </w:rPr>
        <w:t>工程概况与工程分析</w:t>
      </w:r>
      <w:r>
        <w:rPr>
          <w:color w:val="auto"/>
          <w:highlight w:val="none"/>
        </w:rPr>
        <w:tab/>
      </w:r>
      <w:r>
        <w:rPr>
          <w:color w:val="auto"/>
          <w:highlight w:val="none"/>
        </w:rPr>
        <w:fldChar w:fldCharType="begin"/>
      </w:r>
      <w:r>
        <w:rPr>
          <w:color w:val="auto"/>
          <w:highlight w:val="none"/>
        </w:rPr>
        <w:instrText xml:space="preserve"> PAGEREF _Toc26098 \h </w:instrText>
      </w:r>
      <w:r>
        <w:rPr>
          <w:color w:val="auto"/>
          <w:highlight w:val="none"/>
        </w:rPr>
        <w:fldChar w:fldCharType="separate"/>
      </w:r>
      <w:r>
        <w:rPr>
          <w:color w:val="auto"/>
          <w:highlight w:val="none"/>
        </w:rPr>
        <w:t>43</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201B6DAA">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_Toc343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2.1 </w:t>
      </w:r>
      <w:r>
        <w:rPr>
          <w:rFonts w:hint="default"/>
          <w:color w:val="auto"/>
          <w:highlight w:val="none"/>
          <w:lang w:eastAsia="zh-CN"/>
        </w:rPr>
        <w:t>区域场地及管网现状</w:t>
      </w:r>
      <w:r>
        <w:rPr>
          <w:color w:val="auto"/>
          <w:highlight w:val="none"/>
        </w:rPr>
        <w:tab/>
      </w:r>
      <w:r>
        <w:rPr>
          <w:color w:val="auto"/>
          <w:highlight w:val="none"/>
        </w:rPr>
        <w:fldChar w:fldCharType="begin"/>
      </w:r>
      <w:r>
        <w:rPr>
          <w:color w:val="auto"/>
          <w:highlight w:val="none"/>
        </w:rPr>
        <w:instrText xml:space="preserve"> PAGEREF _Toc343 \h </w:instrText>
      </w:r>
      <w:r>
        <w:rPr>
          <w:color w:val="auto"/>
          <w:highlight w:val="none"/>
        </w:rPr>
        <w:fldChar w:fldCharType="separate"/>
      </w:r>
      <w:r>
        <w:rPr>
          <w:color w:val="auto"/>
          <w:highlight w:val="none"/>
        </w:rPr>
        <w:t>43</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614A811E">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_Toc8600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2.2 </w:t>
      </w:r>
      <w:r>
        <w:rPr>
          <w:rFonts w:hint="default"/>
          <w:color w:val="auto"/>
          <w:highlight w:val="none"/>
        </w:rPr>
        <w:t>工程概况</w:t>
      </w:r>
      <w:r>
        <w:rPr>
          <w:color w:val="auto"/>
          <w:highlight w:val="none"/>
        </w:rPr>
        <w:tab/>
      </w:r>
      <w:r>
        <w:rPr>
          <w:color w:val="auto"/>
          <w:highlight w:val="none"/>
        </w:rPr>
        <w:fldChar w:fldCharType="begin"/>
      </w:r>
      <w:r>
        <w:rPr>
          <w:color w:val="auto"/>
          <w:highlight w:val="none"/>
        </w:rPr>
        <w:instrText xml:space="preserve"> PAGEREF _Toc8600 \h </w:instrText>
      </w:r>
      <w:r>
        <w:rPr>
          <w:color w:val="auto"/>
          <w:highlight w:val="none"/>
        </w:rPr>
        <w:fldChar w:fldCharType="separate"/>
      </w:r>
      <w:r>
        <w:rPr>
          <w:color w:val="auto"/>
          <w:highlight w:val="none"/>
        </w:rPr>
        <w:t>45</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0E48055C">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_Toc21305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2.3 </w:t>
      </w:r>
      <w:r>
        <w:rPr>
          <w:rFonts w:hint="default"/>
          <w:color w:val="auto"/>
          <w:highlight w:val="none"/>
          <w:lang w:eastAsia="zh-CN"/>
        </w:rPr>
        <w:t>施工组织设计</w:t>
      </w:r>
      <w:r>
        <w:rPr>
          <w:color w:val="auto"/>
          <w:highlight w:val="none"/>
        </w:rPr>
        <w:tab/>
      </w:r>
      <w:r>
        <w:rPr>
          <w:color w:val="auto"/>
          <w:highlight w:val="none"/>
        </w:rPr>
        <w:fldChar w:fldCharType="begin"/>
      </w:r>
      <w:r>
        <w:rPr>
          <w:color w:val="auto"/>
          <w:highlight w:val="none"/>
        </w:rPr>
        <w:instrText xml:space="preserve"> PAGEREF _Toc21305 \h </w:instrText>
      </w:r>
      <w:r>
        <w:rPr>
          <w:color w:val="auto"/>
          <w:highlight w:val="none"/>
        </w:rPr>
        <w:fldChar w:fldCharType="separate"/>
      </w:r>
      <w:r>
        <w:rPr>
          <w:color w:val="auto"/>
          <w:highlight w:val="none"/>
        </w:rPr>
        <w:t>56</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1DD9A232">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_Toc2586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2.4 </w:t>
      </w:r>
      <w:r>
        <w:rPr>
          <w:rFonts w:hint="eastAsia"/>
          <w:color w:val="auto"/>
          <w:highlight w:val="none"/>
          <w:lang w:eastAsia="zh-CN"/>
        </w:rPr>
        <w:t>施工导流和施工围堰</w:t>
      </w:r>
      <w:r>
        <w:rPr>
          <w:color w:val="auto"/>
          <w:highlight w:val="none"/>
        </w:rPr>
        <w:tab/>
      </w:r>
      <w:r>
        <w:rPr>
          <w:color w:val="auto"/>
          <w:highlight w:val="none"/>
        </w:rPr>
        <w:fldChar w:fldCharType="begin"/>
      </w:r>
      <w:r>
        <w:rPr>
          <w:color w:val="auto"/>
          <w:highlight w:val="none"/>
        </w:rPr>
        <w:instrText xml:space="preserve"> PAGEREF _Toc2586 \h </w:instrText>
      </w:r>
      <w:r>
        <w:rPr>
          <w:color w:val="auto"/>
          <w:highlight w:val="none"/>
        </w:rPr>
        <w:fldChar w:fldCharType="separate"/>
      </w:r>
      <w:r>
        <w:rPr>
          <w:color w:val="auto"/>
          <w:highlight w:val="none"/>
        </w:rPr>
        <w:t>59</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54736248">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_Toc14684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2.5 </w:t>
      </w:r>
      <w:r>
        <w:rPr>
          <w:rFonts w:hint="default"/>
          <w:color w:val="auto"/>
          <w:highlight w:val="none"/>
          <w:lang w:eastAsia="zh-CN"/>
        </w:rPr>
        <w:t>主体工程施工</w:t>
      </w:r>
      <w:r>
        <w:rPr>
          <w:rFonts w:hint="eastAsia"/>
          <w:color w:val="auto"/>
          <w:highlight w:val="none"/>
          <w:lang w:eastAsia="zh-CN"/>
        </w:rPr>
        <w:t>方案</w:t>
      </w:r>
      <w:r>
        <w:rPr>
          <w:color w:val="auto"/>
          <w:highlight w:val="none"/>
        </w:rPr>
        <w:tab/>
      </w:r>
      <w:r>
        <w:rPr>
          <w:color w:val="auto"/>
          <w:highlight w:val="none"/>
        </w:rPr>
        <w:fldChar w:fldCharType="begin"/>
      </w:r>
      <w:r>
        <w:rPr>
          <w:color w:val="auto"/>
          <w:highlight w:val="none"/>
        </w:rPr>
        <w:instrText xml:space="preserve"> PAGEREF _Toc14684 \h </w:instrText>
      </w:r>
      <w:r>
        <w:rPr>
          <w:color w:val="auto"/>
          <w:highlight w:val="none"/>
        </w:rPr>
        <w:fldChar w:fldCharType="separate"/>
      </w:r>
      <w:r>
        <w:rPr>
          <w:color w:val="auto"/>
          <w:highlight w:val="none"/>
        </w:rPr>
        <w:t>60</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54C7E780">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_Toc19034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2.6 </w:t>
      </w:r>
      <w:r>
        <w:rPr>
          <w:rFonts w:hint="default"/>
          <w:color w:val="auto"/>
          <w:highlight w:val="none"/>
        </w:rPr>
        <w:t>土石方平衡</w:t>
      </w:r>
      <w:r>
        <w:rPr>
          <w:color w:val="auto"/>
          <w:highlight w:val="none"/>
        </w:rPr>
        <w:tab/>
      </w:r>
      <w:r>
        <w:rPr>
          <w:color w:val="auto"/>
          <w:highlight w:val="none"/>
        </w:rPr>
        <w:fldChar w:fldCharType="begin"/>
      </w:r>
      <w:r>
        <w:rPr>
          <w:color w:val="auto"/>
          <w:highlight w:val="none"/>
        </w:rPr>
        <w:instrText xml:space="preserve"> PAGEREF _Toc19034 \h </w:instrText>
      </w:r>
      <w:r>
        <w:rPr>
          <w:color w:val="auto"/>
          <w:highlight w:val="none"/>
        </w:rPr>
        <w:fldChar w:fldCharType="separate"/>
      </w:r>
      <w:r>
        <w:rPr>
          <w:color w:val="auto"/>
          <w:highlight w:val="none"/>
        </w:rPr>
        <w:t>64</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2D058702">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_Toc11203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2.7 </w:t>
      </w:r>
      <w:r>
        <w:rPr>
          <w:rFonts w:hint="default"/>
          <w:color w:val="auto"/>
          <w:highlight w:val="none"/>
        </w:rPr>
        <w:t>施工期污染源强分析</w:t>
      </w:r>
      <w:r>
        <w:rPr>
          <w:color w:val="auto"/>
          <w:highlight w:val="none"/>
        </w:rPr>
        <w:tab/>
      </w:r>
      <w:r>
        <w:rPr>
          <w:color w:val="auto"/>
          <w:highlight w:val="none"/>
        </w:rPr>
        <w:fldChar w:fldCharType="begin"/>
      </w:r>
      <w:r>
        <w:rPr>
          <w:color w:val="auto"/>
          <w:highlight w:val="none"/>
        </w:rPr>
        <w:instrText xml:space="preserve"> PAGEREF _Toc11203 \h </w:instrText>
      </w:r>
      <w:r>
        <w:rPr>
          <w:color w:val="auto"/>
          <w:highlight w:val="none"/>
        </w:rPr>
        <w:fldChar w:fldCharType="separate"/>
      </w:r>
      <w:r>
        <w:rPr>
          <w:color w:val="auto"/>
          <w:highlight w:val="none"/>
        </w:rPr>
        <w:t>68</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67CED844">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_Toc14415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2.8 </w:t>
      </w:r>
      <w:r>
        <w:rPr>
          <w:rFonts w:hint="eastAsia"/>
          <w:color w:val="auto"/>
          <w:highlight w:val="none"/>
          <w:lang w:eastAsia="zh-CN"/>
        </w:rPr>
        <w:t>运营期</w:t>
      </w:r>
      <w:r>
        <w:rPr>
          <w:rFonts w:hint="default"/>
          <w:color w:val="auto"/>
          <w:highlight w:val="none"/>
        </w:rPr>
        <w:t>污染源强分析</w:t>
      </w:r>
      <w:r>
        <w:rPr>
          <w:color w:val="auto"/>
          <w:highlight w:val="none"/>
        </w:rPr>
        <w:tab/>
      </w:r>
      <w:r>
        <w:rPr>
          <w:color w:val="auto"/>
          <w:highlight w:val="none"/>
        </w:rPr>
        <w:fldChar w:fldCharType="begin"/>
      </w:r>
      <w:r>
        <w:rPr>
          <w:color w:val="auto"/>
          <w:highlight w:val="none"/>
        </w:rPr>
        <w:instrText xml:space="preserve"> PAGEREF _Toc14415 \h </w:instrText>
      </w:r>
      <w:r>
        <w:rPr>
          <w:color w:val="auto"/>
          <w:highlight w:val="none"/>
        </w:rPr>
        <w:fldChar w:fldCharType="separate"/>
      </w:r>
      <w:r>
        <w:rPr>
          <w:color w:val="auto"/>
          <w:highlight w:val="none"/>
        </w:rPr>
        <w:t>84</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26B1C85E">
      <w:pPr>
        <w:pStyle w:val="58"/>
        <w:tabs>
          <w:tab w:val="right" w:leader="dot" w:pos="8612"/>
          <w:tab w:val="clear" w:pos="860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_Toc30338 </w:instrText>
      </w:r>
      <w:r>
        <w:rPr>
          <w:rFonts w:hint="default" w:ascii="Times New Roman" w:hAnsi="Times New Roman" w:eastAsia="黑体" w:cs="Times New Roman"/>
          <w:bCs/>
          <w:color w:val="auto"/>
          <w:kern w:val="44"/>
          <w:szCs w:val="28"/>
          <w:highlight w:val="none"/>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color w:val="auto"/>
          <w:spacing w:val="0"/>
          <w:position w:val="0"/>
          <w:highlight w:val="none"/>
          <w:vertAlign w:val="baseline"/>
        </w:rPr>
        <w:t xml:space="preserve">3. </w:t>
      </w:r>
      <w:r>
        <w:rPr>
          <w:rFonts w:hint="default"/>
          <w:color w:val="auto"/>
          <w:highlight w:val="none"/>
        </w:rPr>
        <w:t>环境质量现状调查与评价</w:t>
      </w:r>
      <w:r>
        <w:rPr>
          <w:color w:val="auto"/>
          <w:highlight w:val="none"/>
        </w:rPr>
        <w:tab/>
      </w:r>
      <w:r>
        <w:rPr>
          <w:color w:val="auto"/>
          <w:highlight w:val="none"/>
        </w:rPr>
        <w:fldChar w:fldCharType="begin"/>
      </w:r>
      <w:r>
        <w:rPr>
          <w:color w:val="auto"/>
          <w:highlight w:val="none"/>
        </w:rPr>
        <w:instrText xml:space="preserve"> PAGEREF _Toc30338 \h </w:instrText>
      </w:r>
      <w:r>
        <w:rPr>
          <w:color w:val="auto"/>
          <w:highlight w:val="none"/>
        </w:rPr>
        <w:fldChar w:fldCharType="separate"/>
      </w:r>
      <w:r>
        <w:rPr>
          <w:color w:val="auto"/>
          <w:highlight w:val="none"/>
        </w:rPr>
        <w:t>86</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6651251A">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_Toc28111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3.1 </w:t>
      </w:r>
      <w:r>
        <w:rPr>
          <w:rFonts w:hint="default"/>
          <w:color w:val="auto"/>
          <w:highlight w:val="none"/>
        </w:rPr>
        <w:t>自然环境概况</w:t>
      </w:r>
      <w:r>
        <w:rPr>
          <w:color w:val="auto"/>
          <w:highlight w:val="none"/>
        </w:rPr>
        <w:tab/>
      </w:r>
      <w:r>
        <w:rPr>
          <w:color w:val="auto"/>
          <w:highlight w:val="none"/>
        </w:rPr>
        <w:fldChar w:fldCharType="begin"/>
      </w:r>
      <w:r>
        <w:rPr>
          <w:color w:val="auto"/>
          <w:highlight w:val="none"/>
        </w:rPr>
        <w:instrText xml:space="preserve"> PAGEREF _Toc28111 \h </w:instrText>
      </w:r>
      <w:r>
        <w:rPr>
          <w:color w:val="auto"/>
          <w:highlight w:val="none"/>
        </w:rPr>
        <w:fldChar w:fldCharType="separate"/>
      </w:r>
      <w:r>
        <w:rPr>
          <w:color w:val="auto"/>
          <w:highlight w:val="none"/>
        </w:rPr>
        <w:t>86</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73030C5A">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_Toc6630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3.2 </w:t>
      </w:r>
      <w:r>
        <w:rPr>
          <w:rFonts w:hint="eastAsia"/>
          <w:color w:val="auto"/>
          <w:highlight w:val="none"/>
          <w:lang w:eastAsia="zh-CN"/>
        </w:rPr>
        <w:t>养殖区调查</w:t>
      </w:r>
      <w:r>
        <w:rPr>
          <w:color w:val="auto"/>
          <w:highlight w:val="none"/>
        </w:rPr>
        <w:tab/>
      </w:r>
      <w:r>
        <w:rPr>
          <w:color w:val="auto"/>
          <w:highlight w:val="none"/>
        </w:rPr>
        <w:fldChar w:fldCharType="begin"/>
      </w:r>
      <w:r>
        <w:rPr>
          <w:color w:val="auto"/>
          <w:highlight w:val="none"/>
        </w:rPr>
        <w:instrText xml:space="preserve"> PAGEREF _Toc6630 \h </w:instrText>
      </w:r>
      <w:r>
        <w:rPr>
          <w:color w:val="auto"/>
          <w:highlight w:val="none"/>
        </w:rPr>
        <w:fldChar w:fldCharType="separate"/>
      </w:r>
      <w:r>
        <w:rPr>
          <w:color w:val="auto"/>
          <w:highlight w:val="none"/>
        </w:rPr>
        <w:t>95</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01ADEED4">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_Toc10394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3.3 </w:t>
      </w:r>
      <w:r>
        <w:rPr>
          <w:rFonts w:hint="default"/>
          <w:color w:val="auto"/>
          <w:highlight w:val="none"/>
        </w:rPr>
        <w:t>周边饮用水源调查</w:t>
      </w:r>
      <w:r>
        <w:rPr>
          <w:color w:val="auto"/>
          <w:highlight w:val="none"/>
        </w:rPr>
        <w:tab/>
      </w:r>
      <w:r>
        <w:rPr>
          <w:color w:val="auto"/>
          <w:highlight w:val="none"/>
        </w:rPr>
        <w:fldChar w:fldCharType="begin"/>
      </w:r>
      <w:r>
        <w:rPr>
          <w:color w:val="auto"/>
          <w:highlight w:val="none"/>
        </w:rPr>
        <w:instrText xml:space="preserve"> PAGEREF _Toc10394 \h </w:instrText>
      </w:r>
      <w:r>
        <w:rPr>
          <w:color w:val="auto"/>
          <w:highlight w:val="none"/>
        </w:rPr>
        <w:fldChar w:fldCharType="separate"/>
      </w:r>
      <w:r>
        <w:rPr>
          <w:color w:val="auto"/>
          <w:highlight w:val="none"/>
        </w:rPr>
        <w:t>96</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6C211A2F">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_Toc10438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3.4 </w:t>
      </w:r>
      <w:r>
        <w:rPr>
          <w:rFonts w:hint="eastAsia"/>
          <w:color w:val="auto"/>
          <w:highlight w:val="none"/>
          <w:lang w:eastAsia="zh-CN"/>
        </w:rPr>
        <w:t>周边生态敏感区调查</w:t>
      </w:r>
      <w:r>
        <w:rPr>
          <w:color w:val="auto"/>
          <w:highlight w:val="none"/>
        </w:rPr>
        <w:tab/>
      </w:r>
      <w:r>
        <w:rPr>
          <w:color w:val="auto"/>
          <w:highlight w:val="none"/>
        </w:rPr>
        <w:fldChar w:fldCharType="begin"/>
      </w:r>
      <w:r>
        <w:rPr>
          <w:color w:val="auto"/>
          <w:highlight w:val="none"/>
        </w:rPr>
        <w:instrText xml:space="preserve"> PAGEREF _Toc10438 \h </w:instrText>
      </w:r>
      <w:r>
        <w:rPr>
          <w:color w:val="auto"/>
          <w:highlight w:val="none"/>
        </w:rPr>
        <w:fldChar w:fldCharType="separate"/>
      </w:r>
      <w:r>
        <w:rPr>
          <w:color w:val="auto"/>
          <w:highlight w:val="none"/>
        </w:rPr>
        <w:t>97</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59796494">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_Toc13270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3.5 </w:t>
      </w:r>
      <w:r>
        <w:rPr>
          <w:rFonts w:hint="default"/>
          <w:color w:val="auto"/>
          <w:highlight w:val="none"/>
        </w:rPr>
        <w:t>生态环境现状质量调查与评价</w:t>
      </w:r>
      <w:r>
        <w:rPr>
          <w:color w:val="auto"/>
          <w:highlight w:val="none"/>
        </w:rPr>
        <w:tab/>
      </w:r>
      <w:r>
        <w:rPr>
          <w:color w:val="auto"/>
          <w:highlight w:val="none"/>
        </w:rPr>
        <w:fldChar w:fldCharType="begin"/>
      </w:r>
      <w:r>
        <w:rPr>
          <w:color w:val="auto"/>
          <w:highlight w:val="none"/>
        </w:rPr>
        <w:instrText xml:space="preserve"> PAGEREF _Toc13270 \h </w:instrText>
      </w:r>
      <w:r>
        <w:rPr>
          <w:color w:val="auto"/>
          <w:highlight w:val="none"/>
        </w:rPr>
        <w:fldChar w:fldCharType="separate"/>
      </w:r>
      <w:r>
        <w:rPr>
          <w:color w:val="auto"/>
          <w:highlight w:val="none"/>
        </w:rPr>
        <w:t>98</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72059DBB">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_Toc32411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3.6 </w:t>
      </w:r>
      <w:r>
        <w:rPr>
          <w:rFonts w:hint="eastAsia"/>
          <w:color w:val="auto"/>
          <w:highlight w:val="none"/>
          <w:lang w:eastAsia="zh-CN"/>
        </w:rPr>
        <w:t>环境空气质量</w:t>
      </w:r>
      <w:r>
        <w:rPr>
          <w:rFonts w:hint="default"/>
          <w:color w:val="auto"/>
          <w:highlight w:val="none"/>
        </w:rPr>
        <w:t>现状调查与评价</w:t>
      </w:r>
      <w:r>
        <w:rPr>
          <w:color w:val="auto"/>
          <w:highlight w:val="none"/>
        </w:rPr>
        <w:tab/>
      </w:r>
      <w:r>
        <w:rPr>
          <w:color w:val="auto"/>
          <w:highlight w:val="none"/>
        </w:rPr>
        <w:fldChar w:fldCharType="begin"/>
      </w:r>
      <w:r>
        <w:rPr>
          <w:color w:val="auto"/>
          <w:highlight w:val="none"/>
        </w:rPr>
        <w:instrText xml:space="preserve"> PAGEREF _Toc32411 \h </w:instrText>
      </w:r>
      <w:r>
        <w:rPr>
          <w:color w:val="auto"/>
          <w:highlight w:val="none"/>
        </w:rPr>
        <w:fldChar w:fldCharType="separate"/>
      </w:r>
      <w:r>
        <w:rPr>
          <w:color w:val="auto"/>
          <w:highlight w:val="none"/>
        </w:rPr>
        <w:t>105</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580458C9">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_Toc28254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3.7 </w:t>
      </w:r>
      <w:r>
        <w:rPr>
          <w:rFonts w:hint="eastAsia"/>
          <w:color w:val="auto"/>
          <w:highlight w:val="none"/>
          <w:lang w:val="en-US" w:eastAsia="zh-CN"/>
        </w:rPr>
        <w:t>海洋环境质量现状调查与评价</w:t>
      </w:r>
      <w:r>
        <w:rPr>
          <w:color w:val="auto"/>
          <w:highlight w:val="none"/>
        </w:rPr>
        <w:tab/>
      </w:r>
      <w:r>
        <w:rPr>
          <w:color w:val="auto"/>
          <w:highlight w:val="none"/>
        </w:rPr>
        <w:fldChar w:fldCharType="begin"/>
      </w:r>
      <w:r>
        <w:rPr>
          <w:color w:val="auto"/>
          <w:highlight w:val="none"/>
        </w:rPr>
        <w:instrText xml:space="preserve"> PAGEREF _Toc28254 \h </w:instrText>
      </w:r>
      <w:r>
        <w:rPr>
          <w:color w:val="auto"/>
          <w:highlight w:val="none"/>
        </w:rPr>
        <w:fldChar w:fldCharType="separate"/>
      </w:r>
      <w:r>
        <w:rPr>
          <w:color w:val="auto"/>
          <w:highlight w:val="none"/>
        </w:rPr>
        <w:t>105</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6DE2F101">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_Toc13068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3.8 </w:t>
      </w:r>
      <w:r>
        <w:rPr>
          <w:rFonts w:hint="default"/>
          <w:color w:val="auto"/>
          <w:highlight w:val="none"/>
        </w:rPr>
        <w:t>地表水环境质量现状调查与评价</w:t>
      </w:r>
      <w:r>
        <w:rPr>
          <w:color w:val="auto"/>
          <w:highlight w:val="none"/>
        </w:rPr>
        <w:tab/>
      </w:r>
      <w:r>
        <w:rPr>
          <w:color w:val="auto"/>
          <w:highlight w:val="none"/>
        </w:rPr>
        <w:fldChar w:fldCharType="begin"/>
      </w:r>
      <w:r>
        <w:rPr>
          <w:color w:val="auto"/>
          <w:highlight w:val="none"/>
        </w:rPr>
        <w:instrText xml:space="preserve"> PAGEREF _Toc13068 \h </w:instrText>
      </w:r>
      <w:r>
        <w:rPr>
          <w:color w:val="auto"/>
          <w:highlight w:val="none"/>
        </w:rPr>
        <w:fldChar w:fldCharType="separate"/>
      </w:r>
      <w:r>
        <w:rPr>
          <w:color w:val="auto"/>
          <w:highlight w:val="none"/>
        </w:rPr>
        <w:t>106</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3D6C394F">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_Toc23697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3.9 </w:t>
      </w:r>
      <w:r>
        <w:rPr>
          <w:rFonts w:hint="default"/>
          <w:color w:val="auto"/>
          <w:highlight w:val="none"/>
        </w:rPr>
        <w:t>底泥环境质量现状调查与评价</w:t>
      </w:r>
      <w:r>
        <w:rPr>
          <w:color w:val="auto"/>
          <w:highlight w:val="none"/>
        </w:rPr>
        <w:tab/>
      </w:r>
      <w:r>
        <w:rPr>
          <w:color w:val="auto"/>
          <w:highlight w:val="none"/>
        </w:rPr>
        <w:fldChar w:fldCharType="begin"/>
      </w:r>
      <w:r>
        <w:rPr>
          <w:color w:val="auto"/>
          <w:highlight w:val="none"/>
        </w:rPr>
        <w:instrText xml:space="preserve"> PAGEREF _Toc23697 \h </w:instrText>
      </w:r>
      <w:r>
        <w:rPr>
          <w:color w:val="auto"/>
          <w:highlight w:val="none"/>
        </w:rPr>
        <w:fldChar w:fldCharType="separate"/>
      </w:r>
      <w:r>
        <w:rPr>
          <w:color w:val="auto"/>
          <w:highlight w:val="none"/>
        </w:rPr>
        <w:t>111</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229FDC94">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_Toc7943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3.10 </w:t>
      </w:r>
      <w:r>
        <w:rPr>
          <w:rFonts w:hint="default"/>
          <w:color w:val="auto"/>
          <w:highlight w:val="none"/>
        </w:rPr>
        <w:t>声环境质量现状调查与评价</w:t>
      </w:r>
      <w:r>
        <w:rPr>
          <w:color w:val="auto"/>
          <w:highlight w:val="none"/>
        </w:rPr>
        <w:tab/>
      </w:r>
      <w:r>
        <w:rPr>
          <w:color w:val="auto"/>
          <w:highlight w:val="none"/>
        </w:rPr>
        <w:fldChar w:fldCharType="begin"/>
      </w:r>
      <w:r>
        <w:rPr>
          <w:color w:val="auto"/>
          <w:highlight w:val="none"/>
        </w:rPr>
        <w:instrText xml:space="preserve"> PAGEREF _Toc7943 \h </w:instrText>
      </w:r>
      <w:r>
        <w:rPr>
          <w:color w:val="auto"/>
          <w:highlight w:val="none"/>
        </w:rPr>
        <w:fldChar w:fldCharType="separate"/>
      </w:r>
      <w:r>
        <w:rPr>
          <w:color w:val="auto"/>
          <w:highlight w:val="none"/>
        </w:rPr>
        <w:t>112</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57396B9A">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_Toc27009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3.11 </w:t>
      </w:r>
      <w:r>
        <w:rPr>
          <w:rFonts w:hint="default"/>
          <w:color w:val="auto"/>
          <w:highlight w:val="none"/>
          <w:lang w:val="en-US" w:eastAsia="zh-CN"/>
        </w:rPr>
        <w:t>地下水环境质量现状调查与评价</w:t>
      </w:r>
      <w:r>
        <w:rPr>
          <w:color w:val="auto"/>
          <w:highlight w:val="none"/>
        </w:rPr>
        <w:tab/>
      </w:r>
      <w:r>
        <w:rPr>
          <w:color w:val="auto"/>
          <w:highlight w:val="none"/>
        </w:rPr>
        <w:fldChar w:fldCharType="begin"/>
      </w:r>
      <w:r>
        <w:rPr>
          <w:color w:val="auto"/>
          <w:highlight w:val="none"/>
        </w:rPr>
        <w:instrText xml:space="preserve"> PAGEREF _Toc27009 \h </w:instrText>
      </w:r>
      <w:r>
        <w:rPr>
          <w:color w:val="auto"/>
          <w:highlight w:val="none"/>
        </w:rPr>
        <w:fldChar w:fldCharType="separate"/>
      </w:r>
      <w:r>
        <w:rPr>
          <w:color w:val="auto"/>
          <w:highlight w:val="none"/>
        </w:rPr>
        <w:t>113</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482FE1B1">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_Toc10162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3.12 </w:t>
      </w:r>
      <w:r>
        <w:rPr>
          <w:rFonts w:hint="default"/>
          <w:color w:val="auto"/>
          <w:highlight w:val="none"/>
          <w:lang w:val="en-US" w:eastAsia="zh-CN"/>
        </w:rPr>
        <w:t>土壤环境质量现状调查与评价</w:t>
      </w:r>
      <w:r>
        <w:rPr>
          <w:color w:val="auto"/>
          <w:highlight w:val="none"/>
        </w:rPr>
        <w:tab/>
      </w:r>
      <w:r>
        <w:rPr>
          <w:color w:val="auto"/>
          <w:highlight w:val="none"/>
        </w:rPr>
        <w:fldChar w:fldCharType="begin"/>
      </w:r>
      <w:r>
        <w:rPr>
          <w:color w:val="auto"/>
          <w:highlight w:val="none"/>
        </w:rPr>
        <w:instrText xml:space="preserve"> PAGEREF _Toc10162 \h </w:instrText>
      </w:r>
      <w:r>
        <w:rPr>
          <w:color w:val="auto"/>
          <w:highlight w:val="none"/>
        </w:rPr>
        <w:fldChar w:fldCharType="separate"/>
      </w:r>
      <w:r>
        <w:rPr>
          <w:color w:val="auto"/>
          <w:highlight w:val="none"/>
        </w:rPr>
        <w:t>117</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1E0A452C">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_Toc23217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bCs/>
          <w:color w:val="auto"/>
          <w:highlight w:val="none"/>
          <w:lang w:val="en-US"/>
        </w:rPr>
        <w:t xml:space="preserve">3.13 </w:t>
      </w:r>
      <w:r>
        <w:rPr>
          <w:rFonts w:hint="eastAsia"/>
          <w:bCs/>
          <w:color w:val="auto"/>
          <w:highlight w:val="none"/>
          <w:lang w:eastAsia="zh-CN"/>
        </w:rPr>
        <w:t>区域污染源调查</w:t>
      </w:r>
      <w:r>
        <w:rPr>
          <w:color w:val="auto"/>
          <w:highlight w:val="none"/>
        </w:rPr>
        <w:tab/>
      </w:r>
      <w:r>
        <w:rPr>
          <w:color w:val="auto"/>
          <w:highlight w:val="none"/>
        </w:rPr>
        <w:fldChar w:fldCharType="begin"/>
      </w:r>
      <w:r>
        <w:rPr>
          <w:color w:val="auto"/>
          <w:highlight w:val="none"/>
        </w:rPr>
        <w:instrText xml:space="preserve"> PAGEREF _Toc23217 \h </w:instrText>
      </w:r>
      <w:r>
        <w:rPr>
          <w:color w:val="auto"/>
          <w:highlight w:val="none"/>
        </w:rPr>
        <w:fldChar w:fldCharType="separate"/>
      </w:r>
      <w:r>
        <w:rPr>
          <w:color w:val="auto"/>
          <w:highlight w:val="none"/>
        </w:rPr>
        <w:t>122</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162CA3DF">
      <w:pPr>
        <w:pStyle w:val="58"/>
        <w:tabs>
          <w:tab w:val="right" w:leader="dot" w:pos="8612"/>
          <w:tab w:val="clear" w:pos="860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_Toc26027 </w:instrText>
      </w:r>
      <w:r>
        <w:rPr>
          <w:rFonts w:hint="default" w:ascii="Times New Roman" w:hAnsi="Times New Roman" w:eastAsia="黑体" w:cs="Times New Roman"/>
          <w:bCs/>
          <w:color w:val="auto"/>
          <w:kern w:val="44"/>
          <w:szCs w:val="28"/>
          <w:highlight w:val="none"/>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color w:val="auto"/>
          <w:spacing w:val="0"/>
          <w:position w:val="0"/>
          <w:highlight w:val="none"/>
          <w:vertAlign w:val="baseline"/>
        </w:rPr>
        <w:t xml:space="preserve">4. </w:t>
      </w:r>
      <w:r>
        <w:rPr>
          <w:rFonts w:hint="default"/>
          <w:color w:val="auto"/>
          <w:highlight w:val="none"/>
        </w:rPr>
        <w:t>环境影响预测与评价</w:t>
      </w:r>
      <w:r>
        <w:rPr>
          <w:color w:val="auto"/>
          <w:highlight w:val="none"/>
        </w:rPr>
        <w:tab/>
      </w:r>
      <w:r>
        <w:rPr>
          <w:color w:val="auto"/>
          <w:highlight w:val="none"/>
        </w:rPr>
        <w:fldChar w:fldCharType="begin"/>
      </w:r>
      <w:r>
        <w:rPr>
          <w:color w:val="auto"/>
          <w:highlight w:val="none"/>
        </w:rPr>
        <w:instrText xml:space="preserve"> PAGEREF _Toc26027 \h </w:instrText>
      </w:r>
      <w:r>
        <w:rPr>
          <w:color w:val="auto"/>
          <w:highlight w:val="none"/>
        </w:rPr>
        <w:fldChar w:fldCharType="separate"/>
      </w:r>
      <w:r>
        <w:rPr>
          <w:color w:val="auto"/>
          <w:highlight w:val="none"/>
        </w:rPr>
        <w:t>123</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21DA26B7">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_Toc21196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4.1 </w:t>
      </w:r>
      <w:r>
        <w:rPr>
          <w:rFonts w:hint="default"/>
          <w:color w:val="auto"/>
          <w:highlight w:val="none"/>
        </w:rPr>
        <w:t>施工期环境影响评价</w:t>
      </w:r>
      <w:r>
        <w:rPr>
          <w:color w:val="auto"/>
          <w:highlight w:val="none"/>
        </w:rPr>
        <w:tab/>
      </w:r>
      <w:r>
        <w:rPr>
          <w:color w:val="auto"/>
          <w:highlight w:val="none"/>
        </w:rPr>
        <w:fldChar w:fldCharType="begin"/>
      </w:r>
      <w:r>
        <w:rPr>
          <w:color w:val="auto"/>
          <w:highlight w:val="none"/>
        </w:rPr>
        <w:instrText xml:space="preserve"> PAGEREF _Toc21196 \h </w:instrText>
      </w:r>
      <w:r>
        <w:rPr>
          <w:color w:val="auto"/>
          <w:highlight w:val="none"/>
        </w:rPr>
        <w:fldChar w:fldCharType="separate"/>
      </w:r>
      <w:r>
        <w:rPr>
          <w:color w:val="auto"/>
          <w:highlight w:val="none"/>
        </w:rPr>
        <w:t>123</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4EB35370">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_Toc13163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4.2 </w:t>
      </w:r>
      <w:r>
        <w:rPr>
          <w:rFonts w:hint="eastAsia"/>
          <w:color w:val="auto"/>
          <w:highlight w:val="none"/>
          <w:lang w:eastAsia="zh-CN"/>
        </w:rPr>
        <w:t>运营期</w:t>
      </w:r>
      <w:r>
        <w:rPr>
          <w:rFonts w:hint="default"/>
          <w:color w:val="auto"/>
          <w:highlight w:val="none"/>
        </w:rPr>
        <w:t>环境影响评价</w:t>
      </w:r>
      <w:r>
        <w:rPr>
          <w:color w:val="auto"/>
          <w:highlight w:val="none"/>
        </w:rPr>
        <w:tab/>
      </w:r>
      <w:r>
        <w:rPr>
          <w:color w:val="auto"/>
          <w:highlight w:val="none"/>
        </w:rPr>
        <w:fldChar w:fldCharType="begin"/>
      </w:r>
      <w:r>
        <w:rPr>
          <w:color w:val="auto"/>
          <w:highlight w:val="none"/>
        </w:rPr>
        <w:instrText xml:space="preserve"> PAGEREF _Toc13163 \h </w:instrText>
      </w:r>
      <w:r>
        <w:rPr>
          <w:color w:val="auto"/>
          <w:highlight w:val="none"/>
        </w:rPr>
        <w:fldChar w:fldCharType="separate"/>
      </w:r>
      <w:r>
        <w:rPr>
          <w:color w:val="auto"/>
          <w:highlight w:val="none"/>
        </w:rPr>
        <w:t>142</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630C8C5B">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_Toc25332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4.3 </w:t>
      </w:r>
      <w:r>
        <w:rPr>
          <w:rFonts w:hint="default"/>
          <w:color w:val="auto"/>
          <w:highlight w:val="none"/>
        </w:rPr>
        <w:t>环境风险评价</w:t>
      </w:r>
      <w:r>
        <w:rPr>
          <w:color w:val="auto"/>
          <w:highlight w:val="none"/>
        </w:rPr>
        <w:tab/>
      </w:r>
      <w:r>
        <w:rPr>
          <w:color w:val="auto"/>
          <w:highlight w:val="none"/>
        </w:rPr>
        <w:fldChar w:fldCharType="begin"/>
      </w:r>
      <w:r>
        <w:rPr>
          <w:color w:val="auto"/>
          <w:highlight w:val="none"/>
        </w:rPr>
        <w:instrText xml:space="preserve"> PAGEREF _Toc25332 \h </w:instrText>
      </w:r>
      <w:r>
        <w:rPr>
          <w:color w:val="auto"/>
          <w:highlight w:val="none"/>
        </w:rPr>
        <w:fldChar w:fldCharType="separate"/>
      </w:r>
      <w:r>
        <w:rPr>
          <w:color w:val="auto"/>
          <w:highlight w:val="none"/>
        </w:rPr>
        <w:t>144</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38041031">
      <w:pPr>
        <w:pStyle w:val="58"/>
        <w:tabs>
          <w:tab w:val="right" w:leader="dot" w:pos="8612"/>
          <w:tab w:val="clear" w:pos="860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_Toc17371 </w:instrText>
      </w:r>
      <w:r>
        <w:rPr>
          <w:rFonts w:hint="default" w:ascii="Times New Roman" w:hAnsi="Times New Roman" w:eastAsia="黑体" w:cs="Times New Roman"/>
          <w:bCs/>
          <w:color w:val="auto"/>
          <w:kern w:val="44"/>
          <w:szCs w:val="28"/>
          <w:highlight w:val="none"/>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color w:val="auto"/>
          <w:spacing w:val="0"/>
          <w:position w:val="0"/>
          <w:highlight w:val="none"/>
          <w:vertAlign w:val="baseline"/>
        </w:rPr>
        <w:t xml:space="preserve">5. </w:t>
      </w:r>
      <w:r>
        <w:rPr>
          <w:rFonts w:hint="default"/>
          <w:color w:val="auto"/>
          <w:highlight w:val="none"/>
        </w:rPr>
        <w:t>环境保护措施及其可行性论证</w:t>
      </w:r>
      <w:r>
        <w:rPr>
          <w:color w:val="auto"/>
          <w:highlight w:val="none"/>
        </w:rPr>
        <w:tab/>
      </w:r>
      <w:r>
        <w:rPr>
          <w:color w:val="auto"/>
          <w:highlight w:val="none"/>
        </w:rPr>
        <w:fldChar w:fldCharType="begin"/>
      </w:r>
      <w:r>
        <w:rPr>
          <w:color w:val="auto"/>
          <w:highlight w:val="none"/>
        </w:rPr>
        <w:instrText xml:space="preserve"> PAGEREF _Toc17371 \h </w:instrText>
      </w:r>
      <w:r>
        <w:rPr>
          <w:color w:val="auto"/>
          <w:highlight w:val="none"/>
        </w:rPr>
        <w:fldChar w:fldCharType="separate"/>
      </w:r>
      <w:r>
        <w:rPr>
          <w:color w:val="auto"/>
          <w:highlight w:val="none"/>
        </w:rPr>
        <w:t>153</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7C6ACB9B">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_Toc26517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5.1 </w:t>
      </w:r>
      <w:r>
        <w:rPr>
          <w:rFonts w:hint="default"/>
          <w:color w:val="auto"/>
          <w:highlight w:val="none"/>
        </w:rPr>
        <w:t>施工期环保措施及可行性分析</w:t>
      </w:r>
      <w:r>
        <w:rPr>
          <w:color w:val="auto"/>
          <w:highlight w:val="none"/>
        </w:rPr>
        <w:tab/>
      </w:r>
      <w:r>
        <w:rPr>
          <w:color w:val="auto"/>
          <w:highlight w:val="none"/>
        </w:rPr>
        <w:fldChar w:fldCharType="begin"/>
      </w:r>
      <w:r>
        <w:rPr>
          <w:color w:val="auto"/>
          <w:highlight w:val="none"/>
        </w:rPr>
        <w:instrText xml:space="preserve"> PAGEREF _Toc26517 \h </w:instrText>
      </w:r>
      <w:r>
        <w:rPr>
          <w:color w:val="auto"/>
          <w:highlight w:val="none"/>
        </w:rPr>
        <w:fldChar w:fldCharType="separate"/>
      </w:r>
      <w:r>
        <w:rPr>
          <w:color w:val="auto"/>
          <w:highlight w:val="none"/>
        </w:rPr>
        <w:t>153</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47AF82B1">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_Toc10827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5.2 </w:t>
      </w:r>
      <w:r>
        <w:rPr>
          <w:rFonts w:hint="default"/>
          <w:color w:val="auto"/>
          <w:highlight w:val="none"/>
        </w:rPr>
        <w:t>运营期环境保护措施及可行性分析</w:t>
      </w:r>
      <w:r>
        <w:rPr>
          <w:color w:val="auto"/>
          <w:highlight w:val="none"/>
        </w:rPr>
        <w:tab/>
      </w:r>
      <w:r>
        <w:rPr>
          <w:color w:val="auto"/>
          <w:highlight w:val="none"/>
        </w:rPr>
        <w:fldChar w:fldCharType="begin"/>
      </w:r>
      <w:r>
        <w:rPr>
          <w:color w:val="auto"/>
          <w:highlight w:val="none"/>
        </w:rPr>
        <w:instrText xml:space="preserve"> PAGEREF _Toc10827 \h </w:instrText>
      </w:r>
      <w:r>
        <w:rPr>
          <w:color w:val="auto"/>
          <w:highlight w:val="none"/>
        </w:rPr>
        <w:fldChar w:fldCharType="separate"/>
      </w:r>
      <w:r>
        <w:rPr>
          <w:color w:val="auto"/>
          <w:highlight w:val="none"/>
        </w:rPr>
        <w:t>162</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3944D4A1">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_Toc5355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5.3 </w:t>
      </w:r>
      <w:r>
        <w:rPr>
          <w:rFonts w:hint="default"/>
          <w:color w:val="auto"/>
          <w:highlight w:val="none"/>
        </w:rPr>
        <w:t>风险防治措施及可行性分析</w:t>
      </w:r>
      <w:r>
        <w:rPr>
          <w:color w:val="auto"/>
          <w:highlight w:val="none"/>
        </w:rPr>
        <w:tab/>
      </w:r>
      <w:r>
        <w:rPr>
          <w:color w:val="auto"/>
          <w:highlight w:val="none"/>
        </w:rPr>
        <w:fldChar w:fldCharType="begin"/>
      </w:r>
      <w:r>
        <w:rPr>
          <w:color w:val="auto"/>
          <w:highlight w:val="none"/>
        </w:rPr>
        <w:instrText xml:space="preserve"> PAGEREF _Toc5355 \h </w:instrText>
      </w:r>
      <w:r>
        <w:rPr>
          <w:color w:val="auto"/>
          <w:highlight w:val="none"/>
        </w:rPr>
        <w:fldChar w:fldCharType="separate"/>
      </w:r>
      <w:r>
        <w:rPr>
          <w:color w:val="auto"/>
          <w:highlight w:val="none"/>
        </w:rPr>
        <w:t>165</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7D9AF72A">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_Toc18289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5.4 </w:t>
      </w:r>
      <w:r>
        <w:rPr>
          <w:rFonts w:hint="default"/>
          <w:color w:val="auto"/>
          <w:highlight w:val="none"/>
        </w:rPr>
        <w:t>环保措施费用估算</w:t>
      </w:r>
      <w:r>
        <w:rPr>
          <w:color w:val="auto"/>
          <w:highlight w:val="none"/>
        </w:rPr>
        <w:tab/>
      </w:r>
      <w:r>
        <w:rPr>
          <w:color w:val="auto"/>
          <w:highlight w:val="none"/>
        </w:rPr>
        <w:fldChar w:fldCharType="begin"/>
      </w:r>
      <w:r>
        <w:rPr>
          <w:color w:val="auto"/>
          <w:highlight w:val="none"/>
        </w:rPr>
        <w:instrText xml:space="preserve"> PAGEREF _Toc18289 \h </w:instrText>
      </w:r>
      <w:r>
        <w:rPr>
          <w:color w:val="auto"/>
          <w:highlight w:val="none"/>
        </w:rPr>
        <w:fldChar w:fldCharType="separate"/>
      </w:r>
      <w:r>
        <w:rPr>
          <w:color w:val="auto"/>
          <w:highlight w:val="none"/>
        </w:rPr>
        <w:t>165</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24A0FE2A">
      <w:pPr>
        <w:pStyle w:val="58"/>
        <w:tabs>
          <w:tab w:val="right" w:leader="dot" w:pos="8612"/>
          <w:tab w:val="clear" w:pos="860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_Toc30875 </w:instrText>
      </w:r>
      <w:r>
        <w:rPr>
          <w:rFonts w:hint="default" w:ascii="Times New Roman" w:hAnsi="Times New Roman" w:eastAsia="黑体" w:cs="Times New Roman"/>
          <w:bCs/>
          <w:color w:val="auto"/>
          <w:kern w:val="44"/>
          <w:szCs w:val="28"/>
          <w:highlight w:val="none"/>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color w:val="auto"/>
          <w:spacing w:val="0"/>
          <w:position w:val="0"/>
          <w:highlight w:val="none"/>
          <w:vertAlign w:val="baseline"/>
        </w:rPr>
        <w:t xml:space="preserve">6. </w:t>
      </w:r>
      <w:r>
        <w:rPr>
          <w:rFonts w:hint="default"/>
          <w:color w:val="auto"/>
          <w:highlight w:val="none"/>
        </w:rPr>
        <w:t>环境影响经济损益分析</w:t>
      </w:r>
      <w:r>
        <w:rPr>
          <w:color w:val="auto"/>
          <w:highlight w:val="none"/>
        </w:rPr>
        <w:tab/>
      </w:r>
      <w:r>
        <w:rPr>
          <w:color w:val="auto"/>
          <w:highlight w:val="none"/>
        </w:rPr>
        <w:fldChar w:fldCharType="begin"/>
      </w:r>
      <w:r>
        <w:rPr>
          <w:color w:val="auto"/>
          <w:highlight w:val="none"/>
        </w:rPr>
        <w:instrText xml:space="preserve"> PAGEREF _Toc30875 \h </w:instrText>
      </w:r>
      <w:r>
        <w:rPr>
          <w:color w:val="auto"/>
          <w:highlight w:val="none"/>
        </w:rPr>
        <w:fldChar w:fldCharType="separate"/>
      </w:r>
      <w:r>
        <w:rPr>
          <w:color w:val="auto"/>
          <w:highlight w:val="none"/>
        </w:rPr>
        <w:t>167</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49CFA875">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_Toc27422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6.1 </w:t>
      </w:r>
      <w:r>
        <w:rPr>
          <w:rFonts w:hint="default"/>
          <w:color w:val="auto"/>
          <w:highlight w:val="none"/>
        </w:rPr>
        <w:t>工程经济</w:t>
      </w:r>
      <w:r>
        <w:rPr>
          <w:rFonts w:hint="eastAsia"/>
          <w:color w:val="auto"/>
          <w:highlight w:val="none"/>
          <w:lang w:eastAsia="zh-CN"/>
        </w:rPr>
        <w:t>影响</w:t>
      </w:r>
      <w:r>
        <w:rPr>
          <w:rFonts w:hint="default"/>
          <w:color w:val="auto"/>
          <w:highlight w:val="none"/>
        </w:rPr>
        <w:t>评价</w:t>
      </w:r>
      <w:r>
        <w:rPr>
          <w:color w:val="auto"/>
          <w:highlight w:val="none"/>
        </w:rPr>
        <w:tab/>
      </w:r>
      <w:r>
        <w:rPr>
          <w:color w:val="auto"/>
          <w:highlight w:val="none"/>
        </w:rPr>
        <w:fldChar w:fldCharType="begin"/>
      </w:r>
      <w:r>
        <w:rPr>
          <w:color w:val="auto"/>
          <w:highlight w:val="none"/>
        </w:rPr>
        <w:instrText xml:space="preserve"> PAGEREF _Toc27422 \h </w:instrText>
      </w:r>
      <w:r>
        <w:rPr>
          <w:color w:val="auto"/>
          <w:highlight w:val="none"/>
        </w:rPr>
        <w:fldChar w:fldCharType="separate"/>
      </w:r>
      <w:r>
        <w:rPr>
          <w:color w:val="auto"/>
          <w:highlight w:val="none"/>
        </w:rPr>
        <w:t>167</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7DF160D5">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_Toc8449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6.2 </w:t>
      </w:r>
      <w:r>
        <w:rPr>
          <w:rFonts w:hint="eastAsia"/>
          <w:color w:val="auto"/>
          <w:highlight w:val="none"/>
          <w:lang w:eastAsia="zh-CN"/>
        </w:rPr>
        <w:t>社会经济效益分析</w:t>
      </w:r>
      <w:r>
        <w:rPr>
          <w:color w:val="auto"/>
          <w:highlight w:val="none"/>
        </w:rPr>
        <w:tab/>
      </w:r>
      <w:r>
        <w:rPr>
          <w:color w:val="auto"/>
          <w:highlight w:val="none"/>
        </w:rPr>
        <w:fldChar w:fldCharType="begin"/>
      </w:r>
      <w:r>
        <w:rPr>
          <w:color w:val="auto"/>
          <w:highlight w:val="none"/>
        </w:rPr>
        <w:instrText xml:space="preserve"> PAGEREF _Toc8449 \h </w:instrText>
      </w:r>
      <w:r>
        <w:rPr>
          <w:color w:val="auto"/>
          <w:highlight w:val="none"/>
        </w:rPr>
        <w:fldChar w:fldCharType="separate"/>
      </w:r>
      <w:r>
        <w:rPr>
          <w:color w:val="auto"/>
          <w:highlight w:val="none"/>
        </w:rPr>
        <w:t>167</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5C5DE220">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_Toc14530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6.3 </w:t>
      </w:r>
      <w:r>
        <w:rPr>
          <w:rFonts w:hint="eastAsia" w:cs="Times New Roman"/>
          <w:color w:val="auto"/>
          <w:highlight w:val="none"/>
          <w:lang w:eastAsia="zh-CN"/>
        </w:rPr>
        <w:t>环境影响经济损益分析</w:t>
      </w:r>
      <w:r>
        <w:rPr>
          <w:color w:val="auto"/>
          <w:highlight w:val="none"/>
        </w:rPr>
        <w:tab/>
      </w:r>
      <w:r>
        <w:rPr>
          <w:color w:val="auto"/>
          <w:highlight w:val="none"/>
        </w:rPr>
        <w:fldChar w:fldCharType="begin"/>
      </w:r>
      <w:r>
        <w:rPr>
          <w:color w:val="auto"/>
          <w:highlight w:val="none"/>
        </w:rPr>
        <w:instrText xml:space="preserve"> PAGEREF _Toc14530 \h </w:instrText>
      </w:r>
      <w:r>
        <w:rPr>
          <w:color w:val="auto"/>
          <w:highlight w:val="none"/>
        </w:rPr>
        <w:fldChar w:fldCharType="separate"/>
      </w:r>
      <w:r>
        <w:rPr>
          <w:color w:val="auto"/>
          <w:highlight w:val="none"/>
        </w:rPr>
        <w:t>168</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2BAE508D">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_Toc24625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eastAsia="zh-CN"/>
        </w:rPr>
        <w:t xml:space="preserve">6.4 </w:t>
      </w:r>
      <w:r>
        <w:rPr>
          <w:rFonts w:hint="default" w:cs="Times New Roman"/>
          <w:color w:val="auto"/>
          <w:highlight w:val="none"/>
          <w:lang w:eastAsia="zh-CN"/>
        </w:rPr>
        <w:t>综合效益</w:t>
      </w:r>
      <w:r>
        <w:rPr>
          <w:color w:val="auto"/>
          <w:highlight w:val="none"/>
        </w:rPr>
        <w:tab/>
      </w:r>
      <w:r>
        <w:rPr>
          <w:color w:val="auto"/>
          <w:highlight w:val="none"/>
        </w:rPr>
        <w:fldChar w:fldCharType="begin"/>
      </w:r>
      <w:r>
        <w:rPr>
          <w:color w:val="auto"/>
          <w:highlight w:val="none"/>
        </w:rPr>
        <w:instrText xml:space="preserve"> PAGEREF _Toc24625 \h </w:instrText>
      </w:r>
      <w:r>
        <w:rPr>
          <w:color w:val="auto"/>
          <w:highlight w:val="none"/>
        </w:rPr>
        <w:fldChar w:fldCharType="separate"/>
      </w:r>
      <w:r>
        <w:rPr>
          <w:color w:val="auto"/>
          <w:highlight w:val="none"/>
        </w:rPr>
        <w:t>168</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4C0BE77D">
      <w:pPr>
        <w:pStyle w:val="58"/>
        <w:tabs>
          <w:tab w:val="right" w:leader="dot" w:pos="8612"/>
          <w:tab w:val="clear" w:pos="860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_Toc4025 </w:instrText>
      </w:r>
      <w:r>
        <w:rPr>
          <w:rFonts w:hint="default" w:ascii="Times New Roman" w:hAnsi="Times New Roman" w:eastAsia="黑体" w:cs="Times New Roman"/>
          <w:bCs/>
          <w:color w:val="auto"/>
          <w:kern w:val="44"/>
          <w:szCs w:val="28"/>
          <w:highlight w:val="none"/>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color w:val="auto"/>
          <w:spacing w:val="0"/>
          <w:position w:val="0"/>
          <w:highlight w:val="none"/>
          <w:vertAlign w:val="baseline"/>
        </w:rPr>
        <w:t xml:space="preserve">7. </w:t>
      </w:r>
      <w:r>
        <w:rPr>
          <w:rFonts w:hint="default"/>
          <w:color w:val="auto"/>
          <w:highlight w:val="none"/>
        </w:rPr>
        <w:t>环境管理与监测计划</w:t>
      </w:r>
      <w:r>
        <w:rPr>
          <w:color w:val="auto"/>
          <w:highlight w:val="none"/>
        </w:rPr>
        <w:tab/>
      </w:r>
      <w:r>
        <w:rPr>
          <w:color w:val="auto"/>
          <w:highlight w:val="none"/>
        </w:rPr>
        <w:fldChar w:fldCharType="begin"/>
      </w:r>
      <w:r>
        <w:rPr>
          <w:color w:val="auto"/>
          <w:highlight w:val="none"/>
        </w:rPr>
        <w:instrText xml:space="preserve"> PAGEREF _Toc4025 \h </w:instrText>
      </w:r>
      <w:r>
        <w:rPr>
          <w:color w:val="auto"/>
          <w:highlight w:val="none"/>
        </w:rPr>
        <w:fldChar w:fldCharType="separate"/>
      </w:r>
      <w:r>
        <w:rPr>
          <w:color w:val="auto"/>
          <w:highlight w:val="none"/>
        </w:rPr>
        <w:t>170</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110A20E8">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_Toc21713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7.1 </w:t>
      </w:r>
      <w:r>
        <w:rPr>
          <w:rFonts w:hint="default"/>
          <w:color w:val="auto"/>
          <w:highlight w:val="none"/>
        </w:rPr>
        <w:t>环境管理</w:t>
      </w:r>
      <w:r>
        <w:rPr>
          <w:color w:val="auto"/>
          <w:highlight w:val="none"/>
        </w:rPr>
        <w:tab/>
      </w:r>
      <w:r>
        <w:rPr>
          <w:color w:val="auto"/>
          <w:highlight w:val="none"/>
        </w:rPr>
        <w:fldChar w:fldCharType="begin"/>
      </w:r>
      <w:r>
        <w:rPr>
          <w:color w:val="auto"/>
          <w:highlight w:val="none"/>
        </w:rPr>
        <w:instrText xml:space="preserve"> PAGEREF _Toc21713 \h </w:instrText>
      </w:r>
      <w:r>
        <w:rPr>
          <w:color w:val="auto"/>
          <w:highlight w:val="none"/>
        </w:rPr>
        <w:fldChar w:fldCharType="separate"/>
      </w:r>
      <w:r>
        <w:rPr>
          <w:color w:val="auto"/>
          <w:highlight w:val="none"/>
        </w:rPr>
        <w:t>170</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01AF2591">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_Toc9119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7.2 </w:t>
      </w:r>
      <w:r>
        <w:rPr>
          <w:rFonts w:hint="default"/>
          <w:color w:val="auto"/>
          <w:highlight w:val="none"/>
        </w:rPr>
        <w:t>环境保护监督计划</w:t>
      </w:r>
      <w:r>
        <w:rPr>
          <w:color w:val="auto"/>
          <w:highlight w:val="none"/>
        </w:rPr>
        <w:tab/>
      </w:r>
      <w:r>
        <w:rPr>
          <w:color w:val="auto"/>
          <w:highlight w:val="none"/>
        </w:rPr>
        <w:fldChar w:fldCharType="begin"/>
      </w:r>
      <w:r>
        <w:rPr>
          <w:color w:val="auto"/>
          <w:highlight w:val="none"/>
        </w:rPr>
        <w:instrText xml:space="preserve"> PAGEREF _Toc9119 \h </w:instrText>
      </w:r>
      <w:r>
        <w:rPr>
          <w:color w:val="auto"/>
          <w:highlight w:val="none"/>
        </w:rPr>
        <w:fldChar w:fldCharType="separate"/>
      </w:r>
      <w:r>
        <w:rPr>
          <w:color w:val="auto"/>
          <w:highlight w:val="none"/>
        </w:rPr>
        <w:t>172</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4308A31E">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_Toc2853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7.3 </w:t>
      </w:r>
      <w:r>
        <w:rPr>
          <w:rFonts w:hint="default"/>
          <w:color w:val="auto"/>
          <w:highlight w:val="none"/>
        </w:rPr>
        <w:t>环境监测</w:t>
      </w:r>
      <w:r>
        <w:rPr>
          <w:color w:val="auto"/>
          <w:highlight w:val="none"/>
        </w:rPr>
        <w:tab/>
      </w:r>
      <w:r>
        <w:rPr>
          <w:color w:val="auto"/>
          <w:highlight w:val="none"/>
        </w:rPr>
        <w:fldChar w:fldCharType="begin"/>
      </w:r>
      <w:r>
        <w:rPr>
          <w:color w:val="auto"/>
          <w:highlight w:val="none"/>
        </w:rPr>
        <w:instrText xml:space="preserve"> PAGEREF _Toc2853 \h </w:instrText>
      </w:r>
      <w:r>
        <w:rPr>
          <w:color w:val="auto"/>
          <w:highlight w:val="none"/>
        </w:rPr>
        <w:fldChar w:fldCharType="separate"/>
      </w:r>
      <w:r>
        <w:rPr>
          <w:color w:val="auto"/>
          <w:highlight w:val="none"/>
        </w:rPr>
        <w:t>172</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4FEC5F57">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_Toc3639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7.4 </w:t>
      </w:r>
      <w:r>
        <w:rPr>
          <w:rFonts w:hint="default"/>
          <w:color w:val="auto"/>
          <w:highlight w:val="none"/>
        </w:rPr>
        <w:t>环境监理</w:t>
      </w:r>
      <w:r>
        <w:rPr>
          <w:color w:val="auto"/>
          <w:highlight w:val="none"/>
        </w:rPr>
        <w:tab/>
      </w:r>
      <w:r>
        <w:rPr>
          <w:color w:val="auto"/>
          <w:highlight w:val="none"/>
        </w:rPr>
        <w:fldChar w:fldCharType="begin"/>
      </w:r>
      <w:r>
        <w:rPr>
          <w:color w:val="auto"/>
          <w:highlight w:val="none"/>
        </w:rPr>
        <w:instrText xml:space="preserve"> PAGEREF _Toc3639 \h </w:instrText>
      </w:r>
      <w:r>
        <w:rPr>
          <w:color w:val="auto"/>
          <w:highlight w:val="none"/>
        </w:rPr>
        <w:fldChar w:fldCharType="separate"/>
      </w:r>
      <w:r>
        <w:rPr>
          <w:color w:val="auto"/>
          <w:highlight w:val="none"/>
        </w:rPr>
        <w:t>173</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1F1EC860">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_Toc30659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7.5 </w:t>
      </w:r>
      <w:r>
        <w:rPr>
          <w:rFonts w:hint="default"/>
          <w:color w:val="auto"/>
          <w:highlight w:val="none"/>
        </w:rPr>
        <w:t>环保设施“三同时验收”</w:t>
      </w:r>
      <w:r>
        <w:rPr>
          <w:color w:val="auto"/>
          <w:highlight w:val="none"/>
        </w:rPr>
        <w:tab/>
      </w:r>
      <w:r>
        <w:rPr>
          <w:color w:val="auto"/>
          <w:highlight w:val="none"/>
        </w:rPr>
        <w:fldChar w:fldCharType="begin"/>
      </w:r>
      <w:r>
        <w:rPr>
          <w:color w:val="auto"/>
          <w:highlight w:val="none"/>
        </w:rPr>
        <w:instrText xml:space="preserve"> PAGEREF _Toc30659 \h </w:instrText>
      </w:r>
      <w:r>
        <w:rPr>
          <w:color w:val="auto"/>
          <w:highlight w:val="none"/>
        </w:rPr>
        <w:fldChar w:fldCharType="separate"/>
      </w:r>
      <w:r>
        <w:rPr>
          <w:color w:val="auto"/>
          <w:highlight w:val="none"/>
        </w:rPr>
        <w:t>175</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1E312793">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_Toc17349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7.6 </w:t>
      </w:r>
      <w:r>
        <w:rPr>
          <w:rFonts w:hint="eastAsia"/>
          <w:color w:val="auto"/>
          <w:highlight w:val="none"/>
          <w:lang w:eastAsia="zh-CN"/>
        </w:rPr>
        <w:t>应向社会公开的信息内容</w:t>
      </w:r>
      <w:r>
        <w:rPr>
          <w:color w:val="auto"/>
          <w:highlight w:val="none"/>
        </w:rPr>
        <w:tab/>
      </w:r>
      <w:r>
        <w:rPr>
          <w:color w:val="auto"/>
          <w:highlight w:val="none"/>
        </w:rPr>
        <w:fldChar w:fldCharType="begin"/>
      </w:r>
      <w:r>
        <w:rPr>
          <w:color w:val="auto"/>
          <w:highlight w:val="none"/>
        </w:rPr>
        <w:instrText xml:space="preserve"> PAGEREF _Toc17349 \h </w:instrText>
      </w:r>
      <w:r>
        <w:rPr>
          <w:color w:val="auto"/>
          <w:highlight w:val="none"/>
        </w:rPr>
        <w:fldChar w:fldCharType="separate"/>
      </w:r>
      <w:r>
        <w:rPr>
          <w:color w:val="auto"/>
          <w:highlight w:val="none"/>
        </w:rPr>
        <w:t>175</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6F552413">
      <w:pPr>
        <w:pStyle w:val="58"/>
        <w:tabs>
          <w:tab w:val="right" w:leader="dot" w:pos="8612"/>
          <w:tab w:val="clear" w:pos="860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_Toc25343 </w:instrText>
      </w:r>
      <w:r>
        <w:rPr>
          <w:rFonts w:hint="default" w:ascii="Times New Roman" w:hAnsi="Times New Roman" w:eastAsia="黑体" w:cs="Times New Roman"/>
          <w:bCs/>
          <w:color w:val="auto"/>
          <w:kern w:val="44"/>
          <w:szCs w:val="28"/>
          <w:highlight w:val="none"/>
        </w:rPr>
        <w:fldChar w:fldCharType="separate"/>
      </w:r>
      <w:r>
        <w:rPr>
          <w:rFonts w:hint="eastAsia" w:ascii="Times New Roman" w:hAnsi="Times New Roman" w:cs="Times New Roman"/>
          <w:bCs w:val="0"/>
          <w:i w:val="0"/>
          <w:iCs w:val="0"/>
          <w:caps w:val="0"/>
          <w:smallCaps w:val="0"/>
          <w:strike w:val="0"/>
          <w:dstrike w:val="0"/>
          <w:outline w:val="0"/>
          <w:shadow w:val="0"/>
          <w:emboss w:val="0"/>
          <w:imprint w:val="0"/>
          <w:vanish w:val="0"/>
          <w:color w:val="auto"/>
          <w:spacing w:val="0"/>
          <w:position w:val="0"/>
          <w:highlight w:val="none"/>
          <w:vertAlign w:val="baseline"/>
        </w:rPr>
        <w:t xml:space="preserve">8. </w:t>
      </w:r>
      <w:r>
        <w:rPr>
          <w:rFonts w:hint="default"/>
          <w:color w:val="auto"/>
          <w:highlight w:val="none"/>
        </w:rPr>
        <w:t>评价结论</w:t>
      </w:r>
      <w:r>
        <w:rPr>
          <w:color w:val="auto"/>
          <w:highlight w:val="none"/>
        </w:rPr>
        <w:tab/>
      </w:r>
      <w:r>
        <w:rPr>
          <w:color w:val="auto"/>
          <w:highlight w:val="none"/>
        </w:rPr>
        <w:fldChar w:fldCharType="begin"/>
      </w:r>
      <w:r>
        <w:rPr>
          <w:color w:val="auto"/>
          <w:highlight w:val="none"/>
        </w:rPr>
        <w:instrText xml:space="preserve"> PAGEREF _Toc25343 \h </w:instrText>
      </w:r>
      <w:r>
        <w:rPr>
          <w:color w:val="auto"/>
          <w:highlight w:val="none"/>
        </w:rPr>
        <w:fldChar w:fldCharType="separate"/>
      </w:r>
      <w:r>
        <w:rPr>
          <w:color w:val="auto"/>
          <w:highlight w:val="none"/>
        </w:rPr>
        <w:t>177</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6F9067D3">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_Toc25602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8.1 </w:t>
      </w:r>
      <w:r>
        <w:rPr>
          <w:rFonts w:hint="default"/>
          <w:color w:val="auto"/>
          <w:highlight w:val="none"/>
        </w:rPr>
        <w:t>工程基本情况</w:t>
      </w:r>
      <w:r>
        <w:rPr>
          <w:color w:val="auto"/>
          <w:highlight w:val="none"/>
        </w:rPr>
        <w:tab/>
      </w:r>
      <w:r>
        <w:rPr>
          <w:color w:val="auto"/>
          <w:highlight w:val="none"/>
        </w:rPr>
        <w:fldChar w:fldCharType="begin"/>
      </w:r>
      <w:r>
        <w:rPr>
          <w:color w:val="auto"/>
          <w:highlight w:val="none"/>
        </w:rPr>
        <w:instrText xml:space="preserve"> PAGEREF _Toc25602 \h </w:instrText>
      </w:r>
      <w:r>
        <w:rPr>
          <w:color w:val="auto"/>
          <w:highlight w:val="none"/>
        </w:rPr>
        <w:fldChar w:fldCharType="separate"/>
      </w:r>
      <w:r>
        <w:rPr>
          <w:color w:val="auto"/>
          <w:highlight w:val="none"/>
        </w:rPr>
        <w:t>177</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7AE440E0">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_Toc19347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8.2 </w:t>
      </w:r>
      <w:r>
        <w:rPr>
          <w:rFonts w:hint="default"/>
          <w:color w:val="auto"/>
          <w:highlight w:val="none"/>
        </w:rPr>
        <w:t>主要环境保护目标</w:t>
      </w:r>
      <w:r>
        <w:rPr>
          <w:color w:val="auto"/>
          <w:highlight w:val="none"/>
        </w:rPr>
        <w:tab/>
      </w:r>
      <w:r>
        <w:rPr>
          <w:color w:val="auto"/>
          <w:highlight w:val="none"/>
        </w:rPr>
        <w:fldChar w:fldCharType="begin"/>
      </w:r>
      <w:r>
        <w:rPr>
          <w:color w:val="auto"/>
          <w:highlight w:val="none"/>
        </w:rPr>
        <w:instrText xml:space="preserve"> PAGEREF _Toc19347 \h </w:instrText>
      </w:r>
      <w:r>
        <w:rPr>
          <w:color w:val="auto"/>
          <w:highlight w:val="none"/>
        </w:rPr>
        <w:fldChar w:fldCharType="separate"/>
      </w:r>
      <w:r>
        <w:rPr>
          <w:color w:val="auto"/>
          <w:highlight w:val="none"/>
        </w:rPr>
        <w:t>177</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1A4F5E43">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_Toc257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8.3 </w:t>
      </w:r>
      <w:r>
        <w:rPr>
          <w:rFonts w:hint="default"/>
          <w:color w:val="auto"/>
          <w:highlight w:val="none"/>
        </w:rPr>
        <w:t>环境质量现状</w:t>
      </w:r>
      <w:r>
        <w:rPr>
          <w:color w:val="auto"/>
          <w:highlight w:val="none"/>
        </w:rPr>
        <w:tab/>
      </w:r>
      <w:r>
        <w:rPr>
          <w:color w:val="auto"/>
          <w:highlight w:val="none"/>
        </w:rPr>
        <w:fldChar w:fldCharType="begin"/>
      </w:r>
      <w:r>
        <w:rPr>
          <w:color w:val="auto"/>
          <w:highlight w:val="none"/>
        </w:rPr>
        <w:instrText xml:space="preserve"> PAGEREF _Toc257 \h </w:instrText>
      </w:r>
      <w:r>
        <w:rPr>
          <w:color w:val="auto"/>
          <w:highlight w:val="none"/>
        </w:rPr>
        <w:fldChar w:fldCharType="separate"/>
      </w:r>
      <w:r>
        <w:rPr>
          <w:color w:val="auto"/>
          <w:highlight w:val="none"/>
        </w:rPr>
        <w:t>178</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6B698E42">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_Toc22659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8.4 </w:t>
      </w:r>
      <w:r>
        <w:rPr>
          <w:rFonts w:hint="default"/>
          <w:color w:val="auto"/>
          <w:highlight w:val="none"/>
        </w:rPr>
        <w:t>工程环境影响评价</w:t>
      </w:r>
      <w:r>
        <w:rPr>
          <w:color w:val="auto"/>
          <w:highlight w:val="none"/>
        </w:rPr>
        <w:tab/>
      </w:r>
      <w:r>
        <w:rPr>
          <w:color w:val="auto"/>
          <w:highlight w:val="none"/>
        </w:rPr>
        <w:fldChar w:fldCharType="begin"/>
      </w:r>
      <w:r>
        <w:rPr>
          <w:color w:val="auto"/>
          <w:highlight w:val="none"/>
        </w:rPr>
        <w:instrText xml:space="preserve"> PAGEREF _Toc22659 \h </w:instrText>
      </w:r>
      <w:r>
        <w:rPr>
          <w:color w:val="auto"/>
          <w:highlight w:val="none"/>
        </w:rPr>
        <w:fldChar w:fldCharType="separate"/>
      </w:r>
      <w:r>
        <w:rPr>
          <w:color w:val="auto"/>
          <w:highlight w:val="none"/>
        </w:rPr>
        <w:t>180</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303855C0">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_Toc30216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8.5 </w:t>
      </w:r>
      <w:r>
        <w:rPr>
          <w:rFonts w:hint="default"/>
          <w:color w:val="auto"/>
          <w:highlight w:val="none"/>
        </w:rPr>
        <w:t>环境风险</w:t>
      </w:r>
      <w:r>
        <w:rPr>
          <w:color w:val="auto"/>
          <w:highlight w:val="none"/>
        </w:rPr>
        <w:tab/>
      </w:r>
      <w:r>
        <w:rPr>
          <w:color w:val="auto"/>
          <w:highlight w:val="none"/>
        </w:rPr>
        <w:fldChar w:fldCharType="begin"/>
      </w:r>
      <w:r>
        <w:rPr>
          <w:color w:val="auto"/>
          <w:highlight w:val="none"/>
        </w:rPr>
        <w:instrText xml:space="preserve"> PAGEREF _Toc30216 \h </w:instrText>
      </w:r>
      <w:r>
        <w:rPr>
          <w:color w:val="auto"/>
          <w:highlight w:val="none"/>
        </w:rPr>
        <w:fldChar w:fldCharType="separate"/>
      </w:r>
      <w:r>
        <w:rPr>
          <w:color w:val="auto"/>
          <w:highlight w:val="none"/>
        </w:rPr>
        <w:t>182</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1B877EB8">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_Toc20231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rPr>
        <w:t xml:space="preserve">8.6 </w:t>
      </w:r>
      <w:r>
        <w:rPr>
          <w:rFonts w:hint="default"/>
          <w:color w:val="auto"/>
          <w:highlight w:val="none"/>
        </w:rPr>
        <w:t>环保措施</w:t>
      </w:r>
      <w:r>
        <w:rPr>
          <w:color w:val="auto"/>
          <w:highlight w:val="none"/>
        </w:rPr>
        <w:tab/>
      </w:r>
      <w:r>
        <w:rPr>
          <w:color w:val="auto"/>
          <w:highlight w:val="none"/>
        </w:rPr>
        <w:fldChar w:fldCharType="begin"/>
      </w:r>
      <w:r>
        <w:rPr>
          <w:color w:val="auto"/>
          <w:highlight w:val="none"/>
        </w:rPr>
        <w:instrText xml:space="preserve"> PAGEREF _Toc20231 \h </w:instrText>
      </w:r>
      <w:r>
        <w:rPr>
          <w:color w:val="auto"/>
          <w:highlight w:val="none"/>
        </w:rPr>
        <w:fldChar w:fldCharType="separate"/>
      </w:r>
      <w:r>
        <w:rPr>
          <w:color w:val="auto"/>
          <w:highlight w:val="none"/>
        </w:rPr>
        <w:t>182</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4A8E34F0">
      <w:pPr>
        <w:pStyle w:val="73"/>
        <w:tabs>
          <w:tab w:val="right" w:leader="dot" w:pos="8612"/>
        </w:tabs>
        <w:rPr>
          <w:color w:val="auto"/>
          <w:highlight w:val="none"/>
        </w:rPr>
      </w:pPr>
      <w:r>
        <w:rPr>
          <w:rFonts w:hint="default" w:ascii="Times New Roman" w:hAnsi="Times New Roman" w:eastAsia="黑体" w:cs="Times New Roman"/>
          <w:bCs/>
          <w:color w:val="auto"/>
          <w:kern w:val="44"/>
          <w:szCs w:val="28"/>
          <w:highlight w:val="none"/>
        </w:rPr>
        <w:fldChar w:fldCharType="begin"/>
      </w:r>
      <w:r>
        <w:rPr>
          <w:rFonts w:hint="default" w:ascii="Times New Roman" w:hAnsi="Times New Roman" w:eastAsia="黑体" w:cs="Times New Roman"/>
          <w:bCs/>
          <w:color w:val="auto"/>
          <w:kern w:val="44"/>
          <w:szCs w:val="28"/>
          <w:highlight w:val="none"/>
        </w:rPr>
        <w:instrText xml:space="preserve"> HYPERLINK \l _Toc5715 </w:instrText>
      </w:r>
      <w:r>
        <w:rPr>
          <w:rFonts w:hint="default" w:ascii="Times New Roman" w:hAnsi="Times New Roman" w:eastAsia="黑体" w:cs="Times New Roman"/>
          <w:bCs/>
          <w:color w:val="auto"/>
          <w:kern w:val="44"/>
          <w:szCs w:val="28"/>
          <w:highlight w:val="none"/>
        </w:rPr>
        <w:fldChar w:fldCharType="separate"/>
      </w:r>
      <w:r>
        <w:rPr>
          <w:rFonts w:hint="default" w:ascii="Times New Roman" w:hAnsi="Times New Roman" w:cs="Times New Roman"/>
          <w:color w:val="auto"/>
          <w:highlight w:val="none"/>
          <w:lang w:val="en-US" w:eastAsia="zh-CN"/>
        </w:rPr>
        <w:t xml:space="preserve">8.7 </w:t>
      </w:r>
      <w:r>
        <w:rPr>
          <w:rFonts w:hint="eastAsia"/>
          <w:color w:val="auto"/>
          <w:highlight w:val="none"/>
          <w:lang w:eastAsia="zh-CN"/>
        </w:rPr>
        <w:t>评价结论</w:t>
      </w:r>
      <w:r>
        <w:rPr>
          <w:color w:val="auto"/>
          <w:highlight w:val="none"/>
        </w:rPr>
        <w:tab/>
      </w:r>
      <w:r>
        <w:rPr>
          <w:color w:val="auto"/>
          <w:highlight w:val="none"/>
        </w:rPr>
        <w:fldChar w:fldCharType="begin"/>
      </w:r>
      <w:r>
        <w:rPr>
          <w:color w:val="auto"/>
          <w:highlight w:val="none"/>
        </w:rPr>
        <w:instrText xml:space="preserve"> PAGEREF _Toc5715 \h </w:instrText>
      </w:r>
      <w:r>
        <w:rPr>
          <w:color w:val="auto"/>
          <w:highlight w:val="none"/>
        </w:rPr>
        <w:fldChar w:fldCharType="separate"/>
      </w:r>
      <w:r>
        <w:rPr>
          <w:color w:val="auto"/>
          <w:highlight w:val="none"/>
        </w:rPr>
        <w:t>184</w:t>
      </w:r>
      <w:r>
        <w:rPr>
          <w:color w:val="auto"/>
          <w:highlight w:val="none"/>
        </w:rPr>
        <w:fldChar w:fldCharType="end"/>
      </w:r>
      <w:r>
        <w:rPr>
          <w:rFonts w:hint="default" w:ascii="Times New Roman" w:hAnsi="Times New Roman" w:eastAsia="黑体" w:cs="Times New Roman"/>
          <w:bCs/>
          <w:color w:val="auto"/>
          <w:kern w:val="44"/>
          <w:szCs w:val="28"/>
          <w:highlight w:val="none"/>
        </w:rPr>
        <w:fldChar w:fldCharType="end"/>
      </w:r>
    </w:p>
    <w:p w14:paraId="61A48AAB">
      <w:pPr>
        <w:pStyle w:val="86"/>
        <w:numPr>
          <w:ilvl w:val="0"/>
          <w:numId w:val="0"/>
        </w:numPr>
        <w:spacing w:after="0" w:line="240" w:lineRule="auto"/>
        <w:ind w:leftChars="200"/>
        <w:rPr>
          <w:rFonts w:hint="default" w:ascii="Times New Roman" w:hAnsi="Times New Roman" w:eastAsia="宋体" w:cs="Times New Roman"/>
          <w:b/>
          <w:bCs w:val="0"/>
          <w:color w:val="auto"/>
          <w:kern w:val="44"/>
          <w:szCs w:val="28"/>
          <w:highlight w:val="none"/>
          <w:lang w:val="en-US" w:eastAsia="zh-CN"/>
        </w:rPr>
      </w:pPr>
      <w:r>
        <w:rPr>
          <w:rFonts w:hint="default" w:ascii="Times New Roman" w:hAnsi="Times New Roman" w:eastAsia="黑体" w:cs="Times New Roman"/>
          <w:bCs/>
          <w:color w:val="auto"/>
          <w:kern w:val="44"/>
          <w:szCs w:val="28"/>
          <w:highlight w:val="none"/>
        </w:rPr>
        <w:fldChar w:fldCharType="end"/>
      </w:r>
      <w:r>
        <w:rPr>
          <w:rFonts w:hint="default" w:ascii="Times New Roman" w:hAnsi="Times New Roman" w:eastAsia="宋体" w:cs="Times New Roman"/>
          <w:b/>
          <w:bCs w:val="0"/>
          <w:color w:val="auto"/>
          <w:kern w:val="44"/>
          <w:szCs w:val="28"/>
          <w:highlight w:val="none"/>
          <w:lang w:val="en-US" w:eastAsia="zh-CN"/>
        </w:rPr>
        <w:t>附图：</w:t>
      </w:r>
    </w:p>
    <w:p w14:paraId="24768910">
      <w:pPr>
        <w:pStyle w:val="86"/>
        <w:numPr>
          <w:ilvl w:val="0"/>
          <w:numId w:val="8"/>
        </w:numPr>
        <w:spacing w:after="0" w:line="240" w:lineRule="auto"/>
        <w:ind w:left="0" w:leftChars="0" w:firstLine="420" w:firstLineChars="0"/>
        <w:rPr>
          <w:rFonts w:hint="default" w:ascii="Times New Roman" w:hAnsi="Times New Roman" w:eastAsia="宋体" w:cs="Times New Roman"/>
          <w:bCs/>
          <w:color w:val="auto"/>
          <w:kern w:val="44"/>
          <w:szCs w:val="28"/>
          <w:highlight w:val="none"/>
          <w:lang w:val="en-US" w:eastAsia="zh-CN"/>
        </w:rPr>
      </w:pPr>
      <w:r>
        <w:rPr>
          <w:rFonts w:hint="default" w:ascii="Times New Roman" w:hAnsi="Times New Roman" w:eastAsia="宋体" w:cs="Times New Roman"/>
          <w:bCs/>
          <w:color w:val="auto"/>
          <w:kern w:val="44"/>
          <w:szCs w:val="28"/>
          <w:highlight w:val="none"/>
          <w:lang w:val="en-US" w:eastAsia="zh-CN"/>
        </w:rPr>
        <w:t xml:space="preserve"> 项目地理位置示意图</w:t>
      </w:r>
    </w:p>
    <w:p w14:paraId="1B13F9CF">
      <w:pPr>
        <w:pStyle w:val="86"/>
        <w:numPr>
          <w:ilvl w:val="0"/>
          <w:numId w:val="8"/>
        </w:numPr>
        <w:spacing w:after="0" w:line="240" w:lineRule="auto"/>
        <w:ind w:left="0" w:leftChars="0" w:firstLine="420" w:firstLineChars="0"/>
        <w:rPr>
          <w:rFonts w:hint="default" w:ascii="Times New Roman" w:hAnsi="Times New Roman" w:eastAsia="宋体" w:cs="Times New Roman"/>
          <w:bCs/>
          <w:color w:val="auto"/>
          <w:kern w:val="44"/>
          <w:szCs w:val="28"/>
          <w:highlight w:val="none"/>
          <w:u w:val="single"/>
          <w:lang w:val="en-US" w:eastAsia="zh-CN"/>
        </w:rPr>
      </w:pPr>
      <w:r>
        <w:rPr>
          <w:rFonts w:hint="default" w:ascii="Times New Roman" w:hAnsi="Times New Roman" w:cs="Times New Roman"/>
          <w:bCs/>
          <w:color w:val="auto"/>
          <w:kern w:val="44"/>
          <w:szCs w:val="28"/>
          <w:highlight w:val="none"/>
          <w:u w:val="single"/>
          <w:lang w:val="en-US" w:eastAsia="zh-CN"/>
        </w:rPr>
        <w:t>-1项目总平面布置</w:t>
      </w:r>
    </w:p>
    <w:p w14:paraId="7B5D5DD2">
      <w:pPr>
        <w:pStyle w:val="86"/>
        <w:numPr>
          <w:ilvl w:val="0"/>
          <w:numId w:val="0"/>
        </w:numPr>
        <w:spacing w:after="0" w:line="240" w:lineRule="auto"/>
        <w:ind w:left="420" w:leftChars="0"/>
        <w:rPr>
          <w:rFonts w:hint="default" w:ascii="Times New Roman" w:hAnsi="Times New Roman" w:eastAsia="宋体" w:cs="Times New Roman"/>
          <w:bCs/>
          <w:color w:val="auto"/>
          <w:kern w:val="44"/>
          <w:szCs w:val="28"/>
          <w:highlight w:val="none"/>
          <w:lang w:val="en-US" w:eastAsia="zh-CN"/>
        </w:rPr>
      </w:pPr>
      <w:r>
        <w:rPr>
          <w:rFonts w:hint="default" w:ascii="Times New Roman" w:hAnsi="Times New Roman" w:cs="Times New Roman"/>
          <w:bCs/>
          <w:color w:val="auto"/>
          <w:kern w:val="44"/>
          <w:szCs w:val="28"/>
          <w:highlight w:val="none"/>
          <w:lang w:val="en-US" w:eastAsia="zh-CN"/>
        </w:rPr>
        <w:t>附图2</w:t>
      </w:r>
      <w:r>
        <w:rPr>
          <w:rFonts w:hint="default" w:ascii="Times New Roman" w:hAnsi="Times New Roman" w:eastAsia="宋体" w:cs="Times New Roman"/>
          <w:bCs/>
          <w:color w:val="auto"/>
          <w:kern w:val="44"/>
          <w:szCs w:val="28"/>
          <w:highlight w:val="none"/>
          <w:lang w:val="en-US" w:eastAsia="zh-CN"/>
        </w:rPr>
        <w:t>-</w:t>
      </w:r>
      <w:r>
        <w:rPr>
          <w:rFonts w:hint="default" w:ascii="Times New Roman" w:hAnsi="Times New Roman" w:cs="Times New Roman"/>
          <w:bCs/>
          <w:color w:val="auto"/>
          <w:kern w:val="44"/>
          <w:szCs w:val="28"/>
          <w:highlight w:val="none"/>
          <w:lang w:val="en-US" w:eastAsia="zh-CN"/>
        </w:rPr>
        <w:t>2</w:t>
      </w:r>
      <w:r>
        <w:rPr>
          <w:rFonts w:hint="default" w:ascii="Times New Roman" w:hAnsi="Times New Roman" w:eastAsia="宋体" w:cs="Times New Roman"/>
          <w:bCs/>
          <w:color w:val="auto"/>
          <w:kern w:val="44"/>
          <w:szCs w:val="28"/>
          <w:highlight w:val="none"/>
          <w:lang w:val="en-US" w:eastAsia="zh-CN"/>
        </w:rPr>
        <w:t>锦绣大道排水改造段平面布置图</w:t>
      </w:r>
    </w:p>
    <w:p w14:paraId="2696C78B">
      <w:pPr>
        <w:pStyle w:val="86"/>
        <w:numPr>
          <w:ilvl w:val="0"/>
          <w:numId w:val="0"/>
        </w:numPr>
        <w:spacing w:after="0" w:line="240" w:lineRule="auto"/>
        <w:ind w:left="420" w:leftChars="0"/>
        <w:rPr>
          <w:rFonts w:hint="default" w:ascii="Times New Roman" w:hAnsi="Times New Roman" w:eastAsia="宋体" w:cs="Times New Roman"/>
          <w:bCs/>
          <w:color w:val="auto"/>
          <w:kern w:val="44"/>
          <w:szCs w:val="28"/>
          <w:highlight w:val="none"/>
          <w:lang w:val="en-US" w:eastAsia="zh-CN"/>
        </w:rPr>
      </w:pPr>
      <w:r>
        <w:rPr>
          <w:rFonts w:hint="default" w:ascii="Times New Roman" w:hAnsi="Times New Roman" w:eastAsia="宋体" w:cs="Times New Roman"/>
          <w:bCs/>
          <w:color w:val="auto"/>
          <w:kern w:val="44"/>
          <w:szCs w:val="28"/>
          <w:highlight w:val="none"/>
          <w:lang w:val="en-US" w:eastAsia="zh-CN"/>
        </w:rPr>
        <w:t>附图2-</w:t>
      </w:r>
      <w:r>
        <w:rPr>
          <w:rFonts w:hint="default" w:ascii="Times New Roman" w:hAnsi="Times New Roman" w:cs="Times New Roman"/>
          <w:bCs/>
          <w:color w:val="auto"/>
          <w:kern w:val="44"/>
          <w:szCs w:val="28"/>
          <w:highlight w:val="none"/>
          <w:lang w:val="en-US" w:eastAsia="zh-CN"/>
        </w:rPr>
        <w:t>3</w:t>
      </w:r>
      <w:r>
        <w:rPr>
          <w:rFonts w:hint="default" w:ascii="Times New Roman" w:hAnsi="Times New Roman" w:eastAsia="宋体" w:cs="Times New Roman"/>
          <w:bCs/>
          <w:color w:val="auto"/>
          <w:kern w:val="44"/>
          <w:szCs w:val="28"/>
          <w:highlight w:val="none"/>
          <w:lang w:val="en-US" w:eastAsia="zh-CN"/>
        </w:rPr>
        <w:t>城市更新水系（排水管）平面布置图</w:t>
      </w:r>
    </w:p>
    <w:p w14:paraId="0DF78AC6">
      <w:pPr>
        <w:pStyle w:val="86"/>
        <w:numPr>
          <w:ilvl w:val="0"/>
          <w:numId w:val="0"/>
        </w:numPr>
        <w:spacing w:after="0" w:line="240" w:lineRule="auto"/>
        <w:ind w:left="420" w:leftChars="0"/>
        <w:rPr>
          <w:rFonts w:hint="default" w:ascii="Times New Roman" w:hAnsi="Times New Roman" w:eastAsia="宋体" w:cs="Times New Roman"/>
          <w:bCs/>
          <w:color w:val="auto"/>
          <w:kern w:val="44"/>
          <w:szCs w:val="28"/>
          <w:highlight w:val="none"/>
          <w:lang w:val="en-US" w:eastAsia="zh-CN"/>
        </w:rPr>
      </w:pPr>
      <w:r>
        <w:rPr>
          <w:rFonts w:hint="default" w:ascii="Times New Roman" w:hAnsi="Times New Roman" w:eastAsia="宋体" w:cs="Times New Roman"/>
          <w:bCs/>
          <w:color w:val="auto"/>
          <w:kern w:val="44"/>
          <w:szCs w:val="28"/>
          <w:highlight w:val="none"/>
          <w:lang w:val="en-US" w:eastAsia="zh-CN"/>
        </w:rPr>
        <w:t>附图2-</w:t>
      </w:r>
      <w:r>
        <w:rPr>
          <w:rFonts w:hint="default" w:ascii="Times New Roman" w:hAnsi="Times New Roman" w:cs="Times New Roman"/>
          <w:bCs/>
          <w:color w:val="auto"/>
          <w:kern w:val="44"/>
          <w:szCs w:val="28"/>
          <w:highlight w:val="none"/>
          <w:lang w:val="en-US" w:eastAsia="zh-CN"/>
        </w:rPr>
        <w:t>4</w:t>
      </w:r>
      <w:r>
        <w:rPr>
          <w:rFonts w:hint="default" w:ascii="Times New Roman" w:hAnsi="Times New Roman" w:eastAsia="宋体" w:cs="Times New Roman"/>
          <w:bCs/>
          <w:color w:val="auto"/>
          <w:kern w:val="44"/>
          <w:szCs w:val="28"/>
          <w:highlight w:val="none"/>
          <w:lang w:val="en-US" w:eastAsia="zh-CN"/>
        </w:rPr>
        <w:t>城市更新水系（箱涵及挡土墙）平面布置图</w:t>
      </w:r>
    </w:p>
    <w:p w14:paraId="35FB670E">
      <w:pPr>
        <w:pStyle w:val="86"/>
        <w:numPr>
          <w:ilvl w:val="0"/>
          <w:numId w:val="0"/>
        </w:numPr>
        <w:spacing w:after="0" w:line="240" w:lineRule="auto"/>
        <w:ind w:left="420" w:leftChars="0"/>
        <w:rPr>
          <w:rFonts w:hint="default" w:ascii="Times New Roman" w:hAnsi="Times New Roman" w:eastAsia="宋体" w:cs="Times New Roman"/>
          <w:bCs/>
          <w:color w:val="auto"/>
          <w:kern w:val="44"/>
          <w:szCs w:val="28"/>
          <w:highlight w:val="none"/>
          <w:lang w:val="en-US" w:eastAsia="zh-CN"/>
        </w:rPr>
      </w:pPr>
      <w:r>
        <w:rPr>
          <w:rFonts w:hint="default" w:ascii="Times New Roman" w:hAnsi="Times New Roman" w:eastAsia="宋体" w:cs="Times New Roman"/>
          <w:bCs/>
          <w:color w:val="auto"/>
          <w:kern w:val="44"/>
          <w:szCs w:val="28"/>
          <w:highlight w:val="none"/>
          <w:lang w:val="en-US" w:eastAsia="zh-CN"/>
        </w:rPr>
        <w:t>附图2-</w:t>
      </w:r>
      <w:r>
        <w:rPr>
          <w:rFonts w:hint="default" w:ascii="Times New Roman" w:hAnsi="Times New Roman" w:cs="Times New Roman"/>
          <w:bCs/>
          <w:color w:val="auto"/>
          <w:kern w:val="44"/>
          <w:szCs w:val="28"/>
          <w:highlight w:val="none"/>
          <w:lang w:val="en-US" w:eastAsia="zh-CN"/>
        </w:rPr>
        <w:t>5</w:t>
      </w:r>
      <w:r>
        <w:rPr>
          <w:rFonts w:hint="default" w:ascii="Times New Roman" w:hAnsi="Times New Roman" w:eastAsia="宋体" w:cs="Times New Roman"/>
          <w:bCs/>
          <w:color w:val="auto"/>
          <w:kern w:val="44"/>
          <w:szCs w:val="28"/>
          <w:highlight w:val="none"/>
          <w:lang w:val="en-US" w:eastAsia="zh-CN"/>
        </w:rPr>
        <w:t>钦州港路排水工程平面布置图</w:t>
      </w:r>
    </w:p>
    <w:p w14:paraId="6AB5674E">
      <w:pPr>
        <w:pStyle w:val="86"/>
        <w:numPr>
          <w:ilvl w:val="0"/>
          <w:numId w:val="8"/>
        </w:numPr>
        <w:spacing w:after="0" w:line="240" w:lineRule="auto"/>
        <w:ind w:left="0" w:leftChars="0" w:firstLine="420" w:firstLineChars="0"/>
        <w:rPr>
          <w:rFonts w:hint="default" w:ascii="Times New Roman" w:hAnsi="Times New Roman" w:eastAsia="宋体" w:cs="Times New Roman"/>
          <w:bCs/>
          <w:color w:val="auto"/>
          <w:kern w:val="44"/>
          <w:szCs w:val="28"/>
          <w:highlight w:val="none"/>
          <w:u w:val="single"/>
          <w:lang w:val="en-US" w:eastAsia="zh-CN"/>
        </w:rPr>
      </w:pPr>
      <w:r>
        <w:rPr>
          <w:rFonts w:hint="default" w:ascii="Times New Roman" w:hAnsi="Times New Roman" w:eastAsia="宋体" w:cs="Times New Roman"/>
          <w:bCs/>
          <w:color w:val="auto"/>
          <w:kern w:val="44"/>
          <w:szCs w:val="28"/>
          <w:highlight w:val="none"/>
          <w:u w:val="single"/>
          <w:lang w:val="en-US" w:eastAsia="zh-CN"/>
        </w:rPr>
        <w:t>项目评价范围与保护目标分布图</w:t>
      </w:r>
    </w:p>
    <w:p w14:paraId="59F72624">
      <w:pPr>
        <w:pStyle w:val="86"/>
        <w:numPr>
          <w:ilvl w:val="0"/>
          <w:numId w:val="8"/>
        </w:numPr>
        <w:spacing w:after="0" w:line="240" w:lineRule="auto"/>
        <w:ind w:left="0" w:leftChars="0" w:firstLine="420" w:firstLineChars="0"/>
        <w:rPr>
          <w:rFonts w:hint="default" w:ascii="Times New Roman" w:hAnsi="Times New Roman" w:eastAsia="宋体" w:cs="Times New Roman"/>
          <w:bCs/>
          <w:color w:val="auto"/>
          <w:kern w:val="44"/>
          <w:szCs w:val="28"/>
          <w:highlight w:val="none"/>
          <w:u w:val="single"/>
          <w:lang w:val="en-US" w:eastAsia="zh-CN"/>
        </w:rPr>
      </w:pPr>
      <w:r>
        <w:rPr>
          <w:rFonts w:hint="default" w:ascii="Times New Roman" w:hAnsi="Times New Roman" w:eastAsia="宋体" w:cs="Times New Roman"/>
          <w:bCs/>
          <w:color w:val="auto"/>
          <w:kern w:val="44"/>
          <w:szCs w:val="28"/>
          <w:highlight w:val="none"/>
          <w:u w:val="single"/>
          <w:lang w:val="en-US" w:eastAsia="zh-CN"/>
        </w:rPr>
        <w:t>项目监测点位示意图</w:t>
      </w:r>
    </w:p>
    <w:p w14:paraId="27FE40FE">
      <w:pPr>
        <w:pStyle w:val="86"/>
        <w:numPr>
          <w:ilvl w:val="0"/>
          <w:numId w:val="8"/>
        </w:numPr>
        <w:spacing w:after="0" w:line="240" w:lineRule="auto"/>
        <w:ind w:left="0" w:leftChars="0" w:firstLine="420" w:firstLineChars="0"/>
        <w:rPr>
          <w:rFonts w:hint="default" w:ascii="Times New Roman" w:hAnsi="Times New Roman" w:eastAsia="宋体" w:cs="Times New Roman"/>
          <w:bCs/>
          <w:color w:val="auto"/>
          <w:kern w:val="44"/>
          <w:szCs w:val="28"/>
          <w:highlight w:val="none"/>
          <w:lang w:val="en-US" w:eastAsia="zh-CN"/>
        </w:rPr>
      </w:pPr>
      <w:r>
        <w:rPr>
          <w:rFonts w:hint="default" w:ascii="Times New Roman" w:hAnsi="Times New Roman" w:eastAsia="宋体" w:cs="Times New Roman"/>
          <w:bCs/>
          <w:color w:val="auto"/>
          <w:kern w:val="44"/>
          <w:szCs w:val="28"/>
          <w:highlight w:val="none"/>
          <w:lang w:val="en-US" w:eastAsia="zh-CN"/>
        </w:rPr>
        <w:t>项目与钦州市陆域环境管控单元类关系图</w:t>
      </w:r>
    </w:p>
    <w:p w14:paraId="5F5BA180">
      <w:pPr>
        <w:pStyle w:val="86"/>
        <w:numPr>
          <w:ilvl w:val="0"/>
          <w:numId w:val="8"/>
        </w:numPr>
        <w:spacing w:after="0" w:line="240" w:lineRule="auto"/>
        <w:ind w:left="0" w:leftChars="0" w:firstLine="420" w:firstLineChars="0"/>
        <w:rPr>
          <w:rFonts w:hint="default" w:ascii="Times New Roman" w:hAnsi="Times New Roman" w:eastAsia="宋体" w:cs="Times New Roman"/>
          <w:bCs/>
          <w:color w:val="auto"/>
          <w:kern w:val="44"/>
          <w:szCs w:val="28"/>
          <w:highlight w:val="none"/>
          <w:lang w:val="en-US" w:eastAsia="zh-CN"/>
        </w:rPr>
      </w:pPr>
      <w:r>
        <w:rPr>
          <w:rFonts w:hint="default" w:ascii="Times New Roman" w:hAnsi="Times New Roman" w:eastAsia="宋体" w:cs="Times New Roman"/>
          <w:bCs/>
          <w:color w:val="auto"/>
          <w:kern w:val="44"/>
          <w:szCs w:val="28"/>
          <w:highlight w:val="none"/>
          <w:lang w:val="en-US" w:eastAsia="zh-CN"/>
        </w:rPr>
        <w:t>项目与广西生态功能区划的位置关系示意图</w:t>
      </w:r>
    </w:p>
    <w:p w14:paraId="2E6687FF">
      <w:pPr>
        <w:pStyle w:val="86"/>
        <w:numPr>
          <w:ilvl w:val="0"/>
          <w:numId w:val="8"/>
        </w:numPr>
        <w:spacing w:after="0" w:line="240" w:lineRule="auto"/>
        <w:ind w:left="0" w:leftChars="0" w:firstLine="420" w:firstLineChars="0"/>
        <w:rPr>
          <w:rFonts w:hint="default" w:ascii="Times New Roman" w:hAnsi="Times New Roman" w:eastAsia="宋体" w:cs="Times New Roman"/>
          <w:bCs/>
          <w:color w:val="auto"/>
          <w:kern w:val="44"/>
          <w:szCs w:val="28"/>
          <w:highlight w:val="none"/>
          <w:lang w:val="en-US" w:eastAsia="zh-CN"/>
        </w:rPr>
      </w:pPr>
      <w:r>
        <w:rPr>
          <w:rFonts w:hint="default" w:ascii="Times New Roman" w:hAnsi="Times New Roman" w:eastAsia="宋体" w:cs="Times New Roman"/>
          <w:bCs/>
          <w:color w:val="auto"/>
          <w:kern w:val="44"/>
          <w:szCs w:val="28"/>
          <w:highlight w:val="none"/>
          <w:lang w:val="en-US" w:eastAsia="zh-CN"/>
        </w:rPr>
        <w:t>项目与广西主体功能区划位置关系示意图</w:t>
      </w:r>
    </w:p>
    <w:p w14:paraId="7C3EB6E3">
      <w:pPr>
        <w:pStyle w:val="86"/>
        <w:numPr>
          <w:ilvl w:val="0"/>
          <w:numId w:val="8"/>
        </w:numPr>
        <w:spacing w:after="0" w:line="240" w:lineRule="auto"/>
        <w:ind w:left="0" w:leftChars="0" w:firstLine="420" w:firstLineChars="0"/>
        <w:rPr>
          <w:rFonts w:hint="default" w:ascii="Times New Roman" w:hAnsi="Times New Roman" w:eastAsia="宋体" w:cs="Times New Roman"/>
          <w:bCs/>
          <w:color w:val="auto"/>
          <w:kern w:val="44"/>
          <w:szCs w:val="28"/>
          <w:highlight w:val="none"/>
          <w:u w:val="single"/>
          <w:lang w:val="en-US" w:eastAsia="zh-CN"/>
        </w:rPr>
      </w:pPr>
      <w:r>
        <w:rPr>
          <w:rFonts w:hint="default" w:ascii="Times New Roman" w:hAnsi="Times New Roman" w:eastAsia="宋体" w:cs="Times New Roman"/>
          <w:bCs/>
          <w:color w:val="auto"/>
          <w:kern w:val="44"/>
          <w:szCs w:val="28"/>
          <w:highlight w:val="none"/>
          <w:u w:val="single"/>
          <w:lang w:val="en-US" w:eastAsia="zh-CN"/>
        </w:rPr>
        <w:t>项目与钦州市中心城区声环境功能区划位置关系示意图</w:t>
      </w:r>
    </w:p>
    <w:p w14:paraId="4F5E9E2F">
      <w:pPr>
        <w:pStyle w:val="86"/>
        <w:numPr>
          <w:ilvl w:val="0"/>
          <w:numId w:val="8"/>
        </w:numPr>
        <w:spacing w:after="0" w:line="240" w:lineRule="auto"/>
        <w:ind w:left="0" w:leftChars="0" w:firstLine="420" w:firstLineChars="0"/>
        <w:rPr>
          <w:rFonts w:hint="default" w:ascii="Times New Roman" w:hAnsi="Times New Roman" w:eastAsia="宋体" w:cs="Times New Roman"/>
          <w:bCs/>
          <w:color w:val="auto"/>
          <w:kern w:val="44"/>
          <w:szCs w:val="28"/>
          <w:highlight w:val="none"/>
          <w:lang w:val="en-US" w:eastAsia="zh-CN"/>
        </w:rPr>
      </w:pPr>
      <w:r>
        <w:rPr>
          <w:rFonts w:hint="default" w:ascii="Times New Roman" w:hAnsi="Times New Roman" w:eastAsia="宋体" w:cs="Times New Roman"/>
          <w:bCs/>
          <w:color w:val="auto"/>
          <w:kern w:val="44"/>
          <w:szCs w:val="28"/>
          <w:highlight w:val="none"/>
          <w:lang w:val="en-US" w:eastAsia="zh-CN"/>
        </w:rPr>
        <w:t>项目与钦州市金窝水库饮用水水源保护区位置关系示意图</w:t>
      </w:r>
    </w:p>
    <w:p w14:paraId="1334BBC3">
      <w:pPr>
        <w:pStyle w:val="86"/>
        <w:numPr>
          <w:ilvl w:val="0"/>
          <w:numId w:val="8"/>
        </w:numPr>
        <w:spacing w:after="0" w:line="240" w:lineRule="auto"/>
        <w:ind w:left="0" w:leftChars="0" w:firstLine="420" w:firstLineChars="0"/>
        <w:rPr>
          <w:rFonts w:hint="default" w:ascii="Times New Roman" w:hAnsi="Times New Roman" w:eastAsia="宋体" w:cs="Times New Roman"/>
          <w:bCs/>
          <w:color w:val="auto"/>
          <w:kern w:val="44"/>
          <w:szCs w:val="28"/>
          <w:highlight w:val="none"/>
          <w:u w:val="single"/>
          <w:lang w:val="en-US" w:eastAsia="zh-CN"/>
        </w:rPr>
      </w:pPr>
      <w:r>
        <w:rPr>
          <w:rFonts w:hint="default" w:ascii="Times New Roman" w:hAnsi="Times New Roman" w:eastAsia="宋体" w:cs="Times New Roman"/>
          <w:bCs/>
          <w:color w:val="auto"/>
          <w:kern w:val="44"/>
          <w:szCs w:val="28"/>
          <w:highlight w:val="none"/>
          <w:u w:val="single"/>
          <w:lang w:val="en-US" w:eastAsia="zh-CN"/>
        </w:rPr>
        <w:t>项目与</w:t>
      </w:r>
      <w:r>
        <w:rPr>
          <w:rFonts w:hint="eastAsia" w:ascii="Times New Roman" w:cs="Times New Roman"/>
          <w:bCs/>
          <w:color w:val="auto"/>
          <w:kern w:val="44"/>
          <w:szCs w:val="28"/>
          <w:highlight w:val="none"/>
          <w:u w:val="single"/>
          <w:lang w:val="en-US" w:eastAsia="zh-CN"/>
        </w:rPr>
        <w:t>钦州市城市总体规划（2012-2030）</w:t>
      </w:r>
      <w:r>
        <w:rPr>
          <w:rFonts w:hint="default" w:ascii="Times New Roman" w:hAnsi="Times New Roman" w:eastAsia="宋体" w:cs="Times New Roman"/>
          <w:bCs/>
          <w:color w:val="auto"/>
          <w:kern w:val="44"/>
          <w:szCs w:val="28"/>
          <w:highlight w:val="none"/>
          <w:u w:val="single"/>
          <w:lang w:val="en-US" w:eastAsia="zh-CN"/>
        </w:rPr>
        <w:t>位置关系示意图</w:t>
      </w:r>
    </w:p>
    <w:p w14:paraId="01FE08AA">
      <w:pPr>
        <w:pStyle w:val="86"/>
        <w:numPr>
          <w:ilvl w:val="0"/>
          <w:numId w:val="8"/>
        </w:numPr>
        <w:spacing w:after="0" w:line="240" w:lineRule="auto"/>
        <w:ind w:left="0" w:leftChars="0" w:firstLine="420" w:firstLineChars="0"/>
        <w:rPr>
          <w:rFonts w:hint="default" w:ascii="Times New Roman" w:hAnsi="Times New Roman" w:eastAsia="宋体" w:cs="Times New Roman"/>
          <w:bCs/>
          <w:color w:val="auto"/>
          <w:kern w:val="44"/>
          <w:szCs w:val="28"/>
          <w:highlight w:val="none"/>
          <w:lang w:val="en-US" w:eastAsia="zh-CN"/>
        </w:rPr>
      </w:pPr>
      <w:r>
        <w:rPr>
          <w:rFonts w:hint="default" w:ascii="Times New Roman" w:hAnsi="Times New Roman" w:eastAsia="宋体" w:cs="Times New Roman"/>
          <w:bCs/>
          <w:color w:val="auto"/>
          <w:kern w:val="44"/>
          <w:szCs w:val="28"/>
          <w:highlight w:val="none"/>
          <w:lang w:val="en-US" w:eastAsia="zh-CN"/>
        </w:rPr>
        <w:t>植被类型图</w:t>
      </w:r>
    </w:p>
    <w:p w14:paraId="31DADD5B">
      <w:pPr>
        <w:pStyle w:val="86"/>
        <w:numPr>
          <w:ilvl w:val="0"/>
          <w:numId w:val="8"/>
        </w:numPr>
        <w:spacing w:after="0" w:line="240" w:lineRule="auto"/>
        <w:ind w:left="0" w:leftChars="0" w:firstLine="420" w:firstLineChars="0"/>
        <w:rPr>
          <w:rFonts w:hint="default" w:ascii="Times New Roman" w:hAnsi="Times New Roman" w:eastAsia="宋体" w:cs="Times New Roman"/>
          <w:bCs/>
          <w:color w:val="auto"/>
          <w:kern w:val="44"/>
          <w:szCs w:val="28"/>
          <w:highlight w:val="none"/>
          <w:lang w:val="en-US" w:eastAsia="zh-CN"/>
        </w:rPr>
      </w:pPr>
      <w:r>
        <w:rPr>
          <w:rFonts w:hint="default" w:ascii="Times New Roman" w:hAnsi="Times New Roman" w:eastAsia="宋体" w:cs="Times New Roman"/>
          <w:bCs/>
          <w:color w:val="auto"/>
          <w:kern w:val="44"/>
          <w:szCs w:val="28"/>
          <w:highlight w:val="none"/>
          <w:lang w:val="en-US" w:eastAsia="zh-CN"/>
        </w:rPr>
        <w:t>土地利用现状图</w:t>
      </w:r>
    </w:p>
    <w:p w14:paraId="40EB4C0B">
      <w:pPr>
        <w:pStyle w:val="86"/>
        <w:numPr>
          <w:ilvl w:val="0"/>
          <w:numId w:val="8"/>
        </w:numPr>
        <w:spacing w:after="0" w:line="240" w:lineRule="auto"/>
        <w:ind w:left="0" w:leftChars="0" w:firstLine="420" w:firstLineChars="0"/>
        <w:rPr>
          <w:rFonts w:hint="default" w:ascii="Times New Roman" w:hAnsi="Times New Roman" w:eastAsia="宋体" w:cs="Times New Roman"/>
          <w:bCs/>
          <w:color w:val="auto"/>
          <w:kern w:val="44"/>
          <w:szCs w:val="28"/>
          <w:highlight w:val="none"/>
          <w:lang w:val="en-US" w:eastAsia="zh-CN"/>
        </w:rPr>
      </w:pPr>
      <w:r>
        <w:rPr>
          <w:rFonts w:hint="default" w:ascii="Times New Roman" w:hAnsi="Times New Roman" w:cs="Times New Roman"/>
          <w:color w:val="auto"/>
          <w:highlight w:val="none"/>
          <w:lang w:eastAsia="zh-CN"/>
        </w:rPr>
        <w:t>项目与钦州市海洋功能区划位置关系</w:t>
      </w:r>
    </w:p>
    <w:p w14:paraId="0A8B88B9">
      <w:pPr>
        <w:pStyle w:val="86"/>
        <w:numPr>
          <w:ilvl w:val="0"/>
          <w:numId w:val="8"/>
        </w:numPr>
        <w:spacing w:after="0" w:line="240" w:lineRule="auto"/>
        <w:ind w:left="0" w:leftChars="0" w:firstLine="420" w:firstLineChars="0"/>
        <w:rPr>
          <w:rFonts w:hint="default" w:ascii="Times New Roman" w:hAnsi="Times New Roman" w:eastAsia="宋体" w:cs="Times New Roman"/>
          <w:bCs/>
          <w:color w:val="auto"/>
          <w:kern w:val="44"/>
          <w:szCs w:val="28"/>
          <w:highlight w:val="none"/>
          <w:lang w:val="en-US" w:eastAsia="zh-CN"/>
        </w:rPr>
      </w:pP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lang w:eastAsia="zh-CN"/>
        </w:rPr>
        <w:t>项目与</w:t>
      </w:r>
      <w:r>
        <w:rPr>
          <w:rFonts w:hint="default" w:ascii="Times New Roman" w:hAnsi="Times New Roman" w:cs="Times New Roman"/>
          <w:color w:val="auto"/>
          <w:highlight w:val="none"/>
          <w:lang w:val="en-US" w:eastAsia="zh-CN"/>
        </w:rPr>
        <w:t>2008年海岸线位置关系</w:t>
      </w:r>
    </w:p>
    <w:p w14:paraId="07A7A40F">
      <w:pPr>
        <w:pStyle w:val="86"/>
        <w:numPr>
          <w:ilvl w:val="0"/>
          <w:numId w:val="8"/>
        </w:numPr>
        <w:spacing w:after="0" w:line="240" w:lineRule="auto"/>
        <w:ind w:left="0" w:leftChars="0" w:firstLine="420" w:firstLineChars="0"/>
        <w:rPr>
          <w:rFonts w:hint="default"/>
          <w:color w:val="auto"/>
          <w:highlight w:val="none"/>
          <w:lang w:val="en-US" w:eastAsia="zh-CN"/>
        </w:rPr>
      </w:pPr>
      <w:r>
        <w:rPr>
          <w:rFonts w:hint="eastAsia"/>
          <w:color w:val="auto"/>
          <w:highlight w:val="none"/>
          <w:lang w:val="en-US" w:eastAsia="zh-CN"/>
        </w:rPr>
        <w:t>项目与</w:t>
      </w:r>
      <w:r>
        <w:rPr>
          <w:rFonts w:hint="eastAsia"/>
          <w:color w:val="auto"/>
          <w:highlight w:val="none"/>
          <w:u w:val="single"/>
          <w:lang w:val="en-US" w:eastAsia="zh-CN"/>
        </w:rPr>
        <w:t>中国（广西）自由贸易试验区钦州港片区管线综合专项规划（2023-2035）位置关系</w:t>
      </w:r>
    </w:p>
    <w:p w14:paraId="7EE6C53C">
      <w:pPr>
        <w:pStyle w:val="86"/>
        <w:numPr>
          <w:ilvl w:val="0"/>
          <w:numId w:val="8"/>
        </w:numPr>
        <w:spacing w:after="0" w:line="240" w:lineRule="auto"/>
        <w:ind w:left="0" w:leftChars="0" w:firstLine="420" w:firstLineChars="0"/>
        <w:rPr>
          <w:rFonts w:hint="default"/>
          <w:color w:val="auto"/>
          <w:highlight w:val="none"/>
          <w:u w:val="single"/>
          <w:lang w:val="en-US" w:eastAsia="zh-CN"/>
        </w:rPr>
      </w:pPr>
      <w:r>
        <w:rPr>
          <w:rFonts w:hint="eastAsia"/>
          <w:color w:val="auto"/>
          <w:highlight w:val="none"/>
          <w:u w:val="single"/>
          <w:lang w:val="en-US" w:eastAsia="zh-CN"/>
        </w:rPr>
        <w:t>项目与红树林位置关系</w:t>
      </w:r>
    </w:p>
    <w:p w14:paraId="2F63A7D4">
      <w:pPr>
        <w:pStyle w:val="86"/>
        <w:numPr>
          <w:ilvl w:val="0"/>
          <w:numId w:val="8"/>
        </w:numPr>
        <w:spacing w:after="0" w:line="240" w:lineRule="auto"/>
        <w:ind w:left="0" w:leftChars="0" w:firstLine="420" w:firstLineChars="0"/>
        <w:rPr>
          <w:rFonts w:hint="default"/>
          <w:color w:val="auto"/>
          <w:highlight w:val="none"/>
          <w:u w:val="single"/>
          <w:lang w:val="en-US" w:eastAsia="zh-CN"/>
        </w:rPr>
      </w:pPr>
      <w:r>
        <w:rPr>
          <w:rFonts w:hint="eastAsia"/>
          <w:color w:val="auto"/>
          <w:highlight w:val="none"/>
          <w:u w:val="single"/>
          <w:lang w:val="en-US" w:eastAsia="zh-CN"/>
        </w:rPr>
        <w:t>区域水系图</w:t>
      </w:r>
    </w:p>
    <w:p w14:paraId="5E5072E1">
      <w:pPr>
        <w:pStyle w:val="86"/>
        <w:numPr>
          <w:ilvl w:val="0"/>
          <w:numId w:val="8"/>
        </w:numPr>
        <w:spacing w:after="0" w:line="240" w:lineRule="auto"/>
        <w:ind w:left="0" w:leftChars="0" w:firstLine="420" w:firstLineChars="0"/>
        <w:rPr>
          <w:rFonts w:hint="default"/>
          <w:color w:val="auto"/>
          <w:highlight w:val="none"/>
          <w:u w:val="single"/>
          <w:lang w:val="en-US" w:eastAsia="zh-CN"/>
        </w:rPr>
      </w:pPr>
      <w:r>
        <w:rPr>
          <w:rFonts w:hint="eastAsia"/>
          <w:color w:val="auto"/>
          <w:highlight w:val="none"/>
          <w:u w:val="single"/>
          <w:lang w:val="en-US" w:eastAsia="zh-CN"/>
        </w:rPr>
        <w:t>项目与钦州市水功能区划位置关系</w:t>
      </w:r>
    </w:p>
    <w:p w14:paraId="5C513874">
      <w:pPr>
        <w:pStyle w:val="86"/>
        <w:numPr>
          <w:ilvl w:val="0"/>
          <w:numId w:val="8"/>
        </w:numPr>
        <w:spacing w:after="0" w:line="240" w:lineRule="auto"/>
        <w:ind w:left="0" w:leftChars="0" w:firstLine="420" w:firstLineChars="0"/>
        <w:rPr>
          <w:rFonts w:hint="default"/>
          <w:color w:val="auto"/>
          <w:highlight w:val="none"/>
          <w:u w:val="single"/>
          <w:lang w:val="en-US" w:eastAsia="zh-CN"/>
        </w:rPr>
      </w:pPr>
      <w:r>
        <w:rPr>
          <w:rFonts w:hint="eastAsia"/>
          <w:color w:val="auto"/>
          <w:highlight w:val="none"/>
          <w:u w:val="single"/>
          <w:lang w:val="en-US" w:eastAsia="zh-CN"/>
        </w:rPr>
        <w:t>项目区域水文地质图</w:t>
      </w:r>
    </w:p>
    <w:p w14:paraId="2E5E7D9D">
      <w:pPr>
        <w:pStyle w:val="86"/>
        <w:numPr>
          <w:ilvl w:val="0"/>
          <w:numId w:val="0"/>
        </w:numPr>
        <w:spacing w:after="0" w:line="240" w:lineRule="auto"/>
        <w:rPr>
          <w:rFonts w:hint="default" w:ascii="Times New Roman" w:hAnsi="Times New Roman" w:eastAsia="宋体" w:cs="Times New Roman"/>
          <w:bCs/>
          <w:color w:val="auto"/>
          <w:kern w:val="44"/>
          <w:szCs w:val="28"/>
          <w:highlight w:val="none"/>
          <w:lang w:val="en-US" w:eastAsia="zh-CN"/>
        </w:rPr>
      </w:pPr>
    </w:p>
    <w:p w14:paraId="62ECFD39">
      <w:pPr>
        <w:pStyle w:val="85"/>
        <w:rPr>
          <w:rFonts w:hint="default"/>
          <w:color w:val="auto"/>
          <w:highlight w:val="none"/>
          <w:lang w:val="en-US" w:eastAsia="zh-CN"/>
        </w:rPr>
      </w:pPr>
    </w:p>
    <w:p w14:paraId="2AF53F65">
      <w:pPr>
        <w:pStyle w:val="86"/>
        <w:numPr>
          <w:ilvl w:val="0"/>
          <w:numId w:val="0"/>
        </w:numPr>
        <w:spacing w:after="0" w:line="240" w:lineRule="auto"/>
        <w:ind w:leftChars="200"/>
        <w:rPr>
          <w:rFonts w:hint="default" w:ascii="Times New Roman" w:hAnsi="Times New Roman" w:eastAsia="宋体" w:cs="Times New Roman"/>
          <w:b/>
          <w:bCs w:val="0"/>
          <w:color w:val="auto"/>
          <w:kern w:val="44"/>
          <w:szCs w:val="28"/>
          <w:highlight w:val="none"/>
          <w:lang w:val="en-US" w:eastAsia="zh-CN"/>
        </w:rPr>
      </w:pPr>
      <w:r>
        <w:rPr>
          <w:rFonts w:hint="default" w:ascii="Times New Roman" w:hAnsi="Times New Roman" w:eastAsia="黑体" w:cs="Times New Roman"/>
          <w:b/>
          <w:bCs w:val="0"/>
          <w:color w:val="auto"/>
          <w:kern w:val="44"/>
          <w:szCs w:val="28"/>
          <w:highlight w:val="none"/>
          <w:lang w:val="en-US" w:eastAsia="zh-CN"/>
        </w:rPr>
        <w:t>附</w:t>
      </w:r>
      <w:r>
        <w:rPr>
          <w:rFonts w:hint="default" w:ascii="Times New Roman" w:hAnsi="Times New Roman" w:eastAsia="宋体" w:cs="Times New Roman"/>
          <w:b/>
          <w:bCs w:val="0"/>
          <w:color w:val="auto"/>
          <w:kern w:val="44"/>
          <w:szCs w:val="28"/>
          <w:highlight w:val="none"/>
          <w:lang w:val="en-US" w:eastAsia="zh-CN"/>
        </w:rPr>
        <w:t>件：</w:t>
      </w:r>
    </w:p>
    <w:p w14:paraId="5FBC2E70">
      <w:pPr>
        <w:pStyle w:val="86"/>
        <w:keepNext w:val="0"/>
        <w:keepLines w:val="0"/>
        <w:pageBreakBefore w:val="0"/>
        <w:widowControl w:val="0"/>
        <w:numPr>
          <w:ilvl w:val="0"/>
          <w:numId w:val="9"/>
        </w:numPr>
        <w:kinsoku/>
        <w:wordWrap/>
        <w:overflowPunct/>
        <w:topLinePunct w:val="0"/>
        <w:autoSpaceDE/>
        <w:autoSpaceDN/>
        <w:bidi w:val="0"/>
        <w:adjustRightInd/>
        <w:snapToGrid/>
        <w:spacing w:after="0" w:line="240" w:lineRule="auto"/>
        <w:ind w:left="0" w:leftChars="0" w:firstLine="480" w:firstLineChars="200"/>
        <w:textAlignment w:val="auto"/>
        <w:rPr>
          <w:rFonts w:hint="default" w:ascii="Times New Roman" w:hAnsi="Times New Roman" w:eastAsia="宋体" w:cs="Times New Roman"/>
          <w:bCs/>
          <w:color w:val="auto"/>
          <w:kern w:val="44"/>
          <w:szCs w:val="28"/>
          <w:highlight w:val="none"/>
          <w:lang w:val="en-US" w:eastAsia="zh-CN"/>
        </w:rPr>
      </w:pPr>
      <w:r>
        <w:rPr>
          <w:rFonts w:hint="default" w:ascii="Times New Roman" w:hAnsi="Times New Roman" w:eastAsia="宋体" w:cs="Times New Roman"/>
          <w:bCs/>
          <w:color w:val="auto"/>
          <w:kern w:val="44"/>
          <w:szCs w:val="28"/>
          <w:highlight w:val="none"/>
          <w:lang w:val="en-US" w:eastAsia="zh-CN"/>
        </w:rPr>
        <w:t>项目环评委托书</w:t>
      </w:r>
    </w:p>
    <w:p w14:paraId="1806A2FB">
      <w:pPr>
        <w:pStyle w:val="86"/>
        <w:keepNext w:val="0"/>
        <w:keepLines w:val="0"/>
        <w:pageBreakBefore w:val="0"/>
        <w:widowControl w:val="0"/>
        <w:numPr>
          <w:ilvl w:val="0"/>
          <w:numId w:val="9"/>
        </w:numPr>
        <w:kinsoku/>
        <w:wordWrap/>
        <w:overflowPunct/>
        <w:topLinePunct w:val="0"/>
        <w:autoSpaceDE/>
        <w:autoSpaceDN/>
        <w:bidi w:val="0"/>
        <w:adjustRightInd/>
        <w:snapToGrid/>
        <w:spacing w:after="0" w:line="240" w:lineRule="auto"/>
        <w:ind w:left="0" w:leftChars="0" w:firstLine="480" w:firstLineChars="200"/>
        <w:textAlignment w:val="auto"/>
        <w:rPr>
          <w:rFonts w:hint="default" w:ascii="Times New Roman" w:hAnsi="Times New Roman" w:eastAsia="宋体" w:cs="Times New Roman"/>
          <w:bCs/>
          <w:color w:val="auto"/>
          <w:kern w:val="44"/>
          <w:szCs w:val="28"/>
          <w:highlight w:val="none"/>
          <w:lang w:val="en-US" w:eastAsia="zh-CN"/>
        </w:rPr>
      </w:pPr>
      <w:r>
        <w:rPr>
          <w:rFonts w:hint="default" w:ascii="Times New Roman" w:hAnsi="Times New Roman" w:eastAsia="宋体" w:cs="Times New Roman"/>
          <w:bCs/>
          <w:color w:val="auto"/>
          <w:kern w:val="44"/>
          <w:szCs w:val="28"/>
          <w:highlight w:val="none"/>
          <w:lang w:val="en-US" w:eastAsia="zh-CN"/>
        </w:rPr>
        <w:t>项目初步设计报告的批复</w:t>
      </w:r>
    </w:p>
    <w:p w14:paraId="0B052890">
      <w:pPr>
        <w:pStyle w:val="86"/>
        <w:keepNext w:val="0"/>
        <w:keepLines w:val="0"/>
        <w:pageBreakBefore w:val="0"/>
        <w:widowControl w:val="0"/>
        <w:numPr>
          <w:ilvl w:val="0"/>
          <w:numId w:val="9"/>
        </w:numPr>
        <w:kinsoku/>
        <w:wordWrap/>
        <w:overflowPunct/>
        <w:topLinePunct w:val="0"/>
        <w:autoSpaceDE/>
        <w:autoSpaceDN/>
        <w:bidi w:val="0"/>
        <w:adjustRightInd/>
        <w:snapToGrid/>
        <w:spacing w:after="0" w:line="240" w:lineRule="auto"/>
        <w:ind w:left="0" w:leftChars="0" w:firstLine="480" w:firstLineChars="200"/>
        <w:textAlignment w:val="auto"/>
        <w:rPr>
          <w:rFonts w:hint="default" w:ascii="Times New Roman" w:hAnsi="Times New Roman" w:eastAsia="宋体" w:cs="Times New Roman"/>
          <w:bCs/>
          <w:color w:val="auto"/>
          <w:kern w:val="44"/>
          <w:szCs w:val="28"/>
          <w:highlight w:val="none"/>
          <w:lang w:val="en-US" w:eastAsia="zh-CN"/>
        </w:rPr>
      </w:pPr>
      <w:r>
        <w:rPr>
          <w:rFonts w:hint="default" w:ascii="Times New Roman" w:hAnsi="Times New Roman" w:cs="Times New Roman"/>
          <w:bCs/>
          <w:color w:val="auto"/>
          <w:kern w:val="44"/>
          <w:szCs w:val="28"/>
          <w:highlight w:val="none"/>
          <w:lang w:val="en-US" w:eastAsia="zh-CN"/>
        </w:rPr>
        <w:t>广西壮族自治区</w:t>
      </w:r>
      <w:r>
        <w:rPr>
          <w:rFonts w:hint="eastAsia" w:ascii="Times New Roman" w:cs="Times New Roman"/>
          <w:bCs/>
          <w:color w:val="auto"/>
          <w:kern w:val="44"/>
          <w:szCs w:val="28"/>
          <w:highlight w:val="none"/>
          <w:lang w:val="en-US" w:eastAsia="zh-CN"/>
        </w:rPr>
        <w:t>生态环境厅</w:t>
      </w:r>
      <w:r>
        <w:rPr>
          <w:rFonts w:hint="default" w:ascii="Times New Roman" w:hAnsi="Times New Roman" w:cs="Times New Roman"/>
          <w:bCs/>
          <w:color w:val="auto"/>
          <w:kern w:val="44"/>
          <w:szCs w:val="28"/>
          <w:highlight w:val="none"/>
          <w:lang w:val="en-US" w:eastAsia="zh-CN"/>
        </w:rPr>
        <w:t>关于印发中国-马来西亚钦州产业园区总体规划修编环境影响报告书审查意见的函</w:t>
      </w:r>
    </w:p>
    <w:p w14:paraId="451F77A2">
      <w:pPr>
        <w:pStyle w:val="86"/>
        <w:keepNext w:val="0"/>
        <w:keepLines w:val="0"/>
        <w:pageBreakBefore w:val="0"/>
        <w:widowControl w:val="0"/>
        <w:numPr>
          <w:ilvl w:val="0"/>
          <w:numId w:val="9"/>
        </w:numPr>
        <w:kinsoku/>
        <w:wordWrap/>
        <w:overflowPunct/>
        <w:topLinePunct w:val="0"/>
        <w:autoSpaceDE/>
        <w:autoSpaceDN/>
        <w:bidi w:val="0"/>
        <w:adjustRightInd/>
        <w:snapToGrid/>
        <w:spacing w:after="0" w:line="240" w:lineRule="auto"/>
        <w:ind w:left="0" w:leftChars="0" w:firstLine="480" w:firstLineChars="200"/>
        <w:textAlignment w:val="auto"/>
        <w:rPr>
          <w:rFonts w:hint="default" w:ascii="Times New Roman" w:hAnsi="Times New Roman" w:eastAsia="宋体" w:cs="Times New Roman"/>
          <w:bCs/>
          <w:color w:val="auto"/>
          <w:kern w:val="44"/>
          <w:szCs w:val="28"/>
          <w:highlight w:val="none"/>
          <w:lang w:val="en-US" w:eastAsia="zh-CN"/>
        </w:rPr>
      </w:pPr>
      <w:r>
        <w:rPr>
          <w:rFonts w:hint="default" w:ascii="Times New Roman" w:hAnsi="Times New Roman" w:cs="Times New Roman"/>
          <w:color w:val="auto"/>
          <w:highlight w:val="none"/>
          <w:lang w:val="en-US" w:eastAsia="zh-CN"/>
        </w:rPr>
        <w:t>自然资源局和住建局关于明确钦州港新型城乡融合发展示范区（自贸新城）排水改造工程方案的复函</w:t>
      </w:r>
    </w:p>
    <w:p w14:paraId="038FADC3">
      <w:pPr>
        <w:pStyle w:val="86"/>
        <w:keepNext w:val="0"/>
        <w:keepLines w:val="0"/>
        <w:pageBreakBefore w:val="0"/>
        <w:widowControl w:val="0"/>
        <w:numPr>
          <w:ilvl w:val="0"/>
          <w:numId w:val="9"/>
        </w:numPr>
        <w:kinsoku/>
        <w:wordWrap/>
        <w:overflowPunct/>
        <w:topLinePunct w:val="0"/>
        <w:autoSpaceDE/>
        <w:autoSpaceDN/>
        <w:bidi w:val="0"/>
        <w:adjustRightInd/>
        <w:snapToGrid/>
        <w:spacing w:after="0" w:line="240" w:lineRule="auto"/>
        <w:ind w:left="0" w:leftChars="0" w:firstLine="480" w:firstLineChars="200"/>
        <w:textAlignment w:val="auto"/>
        <w:rPr>
          <w:rFonts w:hint="default" w:ascii="Times New Roman" w:hAnsi="Times New Roman" w:eastAsia="宋体" w:cs="Times New Roman"/>
          <w:bCs/>
          <w:color w:val="auto"/>
          <w:kern w:val="44"/>
          <w:szCs w:val="28"/>
          <w:highlight w:val="none"/>
          <w:lang w:val="en-US" w:eastAsia="zh-CN"/>
        </w:rPr>
      </w:pPr>
      <w:r>
        <w:rPr>
          <w:rFonts w:hint="default" w:ascii="Times New Roman" w:hAnsi="Times New Roman" w:eastAsia="宋体" w:cs="Times New Roman"/>
          <w:bCs/>
          <w:color w:val="auto"/>
          <w:kern w:val="44"/>
          <w:szCs w:val="28"/>
          <w:highlight w:val="none"/>
          <w:lang w:val="en-US" w:eastAsia="zh-CN"/>
        </w:rPr>
        <w:t>环境质量现状监测报告</w:t>
      </w:r>
      <w:r>
        <w:rPr>
          <w:rFonts w:hint="default" w:ascii="Times New Roman" w:hAnsi="Times New Roman" w:cs="Times New Roman"/>
          <w:bCs/>
          <w:color w:val="auto"/>
          <w:kern w:val="44"/>
          <w:szCs w:val="28"/>
          <w:highlight w:val="none"/>
          <w:lang w:val="en-US" w:eastAsia="zh-CN"/>
        </w:rPr>
        <w:t>（大气、噪声、地表水环境）</w:t>
      </w:r>
    </w:p>
    <w:p w14:paraId="5BDE6C78">
      <w:pPr>
        <w:pStyle w:val="86"/>
        <w:keepNext w:val="0"/>
        <w:keepLines w:val="0"/>
        <w:pageBreakBefore w:val="0"/>
        <w:widowControl w:val="0"/>
        <w:numPr>
          <w:ilvl w:val="0"/>
          <w:numId w:val="9"/>
        </w:numPr>
        <w:kinsoku/>
        <w:wordWrap/>
        <w:overflowPunct/>
        <w:topLinePunct w:val="0"/>
        <w:autoSpaceDE/>
        <w:autoSpaceDN/>
        <w:bidi w:val="0"/>
        <w:adjustRightInd/>
        <w:snapToGrid/>
        <w:spacing w:after="0" w:line="240" w:lineRule="auto"/>
        <w:ind w:left="0" w:leftChars="0" w:firstLine="480" w:firstLineChars="200"/>
        <w:textAlignment w:val="auto"/>
        <w:rPr>
          <w:rFonts w:hint="default" w:ascii="Times New Roman" w:hAnsi="Times New Roman" w:eastAsia="宋体" w:cs="Times New Roman"/>
          <w:bCs/>
          <w:color w:val="auto"/>
          <w:kern w:val="44"/>
          <w:szCs w:val="28"/>
          <w:highlight w:val="none"/>
          <w:lang w:val="en-US" w:eastAsia="zh-CN"/>
        </w:rPr>
      </w:pPr>
      <w:r>
        <w:rPr>
          <w:rFonts w:hint="default" w:ascii="Times New Roman" w:hAnsi="Times New Roman" w:cs="Times New Roman"/>
          <w:bCs/>
          <w:color w:val="auto"/>
          <w:kern w:val="44"/>
          <w:szCs w:val="28"/>
          <w:highlight w:val="none"/>
          <w:lang w:val="en-US" w:eastAsia="zh-CN"/>
        </w:rPr>
        <w:t>环境质量现状监测报告（土壤、地下水环境）</w:t>
      </w:r>
    </w:p>
    <w:p w14:paraId="65328487">
      <w:pPr>
        <w:pStyle w:val="86"/>
        <w:keepNext w:val="0"/>
        <w:keepLines w:val="0"/>
        <w:pageBreakBefore w:val="0"/>
        <w:widowControl w:val="0"/>
        <w:numPr>
          <w:ilvl w:val="0"/>
          <w:numId w:val="9"/>
        </w:numPr>
        <w:kinsoku/>
        <w:wordWrap/>
        <w:overflowPunct/>
        <w:topLinePunct w:val="0"/>
        <w:autoSpaceDE/>
        <w:autoSpaceDN/>
        <w:bidi w:val="0"/>
        <w:adjustRightInd/>
        <w:snapToGrid/>
        <w:spacing w:after="0" w:line="240" w:lineRule="auto"/>
        <w:ind w:left="0" w:leftChars="0" w:firstLine="480" w:firstLineChars="200"/>
        <w:textAlignment w:val="auto"/>
        <w:rPr>
          <w:rFonts w:hint="default"/>
          <w:color w:val="auto"/>
          <w:highlight w:val="none"/>
          <w:u w:val="single"/>
          <w:lang w:val="en-US" w:eastAsia="zh-CN"/>
        </w:rPr>
      </w:pPr>
      <w:r>
        <w:rPr>
          <w:rFonts w:hint="eastAsia"/>
          <w:color w:val="auto"/>
          <w:highlight w:val="none"/>
          <w:u w:val="single"/>
          <w:lang w:val="en-US" w:eastAsia="zh-CN"/>
        </w:rPr>
        <w:t>环境质量现状监测报告（噪声）</w:t>
      </w:r>
    </w:p>
    <w:p w14:paraId="1B21D4DB">
      <w:pPr>
        <w:pStyle w:val="86"/>
        <w:keepNext w:val="0"/>
        <w:keepLines w:val="0"/>
        <w:pageBreakBefore w:val="0"/>
        <w:widowControl w:val="0"/>
        <w:numPr>
          <w:ilvl w:val="0"/>
          <w:numId w:val="9"/>
        </w:numPr>
        <w:kinsoku/>
        <w:wordWrap/>
        <w:overflowPunct/>
        <w:topLinePunct w:val="0"/>
        <w:autoSpaceDE/>
        <w:autoSpaceDN/>
        <w:bidi w:val="0"/>
        <w:adjustRightInd/>
        <w:snapToGrid/>
        <w:spacing w:after="0" w:line="240" w:lineRule="auto"/>
        <w:ind w:left="0" w:leftChars="0" w:firstLine="480" w:firstLineChars="200"/>
        <w:textAlignment w:val="auto"/>
        <w:rPr>
          <w:rFonts w:hint="default" w:ascii="Times New Roman" w:hAnsi="Times New Roman" w:eastAsia="宋体" w:cs="Times New Roman"/>
          <w:bCs/>
          <w:color w:val="auto"/>
          <w:kern w:val="44"/>
          <w:szCs w:val="28"/>
          <w:highlight w:val="none"/>
          <w:u w:val="single"/>
          <w:lang w:val="en-US" w:eastAsia="zh-CN"/>
        </w:rPr>
      </w:pPr>
      <w:r>
        <w:rPr>
          <w:rFonts w:hint="default" w:ascii="Times New Roman" w:hAnsi="Times New Roman" w:eastAsia="宋体" w:cs="Times New Roman"/>
          <w:bCs/>
          <w:color w:val="auto"/>
          <w:kern w:val="44"/>
          <w:szCs w:val="28"/>
          <w:highlight w:val="none"/>
          <w:u w:val="single"/>
          <w:lang w:val="en-US" w:eastAsia="zh-CN"/>
        </w:rPr>
        <w:t>关于钦州港新型城乡融合发展示范区（自贸新城）排水改造工程项目研判初步结论</w:t>
      </w:r>
    </w:p>
    <w:p w14:paraId="34B4016C">
      <w:pPr>
        <w:pStyle w:val="86"/>
        <w:keepNext w:val="0"/>
        <w:keepLines w:val="0"/>
        <w:pageBreakBefore w:val="0"/>
        <w:widowControl w:val="0"/>
        <w:numPr>
          <w:ilvl w:val="0"/>
          <w:numId w:val="9"/>
        </w:numPr>
        <w:kinsoku/>
        <w:wordWrap/>
        <w:overflowPunct/>
        <w:topLinePunct w:val="0"/>
        <w:autoSpaceDE/>
        <w:autoSpaceDN/>
        <w:bidi w:val="0"/>
        <w:adjustRightInd/>
        <w:snapToGrid/>
        <w:spacing w:after="0" w:line="240" w:lineRule="auto"/>
        <w:ind w:left="0" w:leftChars="0" w:firstLine="480" w:firstLineChars="200"/>
        <w:textAlignment w:val="auto"/>
        <w:rPr>
          <w:rFonts w:hint="default" w:ascii="Times New Roman" w:hAnsi="Times New Roman" w:eastAsia="宋体" w:cs="Times New Roman"/>
          <w:bCs/>
          <w:color w:val="auto"/>
          <w:kern w:val="44"/>
          <w:szCs w:val="28"/>
          <w:highlight w:val="none"/>
          <w:lang w:val="en-US" w:eastAsia="zh-CN"/>
        </w:rPr>
      </w:pPr>
      <w:r>
        <w:rPr>
          <w:rFonts w:hint="default" w:ascii="Times New Roman" w:hAnsi="Times New Roman" w:eastAsia="宋体" w:cs="Times New Roman"/>
          <w:bCs/>
          <w:color w:val="auto"/>
          <w:kern w:val="44"/>
          <w:szCs w:val="28"/>
          <w:highlight w:val="none"/>
          <w:lang w:val="en-US" w:eastAsia="zh-CN"/>
        </w:rPr>
        <w:t>弃土协议</w:t>
      </w:r>
    </w:p>
    <w:p w14:paraId="47EE3F5E">
      <w:pPr>
        <w:pStyle w:val="86"/>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200"/>
        <w:textAlignment w:val="auto"/>
        <w:rPr>
          <w:rFonts w:hint="default" w:ascii="Times New Roman" w:hAnsi="Times New Roman" w:eastAsia="宋体" w:cs="Times New Roman"/>
          <w:bCs/>
          <w:color w:val="auto"/>
          <w:kern w:val="44"/>
          <w:szCs w:val="28"/>
          <w:highlight w:val="none"/>
          <w:lang w:val="en-US" w:eastAsia="zh-CN"/>
        </w:rPr>
      </w:pPr>
    </w:p>
    <w:p w14:paraId="688325B1">
      <w:pPr>
        <w:pStyle w:val="86"/>
        <w:numPr>
          <w:ilvl w:val="0"/>
          <w:numId w:val="0"/>
        </w:numPr>
        <w:spacing w:after="0" w:line="240" w:lineRule="auto"/>
        <w:ind w:leftChars="200"/>
        <w:rPr>
          <w:rFonts w:hint="default" w:ascii="Times New Roman" w:hAnsi="Times New Roman" w:eastAsia="黑体" w:cs="Times New Roman"/>
          <w:b/>
          <w:bCs w:val="0"/>
          <w:color w:val="auto"/>
          <w:kern w:val="44"/>
          <w:szCs w:val="28"/>
          <w:highlight w:val="none"/>
          <w:lang w:val="en-US" w:eastAsia="zh-CN"/>
        </w:rPr>
      </w:pPr>
      <w:r>
        <w:rPr>
          <w:rFonts w:hint="default" w:ascii="Times New Roman" w:hAnsi="Times New Roman" w:eastAsia="黑体" w:cs="Times New Roman"/>
          <w:b/>
          <w:bCs w:val="0"/>
          <w:color w:val="auto"/>
          <w:kern w:val="44"/>
          <w:szCs w:val="28"/>
          <w:highlight w:val="none"/>
          <w:lang w:val="en-US" w:eastAsia="zh-CN"/>
        </w:rPr>
        <w:t>附表：</w:t>
      </w:r>
    </w:p>
    <w:p w14:paraId="66AED841">
      <w:pPr>
        <w:pStyle w:val="876"/>
        <w:pageBreakBefore w:val="0"/>
        <w:widowControl w:val="0"/>
        <w:kinsoku/>
        <w:wordWrap/>
        <w:overflowPunct/>
        <w:topLinePunct w:val="0"/>
        <w:autoSpaceDE/>
        <w:autoSpaceDN/>
        <w:bidi w:val="0"/>
        <w:adjustRightInd/>
        <w:snapToGrid/>
        <w:spacing w:line="240" w:lineRule="auto"/>
        <w:ind w:firstLine="480" w:firstLineChars="200"/>
        <w:jc w:val="both"/>
        <w:textAlignment w:val="auto"/>
        <w:outlineLvl w:val="9"/>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附表1大气环境影响评价自查表</w:t>
      </w:r>
    </w:p>
    <w:p w14:paraId="744E09C9">
      <w:pPr>
        <w:pStyle w:val="876"/>
        <w:pageBreakBefore w:val="0"/>
        <w:widowControl w:val="0"/>
        <w:kinsoku/>
        <w:wordWrap/>
        <w:overflowPunct/>
        <w:topLinePunct w:val="0"/>
        <w:autoSpaceDE/>
        <w:autoSpaceDN/>
        <w:bidi w:val="0"/>
        <w:adjustRightInd/>
        <w:snapToGrid/>
        <w:spacing w:line="240" w:lineRule="auto"/>
        <w:ind w:firstLine="480" w:firstLineChars="200"/>
        <w:jc w:val="both"/>
        <w:textAlignment w:val="auto"/>
        <w:outlineLvl w:val="9"/>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附表2地表水环境影响评价自查表</w:t>
      </w:r>
    </w:p>
    <w:p w14:paraId="64F615AC">
      <w:pPr>
        <w:pStyle w:val="876"/>
        <w:pageBreakBefore w:val="0"/>
        <w:widowControl w:val="0"/>
        <w:kinsoku/>
        <w:wordWrap/>
        <w:overflowPunct/>
        <w:topLinePunct w:val="0"/>
        <w:autoSpaceDE/>
        <w:autoSpaceDN/>
        <w:bidi w:val="0"/>
        <w:adjustRightInd/>
        <w:snapToGrid/>
        <w:spacing w:line="240" w:lineRule="auto"/>
        <w:ind w:firstLine="480" w:firstLineChars="200"/>
        <w:jc w:val="both"/>
        <w:textAlignment w:val="auto"/>
        <w:outlineLvl w:val="9"/>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附表</w:t>
      </w:r>
      <w:r>
        <w:rPr>
          <w:rFonts w:hint="default" w:ascii="Times New Roman" w:hAnsi="Times New Roman" w:cs="Times New Roman"/>
          <w:bCs/>
          <w:color w:val="auto"/>
          <w:sz w:val="24"/>
          <w:highlight w:val="none"/>
          <w:lang w:val="en-US" w:eastAsia="zh-CN"/>
        </w:rPr>
        <w:t>3</w:t>
      </w:r>
      <w:r>
        <w:rPr>
          <w:rFonts w:hint="default" w:ascii="Times New Roman" w:hAnsi="Times New Roman" w:cs="Times New Roman"/>
          <w:bCs/>
          <w:color w:val="auto"/>
          <w:sz w:val="24"/>
          <w:highlight w:val="none"/>
        </w:rPr>
        <w:t>声环境影响评价自查表</w:t>
      </w:r>
    </w:p>
    <w:p w14:paraId="7E2CA6DA">
      <w:pPr>
        <w:pStyle w:val="876"/>
        <w:pageBreakBefore w:val="0"/>
        <w:widowControl w:val="0"/>
        <w:kinsoku/>
        <w:wordWrap/>
        <w:overflowPunct/>
        <w:topLinePunct w:val="0"/>
        <w:autoSpaceDE/>
        <w:autoSpaceDN/>
        <w:bidi w:val="0"/>
        <w:adjustRightInd/>
        <w:snapToGrid/>
        <w:spacing w:line="240" w:lineRule="auto"/>
        <w:ind w:firstLine="480" w:firstLineChars="200"/>
        <w:jc w:val="both"/>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附表</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ab/>
      </w:r>
      <w:r>
        <w:rPr>
          <w:rFonts w:hint="default" w:ascii="Times New Roman" w:hAnsi="Times New Roman" w:cs="Times New Roman"/>
          <w:color w:val="auto"/>
          <w:sz w:val="24"/>
          <w:highlight w:val="none"/>
        </w:rPr>
        <w:t>生态影响评价自查表</w:t>
      </w:r>
    </w:p>
    <w:p w14:paraId="04DCE05F">
      <w:pPr>
        <w:pStyle w:val="876"/>
        <w:pageBreakBefore w:val="0"/>
        <w:widowControl w:val="0"/>
        <w:kinsoku/>
        <w:wordWrap/>
        <w:overflowPunct/>
        <w:topLinePunct w:val="0"/>
        <w:autoSpaceDE/>
        <w:autoSpaceDN/>
        <w:bidi w:val="0"/>
        <w:adjustRightInd/>
        <w:snapToGrid/>
        <w:spacing w:line="240" w:lineRule="auto"/>
        <w:ind w:firstLine="480" w:firstLineChars="200"/>
        <w:jc w:val="both"/>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eastAsia="zh-CN"/>
        </w:rPr>
        <w:t>附表</w:t>
      </w:r>
      <w:r>
        <w:rPr>
          <w:rFonts w:hint="default" w:ascii="Times New Roman" w:hAnsi="Times New Roman" w:cs="Times New Roman"/>
          <w:color w:val="auto"/>
          <w:sz w:val="24"/>
          <w:highlight w:val="none"/>
          <w:lang w:val="en-US" w:eastAsia="zh-CN"/>
        </w:rPr>
        <w:t>5土壤环境影响评价自查表</w:t>
      </w:r>
    </w:p>
    <w:p w14:paraId="7A57AEC6">
      <w:pPr>
        <w:pStyle w:val="876"/>
        <w:pageBreakBefore w:val="0"/>
        <w:widowControl w:val="0"/>
        <w:kinsoku/>
        <w:wordWrap/>
        <w:overflowPunct/>
        <w:topLinePunct w:val="0"/>
        <w:autoSpaceDE/>
        <w:autoSpaceDN/>
        <w:bidi w:val="0"/>
        <w:adjustRightInd/>
        <w:snapToGrid/>
        <w:spacing w:line="240" w:lineRule="auto"/>
        <w:ind w:firstLine="480" w:firstLineChars="200"/>
        <w:jc w:val="both"/>
        <w:textAlignment w:val="auto"/>
        <w:outlineLvl w:val="9"/>
        <w:rPr>
          <w:rFonts w:hint="default" w:ascii="Times New Roman" w:hAnsi="Times New Roman" w:eastAsia="黑体" w:cs="Times New Roman"/>
          <w:bCs/>
          <w:color w:val="auto"/>
          <w:kern w:val="44"/>
          <w:szCs w:val="28"/>
          <w:highlight w:val="none"/>
          <w:u w:val="single"/>
          <w:lang w:val="en-US" w:eastAsia="zh-CN"/>
        </w:rPr>
      </w:pPr>
      <w:r>
        <w:rPr>
          <w:rFonts w:hint="default" w:ascii="Times New Roman" w:hAnsi="Times New Roman" w:cs="Times New Roman"/>
          <w:color w:val="auto"/>
          <w:sz w:val="24"/>
          <w:highlight w:val="none"/>
          <w:u w:val="single"/>
        </w:rPr>
        <w:t>附表</w:t>
      </w:r>
      <w:r>
        <w:rPr>
          <w:rFonts w:hint="default" w:ascii="Times New Roman" w:hAnsi="Times New Roman" w:cs="Times New Roman"/>
          <w:color w:val="auto"/>
          <w:sz w:val="24"/>
          <w:highlight w:val="none"/>
          <w:u w:val="single"/>
          <w:lang w:val="en-US" w:eastAsia="zh-CN"/>
        </w:rPr>
        <w:t>6</w:t>
      </w:r>
      <w:r>
        <w:rPr>
          <w:rFonts w:hint="default" w:ascii="Times New Roman" w:hAnsi="Times New Roman" w:cs="Times New Roman"/>
          <w:color w:val="auto"/>
          <w:sz w:val="24"/>
          <w:highlight w:val="none"/>
          <w:u w:val="single"/>
          <w:lang w:val="zh-CN"/>
        </w:rPr>
        <w:t>建设项目环评审批基础信息</w:t>
      </w:r>
      <w:r>
        <w:rPr>
          <w:rFonts w:hint="default" w:ascii="Times New Roman" w:hAnsi="Times New Roman" w:cs="Times New Roman"/>
          <w:bCs/>
          <w:color w:val="auto"/>
          <w:sz w:val="24"/>
          <w:highlight w:val="none"/>
          <w:u w:val="single"/>
        </w:rPr>
        <w:t>表</w:t>
      </w:r>
    </w:p>
    <w:p w14:paraId="6F672F82">
      <w:pPr>
        <w:pStyle w:val="32"/>
        <w:rPr>
          <w:rStyle w:val="393"/>
          <w:rFonts w:hint="default" w:ascii="Times New Roman" w:hAnsi="Times New Roman" w:eastAsia="仿宋_GB2312" w:cs="Times New Roman"/>
          <w:b w:val="0"/>
          <w:color w:val="auto"/>
          <w:highlight w:val="none"/>
          <w:u w:val="none"/>
        </w:rPr>
        <w:sectPr>
          <w:pgSz w:w="11906" w:h="16838"/>
          <w:pgMar w:top="1418" w:right="1514" w:bottom="1418" w:left="1780" w:header="1134" w:footer="992" w:gutter="0"/>
          <w:pgNumType w:fmt="upperRoman"/>
          <w:cols w:space="720" w:num="1"/>
          <w:docGrid w:type="lines" w:linePitch="466" w:charSpace="3406"/>
        </w:sectPr>
      </w:pPr>
    </w:p>
    <w:p w14:paraId="409723DC">
      <w:pPr>
        <w:pStyle w:val="3"/>
        <w:bidi w:val="0"/>
        <w:ind w:left="425" w:leftChars="0" w:hanging="425" w:firstLineChars="0"/>
        <w:rPr>
          <w:rFonts w:hint="default"/>
          <w:color w:val="auto"/>
          <w:highlight w:val="none"/>
        </w:rPr>
      </w:pPr>
      <w:bookmarkStart w:id="3" w:name="_Toc195236098"/>
      <w:bookmarkStart w:id="4" w:name="_Toc16514"/>
      <w:r>
        <w:rPr>
          <w:rFonts w:hint="default"/>
          <w:color w:val="auto"/>
          <w:highlight w:val="none"/>
        </w:rPr>
        <w:t xml:space="preserve">总  </w:t>
      </w:r>
      <w:bookmarkEnd w:id="3"/>
      <w:r>
        <w:rPr>
          <w:rFonts w:hint="default"/>
          <w:color w:val="auto"/>
          <w:highlight w:val="none"/>
        </w:rPr>
        <w:t>则</w:t>
      </w:r>
      <w:bookmarkEnd w:id="4"/>
    </w:p>
    <w:p w14:paraId="18D36E87">
      <w:pPr>
        <w:pStyle w:val="4"/>
        <w:bidi w:val="0"/>
        <w:ind w:left="678" w:leftChars="0" w:firstLine="0" w:firstLineChars="0"/>
        <w:rPr>
          <w:rFonts w:hint="default"/>
          <w:color w:val="auto"/>
          <w:highlight w:val="none"/>
        </w:rPr>
      </w:pPr>
      <w:bookmarkStart w:id="5" w:name="_Toc32172"/>
      <w:bookmarkStart w:id="6" w:name="_Toc195236101"/>
      <w:r>
        <w:rPr>
          <w:rFonts w:hint="default"/>
          <w:color w:val="auto"/>
          <w:highlight w:val="none"/>
        </w:rPr>
        <w:t>编制依据</w:t>
      </w:r>
      <w:bookmarkEnd w:id="5"/>
    </w:p>
    <w:bookmarkEnd w:id="6"/>
    <w:p w14:paraId="4A384206">
      <w:pPr>
        <w:pStyle w:val="5"/>
        <w:bidi w:val="0"/>
        <w:ind w:left="452" w:leftChars="0" w:firstLine="0" w:firstLineChars="0"/>
        <w:rPr>
          <w:rFonts w:hint="default"/>
          <w:color w:val="auto"/>
          <w:highlight w:val="none"/>
        </w:rPr>
      </w:pPr>
      <w:r>
        <w:rPr>
          <w:rFonts w:hint="default"/>
          <w:color w:val="auto"/>
          <w:highlight w:val="none"/>
        </w:rPr>
        <w:t>国家相关法律</w:t>
      </w:r>
    </w:p>
    <w:p w14:paraId="58CA12B1">
      <w:pPr>
        <w:numPr>
          <w:ilvl w:val="0"/>
          <w:numId w:val="10"/>
        </w:numPr>
        <w:ind w:firstLine="227" w:firstLineChars="1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《中华人民共和国环境保护法》（2014年</w:t>
      </w:r>
      <w:r>
        <w:rPr>
          <w:rFonts w:hint="eastAsia" w:ascii="Times New Roman" w:hAnsi="Times New Roman" w:cs="Times New Roman"/>
          <w:color w:val="auto"/>
          <w:highlight w:val="none"/>
          <w:u w:val="none"/>
          <w:lang w:eastAsia="zh-CN"/>
        </w:rPr>
        <w:t>4月24日</w:t>
      </w:r>
      <w:r>
        <w:rPr>
          <w:rFonts w:hint="default" w:ascii="Times New Roman" w:hAnsi="Times New Roman" w:cs="Times New Roman"/>
          <w:color w:val="auto"/>
          <w:highlight w:val="none"/>
          <w:u w:val="none"/>
        </w:rPr>
        <w:t>修订，2015年1月1日施行）；</w:t>
      </w:r>
    </w:p>
    <w:p w14:paraId="4F5EF0D1">
      <w:pPr>
        <w:numPr>
          <w:ilvl w:val="0"/>
          <w:numId w:val="10"/>
        </w:numPr>
        <w:ind w:firstLine="227" w:firstLineChars="1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《中华人民共和国环境影响评价法》（2018年12月29日修正）；</w:t>
      </w:r>
    </w:p>
    <w:p w14:paraId="3A78739A">
      <w:pPr>
        <w:numPr>
          <w:ilvl w:val="0"/>
          <w:numId w:val="10"/>
        </w:numPr>
        <w:ind w:firstLine="227" w:firstLineChars="1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《中华人民共和国水法》（2016年7月2日修正）；</w:t>
      </w:r>
    </w:p>
    <w:p w14:paraId="2510216D">
      <w:pPr>
        <w:numPr>
          <w:ilvl w:val="0"/>
          <w:numId w:val="10"/>
        </w:numPr>
        <w:ind w:firstLine="227" w:firstLineChars="1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《中华人民共和国水污染防治法》（2017年6月27日修订，2018年1月1日施行）；</w:t>
      </w:r>
    </w:p>
    <w:p w14:paraId="2662CAE7">
      <w:pPr>
        <w:numPr>
          <w:ilvl w:val="0"/>
          <w:numId w:val="10"/>
        </w:numPr>
        <w:ind w:firstLine="227" w:firstLineChars="1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《中华人民共和国大气污染防治法》（2018年10月26日修正）；</w:t>
      </w:r>
    </w:p>
    <w:p w14:paraId="274F3FA8">
      <w:pPr>
        <w:numPr>
          <w:ilvl w:val="0"/>
          <w:numId w:val="10"/>
        </w:numPr>
        <w:ind w:firstLine="227" w:firstLineChars="1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《中华人民共和国噪声污染防治法》（2022年6月5日施行）；</w:t>
      </w:r>
    </w:p>
    <w:p w14:paraId="2E36CE42">
      <w:pPr>
        <w:numPr>
          <w:ilvl w:val="0"/>
          <w:numId w:val="10"/>
        </w:numPr>
        <w:ind w:firstLine="227" w:firstLineChars="1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《中华人民共和国固体废物污染环境防治法》（2020年4月29日修正，2020年9月1日起施行）；</w:t>
      </w:r>
    </w:p>
    <w:p w14:paraId="3D7A130D">
      <w:pPr>
        <w:numPr>
          <w:ilvl w:val="0"/>
          <w:numId w:val="10"/>
        </w:numPr>
        <w:ind w:firstLine="227" w:firstLineChars="1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《中华人民共和国城乡规划法》（2019年4月23日修正）；</w:t>
      </w:r>
    </w:p>
    <w:p w14:paraId="7A177920">
      <w:pPr>
        <w:numPr>
          <w:ilvl w:val="0"/>
          <w:numId w:val="10"/>
        </w:numPr>
        <w:ind w:firstLine="227" w:firstLineChars="1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《中华人民共和国土地管理法》（2019年8月26日修正，2020年1月1日实施）；</w:t>
      </w:r>
    </w:p>
    <w:p w14:paraId="1E0527EB">
      <w:pPr>
        <w:numPr>
          <w:ilvl w:val="0"/>
          <w:numId w:val="10"/>
        </w:numPr>
        <w:ind w:firstLine="227" w:firstLineChars="1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《中华人民共和国水土保持法》（2010年12月25日修订，2011年3月1日施行）；</w:t>
      </w:r>
    </w:p>
    <w:p w14:paraId="1DAB6BC6">
      <w:pPr>
        <w:numPr>
          <w:ilvl w:val="0"/>
          <w:numId w:val="10"/>
        </w:numPr>
        <w:ind w:firstLine="227" w:firstLineChars="1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《中华人民共和国节约能源法》（2018年10月26日修正）；</w:t>
      </w:r>
    </w:p>
    <w:p w14:paraId="2BF306FF">
      <w:pPr>
        <w:numPr>
          <w:ilvl w:val="0"/>
          <w:numId w:val="10"/>
        </w:numPr>
        <w:ind w:firstLine="227" w:firstLineChars="1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《中华人民共和国清洁生产促进法》（2012年2月29日公布，2012年7月1日起施行）；</w:t>
      </w:r>
    </w:p>
    <w:p w14:paraId="54884882">
      <w:pPr>
        <w:numPr>
          <w:ilvl w:val="0"/>
          <w:numId w:val="10"/>
        </w:numPr>
        <w:ind w:firstLine="227" w:firstLineChars="1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《中华人民共和国土壤污染防治法》（2019年1月1日实施）；</w:t>
      </w:r>
    </w:p>
    <w:p w14:paraId="79907EAC">
      <w:pPr>
        <w:numPr>
          <w:ilvl w:val="0"/>
          <w:numId w:val="10"/>
        </w:numPr>
        <w:ind w:firstLine="227" w:firstLineChars="1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《中华人民共和国渔业法》（2013年12月28日修正）；</w:t>
      </w:r>
    </w:p>
    <w:p w14:paraId="68D2D3C7">
      <w:pPr>
        <w:numPr>
          <w:ilvl w:val="0"/>
          <w:numId w:val="10"/>
        </w:numPr>
        <w:ind w:firstLine="227" w:firstLineChars="1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《中华人民共和国野生动物保护法》（2022年12月30日修订，2023年5月1日施行）；</w:t>
      </w:r>
    </w:p>
    <w:p w14:paraId="160EC7B1">
      <w:pPr>
        <w:numPr>
          <w:ilvl w:val="0"/>
          <w:numId w:val="10"/>
        </w:numPr>
        <w:ind w:firstLine="227" w:firstLineChars="1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《中华人民共和国防洪法》（2016年7月2日修正）；</w:t>
      </w:r>
    </w:p>
    <w:p w14:paraId="5EA53247">
      <w:pPr>
        <w:numPr>
          <w:ilvl w:val="0"/>
          <w:numId w:val="10"/>
        </w:numPr>
        <w:ind w:firstLine="227" w:firstLineChars="1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《中华人民共和国湿地保护法》（2022年6月1日实施</w:t>
      </w:r>
      <w:r>
        <w:rPr>
          <w:rFonts w:hint="default" w:ascii="Times New Roman" w:hAnsi="Times New Roman" w:cs="Times New Roman"/>
          <w:color w:val="auto"/>
          <w:highlight w:val="none"/>
          <w:u w:val="none"/>
          <w:lang w:eastAsia="zh-CN"/>
        </w:rPr>
        <w:t>）；</w:t>
      </w:r>
    </w:p>
    <w:p w14:paraId="07E7A71D">
      <w:pPr>
        <w:numPr>
          <w:ilvl w:val="0"/>
          <w:numId w:val="10"/>
        </w:numPr>
        <w:ind w:firstLine="227" w:firstLineChars="1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lang w:val="en-US" w:eastAsia="zh-CN"/>
        </w:rPr>
        <w:t>中华人民共和国海洋环境保护法</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lang w:val="en-US" w:eastAsia="zh-CN"/>
        </w:rPr>
        <w:t>2023年10月24日，第二次修订</w:t>
      </w:r>
      <w:r>
        <w:rPr>
          <w:rFonts w:hint="default" w:ascii="Times New Roman" w:hAnsi="Times New Roman" w:cs="Times New Roman"/>
          <w:color w:val="auto"/>
          <w:highlight w:val="none"/>
          <w:u w:val="none"/>
          <w:lang w:eastAsia="zh-CN"/>
        </w:rPr>
        <w:t>）；</w:t>
      </w:r>
    </w:p>
    <w:p w14:paraId="4902C8A6">
      <w:pPr>
        <w:numPr>
          <w:ilvl w:val="0"/>
          <w:numId w:val="10"/>
        </w:numPr>
        <w:ind w:firstLine="227" w:firstLineChars="1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lang w:val="en-US" w:eastAsia="zh-CN"/>
        </w:rPr>
        <w:t>中华人民共和国土地管理法</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lang w:val="en-US" w:eastAsia="zh-CN"/>
        </w:rPr>
        <w:t>2019年8月26日修正</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w:t>
      </w:r>
    </w:p>
    <w:p w14:paraId="6597A0CD">
      <w:pPr>
        <w:pStyle w:val="5"/>
        <w:bidi w:val="0"/>
        <w:ind w:left="452" w:leftChars="0" w:firstLine="0" w:firstLineChars="0"/>
        <w:rPr>
          <w:rFonts w:hint="default"/>
          <w:color w:val="auto"/>
          <w:highlight w:val="none"/>
        </w:rPr>
      </w:pPr>
      <w:r>
        <w:rPr>
          <w:rFonts w:hint="default"/>
          <w:color w:val="auto"/>
          <w:highlight w:val="none"/>
        </w:rPr>
        <w:t>行政法规及政策文件</w:t>
      </w:r>
    </w:p>
    <w:p w14:paraId="666277D9">
      <w:pPr>
        <w:numPr>
          <w:ilvl w:val="0"/>
          <w:numId w:val="11"/>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《中华人民共和国水文条例》（2017年3月1日</w:t>
      </w:r>
      <w:r>
        <w:rPr>
          <w:rFonts w:hint="eastAsia"/>
          <w:color w:val="auto"/>
          <w:highlight w:val="none"/>
          <w:lang w:val="en-US" w:eastAsia="zh-CN"/>
        </w:rPr>
        <w:t>修订</w:t>
      </w:r>
      <w:r>
        <w:rPr>
          <w:rFonts w:hint="default" w:ascii="Times New Roman" w:hAnsi="Times New Roman" w:cs="Times New Roman"/>
          <w:color w:val="auto"/>
          <w:highlight w:val="none"/>
          <w:u w:val="none"/>
        </w:rPr>
        <w:t>）；</w:t>
      </w:r>
    </w:p>
    <w:p w14:paraId="6411A146">
      <w:pPr>
        <w:numPr>
          <w:ilvl w:val="0"/>
          <w:numId w:val="11"/>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《建设项目环境保护管理条例》（2017年7月16日修订）；</w:t>
      </w:r>
    </w:p>
    <w:p w14:paraId="79654175">
      <w:pPr>
        <w:numPr>
          <w:ilvl w:val="0"/>
          <w:numId w:val="11"/>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《中华人民共和国河道管理条例》（2018年3月19日修订）；</w:t>
      </w:r>
    </w:p>
    <w:p w14:paraId="0599E38F">
      <w:pPr>
        <w:numPr>
          <w:ilvl w:val="0"/>
          <w:numId w:val="11"/>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《城镇排水与污水处理条例》（2014年1月1日施行）。</w:t>
      </w:r>
    </w:p>
    <w:p w14:paraId="1FE2830B">
      <w:pPr>
        <w:numPr>
          <w:ilvl w:val="0"/>
          <w:numId w:val="11"/>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《中华人民共和国野生植物保护条例》（2017年10月7日修正）；</w:t>
      </w:r>
    </w:p>
    <w:p w14:paraId="2EBDEF85">
      <w:pPr>
        <w:numPr>
          <w:ilvl w:val="0"/>
          <w:numId w:val="11"/>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《中华人民共和国陆生野生动物保护实施条例》（2016年修正，2016年2月6日起施行）；</w:t>
      </w:r>
    </w:p>
    <w:p w14:paraId="1B9EFC9E">
      <w:pPr>
        <w:numPr>
          <w:ilvl w:val="0"/>
          <w:numId w:val="11"/>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《中华人民共和国水生野生动物保护实施条例》（2013年12月7日修订，2013年12月7日起施行）；</w:t>
      </w:r>
    </w:p>
    <w:p w14:paraId="25904BFE">
      <w:pPr>
        <w:numPr>
          <w:ilvl w:val="0"/>
          <w:numId w:val="11"/>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《排污许可管理条例》（中华人民共和国国务院令第736号，2021年1月24日）；</w:t>
      </w:r>
    </w:p>
    <w:p w14:paraId="307141EE">
      <w:pPr>
        <w:numPr>
          <w:ilvl w:val="0"/>
          <w:numId w:val="11"/>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《国务院关于印发&lt;大气污染防治行动计划&gt;的通知》（国发〔2013〕37号）（“大气十条”），2013年9月1；</w:t>
      </w:r>
    </w:p>
    <w:p w14:paraId="0C1B14AF">
      <w:pPr>
        <w:numPr>
          <w:ilvl w:val="0"/>
          <w:numId w:val="11"/>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《国务院关于印发&lt;水污染防治行动计划&gt;的通知》（国发〔2015〕17号）（“水十条”），2015年4月16日；</w:t>
      </w:r>
    </w:p>
    <w:p w14:paraId="5CDFEAB0">
      <w:pPr>
        <w:pStyle w:val="5"/>
        <w:bidi w:val="0"/>
        <w:ind w:left="452" w:leftChars="0" w:firstLine="0" w:firstLineChars="0"/>
        <w:rPr>
          <w:rFonts w:hint="default"/>
          <w:color w:val="auto"/>
          <w:highlight w:val="none"/>
        </w:rPr>
      </w:pPr>
      <w:r>
        <w:rPr>
          <w:rFonts w:hint="default"/>
          <w:color w:val="auto"/>
          <w:highlight w:val="none"/>
        </w:rPr>
        <w:t>部门规章与规范性文件</w:t>
      </w:r>
    </w:p>
    <w:p w14:paraId="1E19B253">
      <w:pPr>
        <w:numPr>
          <w:ilvl w:val="0"/>
          <w:numId w:val="12"/>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《建设项目环境影响评价分类管理名录（2021年版）》（部令第16号）；</w:t>
      </w:r>
    </w:p>
    <w:p w14:paraId="3D530E03">
      <w:pPr>
        <w:numPr>
          <w:ilvl w:val="0"/>
          <w:numId w:val="12"/>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《关于印发机场、港口、水利（河湖整治与防洪除涝工程）三个行业建设项目环境影响评价文件审批原则的通知》（环办环评〔2018〕2号）；</w:t>
      </w:r>
    </w:p>
    <w:p w14:paraId="5E1A5F80">
      <w:pPr>
        <w:numPr>
          <w:ilvl w:val="0"/>
          <w:numId w:val="12"/>
        </w:numPr>
        <w:rPr>
          <w:rFonts w:hint="default" w:ascii="Times New Roman" w:hAnsi="Times New Roman" w:cs="Times New Roman"/>
          <w:color w:val="auto"/>
          <w:spacing w:val="-18"/>
          <w:highlight w:val="none"/>
          <w:u w:val="none"/>
        </w:rPr>
      </w:pPr>
      <w:r>
        <w:rPr>
          <w:rFonts w:hint="default" w:ascii="Times New Roman" w:hAnsi="Times New Roman" w:eastAsia="宋体" w:cs="Times New Roman"/>
          <w:color w:val="auto"/>
          <w:highlight w:val="none"/>
          <w:u w:val="none"/>
        </w:rPr>
        <w:t>《产业结构调整指导目录》（2023年12月1日审议通过，2024年2月1日执行）</w:t>
      </w:r>
      <w:r>
        <w:rPr>
          <w:rFonts w:hint="default" w:ascii="Times New Roman" w:hAnsi="Times New Roman" w:cs="Times New Roman"/>
          <w:color w:val="auto"/>
          <w:spacing w:val="-18"/>
          <w:highlight w:val="none"/>
          <w:u w:val="none"/>
        </w:rPr>
        <w:t>；</w:t>
      </w:r>
    </w:p>
    <w:p w14:paraId="24BD0C19">
      <w:pPr>
        <w:numPr>
          <w:ilvl w:val="0"/>
          <w:numId w:val="12"/>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《环境影响评价公众参与办法》（2019年1月1日实施）；</w:t>
      </w:r>
    </w:p>
    <w:p w14:paraId="7375A2D1">
      <w:pPr>
        <w:numPr>
          <w:ilvl w:val="0"/>
          <w:numId w:val="12"/>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《排污许可管理办法（试行）》（2019年修订）；</w:t>
      </w:r>
    </w:p>
    <w:p w14:paraId="2D5744CE">
      <w:pPr>
        <w:numPr>
          <w:ilvl w:val="0"/>
          <w:numId w:val="12"/>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《饮用水水源保护区污染防治管理规定》（2010年12月22日修订）；</w:t>
      </w:r>
    </w:p>
    <w:p w14:paraId="67D1D5F2">
      <w:pPr>
        <w:numPr>
          <w:ilvl w:val="0"/>
          <w:numId w:val="12"/>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《关于加强水上污染应急工作的指导意见》（2010年7月30日发布）；</w:t>
      </w:r>
    </w:p>
    <w:p w14:paraId="195F9B8A">
      <w:pPr>
        <w:numPr>
          <w:ilvl w:val="0"/>
          <w:numId w:val="12"/>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《中国水生生物资源养护行动纲要》（2006年2月14日发布）；</w:t>
      </w:r>
    </w:p>
    <w:p w14:paraId="646B7459">
      <w:pPr>
        <w:numPr>
          <w:ilvl w:val="0"/>
          <w:numId w:val="12"/>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《关于进一步加强水生生物资源保护严格环境影响评价管理的通知》（环发〔2013〕86号）；</w:t>
      </w:r>
    </w:p>
    <w:p w14:paraId="5DA3D4B2">
      <w:pPr>
        <w:numPr>
          <w:ilvl w:val="0"/>
          <w:numId w:val="12"/>
        </w:numP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《农业农村部关于加强水生生物资源养护的指导意见》（农渔发〔2022〕23号）；</w:t>
      </w:r>
    </w:p>
    <w:p w14:paraId="15572CFA">
      <w:pPr>
        <w:numPr>
          <w:ilvl w:val="0"/>
          <w:numId w:val="12"/>
        </w:numPr>
        <w:ind w:firstLine="454" w:firstLineChars="2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《水功能管理监督办法》（水资源〔2017〕101号）；</w:t>
      </w:r>
    </w:p>
    <w:p w14:paraId="2BE21FE4">
      <w:pPr>
        <w:numPr>
          <w:ilvl w:val="0"/>
          <w:numId w:val="12"/>
        </w:numPr>
        <w:ind w:firstLine="454" w:firstLineChars="2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《危险废物转移管理办法》（2022年1月1日起施行）；</w:t>
      </w:r>
    </w:p>
    <w:p w14:paraId="204D0F3D">
      <w:pPr>
        <w:numPr>
          <w:ilvl w:val="0"/>
          <w:numId w:val="12"/>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《土壤污染防治行动计划》（“土十条”）（国务院，2016年5月31日）；</w:t>
      </w:r>
    </w:p>
    <w:p w14:paraId="5F2385C1">
      <w:pPr>
        <w:numPr>
          <w:ilvl w:val="0"/>
          <w:numId w:val="12"/>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《危险废物转移管理办法》（2022年1月1日起施行）；</w:t>
      </w:r>
    </w:p>
    <w:p w14:paraId="79CEFB2E">
      <w:pPr>
        <w:numPr>
          <w:ilvl w:val="0"/>
          <w:numId w:val="12"/>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《控制污染物排放许可制实施方案》（国办发〔2016〕81号）；</w:t>
      </w:r>
    </w:p>
    <w:p w14:paraId="58C3DC85">
      <w:pPr>
        <w:numPr>
          <w:ilvl w:val="0"/>
          <w:numId w:val="12"/>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《外来入侵管理办法》（中华人民共和国农业农村部 自然资源部 生态环境部 海关总署令2022年 第4号）；</w:t>
      </w:r>
    </w:p>
    <w:p w14:paraId="24F2BB4E">
      <w:pPr>
        <w:numPr>
          <w:ilvl w:val="0"/>
          <w:numId w:val="12"/>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eastAsia="zh-CN"/>
        </w:rPr>
        <w:t>《建</w:t>
      </w:r>
      <w:r>
        <w:rPr>
          <w:rFonts w:hint="default" w:ascii="Times New Roman" w:hAnsi="Times New Roman" w:cs="Times New Roman"/>
          <w:color w:val="auto"/>
          <w:highlight w:val="none"/>
          <w:u w:val="none"/>
        </w:rPr>
        <w:t>设项目环境影响后评价管理办法（试行）》；</w:t>
      </w:r>
    </w:p>
    <w:p w14:paraId="0A99D8E1">
      <w:pPr>
        <w:numPr>
          <w:ilvl w:val="0"/>
          <w:numId w:val="12"/>
        </w:numPr>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lang w:eastAsia="zh-CN"/>
        </w:rPr>
        <w:t>《</w:t>
      </w:r>
      <w:r>
        <w:rPr>
          <w:rFonts w:hint="default" w:ascii="Times New Roman" w:hAnsi="Times New Roman" w:eastAsia="宋体" w:cs="Times New Roman"/>
          <w:color w:val="auto"/>
          <w:highlight w:val="none"/>
          <w:u w:val="none"/>
          <w:lang w:val="en-US" w:eastAsia="zh-CN"/>
        </w:rPr>
        <w:t>广西壮族自治区水利水电工程建设管理办法</w:t>
      </w:r>
      <w:r>
        <w:rPr>
          <w:rFonts w:hint="default" w:ascii="Times New Roman" w:hAnsi="Times New Roman" w:eastAsia="宋体" w:cs="Times New Roman"/>
          <w:color w:val="auto"/>
          <w:highlight w:val="none"/>
          <w:u w:val="none"/>
          <w:lang w:eastAsia="zh-CN"/>
        </w:rPr>
        <w:t>》（</w:t>
      </w:r>
      <w:r>
        <w:rPr>
          <w:rFonts w:hint="default" w:ascii="Times New Roman" w:hAnsi="Times New Roman" w:eastAsia="宋体" w:cs="Times New Roman"/>
          <w:color w:val="auto"/>
          <w:highlight w:val="none"/>
          <w:u w:val="none"/>
          <w:lang w:val="en-US" w:eastAsia="zh-CN"/>
        </w:rPr>
        <w:t>2015年4月实施</w:t>
      </w:r>
      <w:r>
        <w:rPr>
          <w:rFonts w:hint="default" w:ascii="Times New Roman" w:hAnsi="Times New Roman" w:eastAsia="宋体" w:cs="Times New Roman"/>
          <w:color w:val="auto"/>
          <w:highlight w:val="none"/>
          <w:u w:val="none"/>
          <w:lang w:eastAsia="zh-CN"/>
        </w:rPr>
        <w:t>）</w:t>
      </w:r>
      <w:r>
        <w:rPr>
          <w:rFonts w:hint="eastAsia" w:ascii="Times New Roman" w:hAnsi="Times New Roman" w:eastAsia="宋体" w:cs="Times New Roman"/>
          <w:color w:val="auto"/>
          <w:highlight w:val="none"/>
          <w:u w:val="none"/>
          <w:lang w:eastAsia="zh-CN"/>
        </w:rPr>
        <w:t>；</w:t>
      </w:r>
    </w:p>
    <w:p w14:paraId="4BA11E97">
      <w:pPr>
        <w:numPr>
          <w:ilvl w:val="0"/>
          <w:numId w:val="12"/>
        </w:numPr>
        <w:rPr>
          <w:rFonts w:hint="default" w:ascii="Times New Roman" w:hAnsi="Times New Roman" w:eastAsia="宋体" w:cs="Times New Roman"/>
          <w:color w:val="auto"/>
          <w:highlight w:val="none"/>
          <w:u w:val="none"/>
        </w:rPr>
      </w:pPr>
      <w:r>
        <w:rPr>
          <w:rFonts w:hint="default" w:ascii="Times New Roman" w:hAnsi="Times New Roman" w:cs="Times New Roman"/>
          <w:color w:val="auto"/>
          <w:highlight w:val="none"/>
          <w:u w:val="none"/>
        </w:rPr>
        <w:t>《中国国家重点保护经济水生动植物资源名录（第一批）》（中华人民共和国</w:t>
      </w:r>
      <w:r>
        <w:rPr>
          <w:rFonts w:hint="eastAsia" w:ascii="Times New Roman" w:cs="Times New Roman"/>
          <w:color w:val="auto"/>
          <w:highlight w:val="none"/>
          <w:u w:val="none"/>
          <w:lang w:eastAsia="zh-CN"/>
        </w:rPr>
        <w:t>农业农村部</w:t>
      </w:r>
      <w:r>
        <w:rPr>
          <w:rFonts w:hint="default" w:ascii="Times New Roman" w:hAnsi="Times New Roman" w:cs="Times New Roman"/>
          <w:color w:val="auto"/>
          <w:highlight w:val="none"/>
          <w:u w:val="none"/>
        </w:rPr>
        <w:t>公告 第948号）</w:t>
      </w:r>
      <w:r>
        <w:rPr>
          <w:rFonts w:hint="default" w:ascii="Times New Roman" w:hAnsi="Times New Roman" w:eastAsia="宋体" w:cs="Times New Roman"/>
          <w:color w:val="auto"/>
          <w:highlight w:val="none"/>
          <w:u w:val="none"/>
        </w:rPr>
        <w:t>。</w:t>
      </w:r>
    </w:p>
    <w:p w14:paraId="309B396A">
      <w:pPr>
        <w:numPr>
          <w:ilvl w:val="0"/>
          <w:numId w:val="12"/>
        </w:numPr>
        <w:rPr>
          <w:rFonts w:hint="default" w:ascii="Times New Roman" w:hAnsi="Times New Roman" w:eastAsia="宋体" w:cs="Times New Roman"/>
          <w:color w:val="auto"/>
          <w:highlight w:val="none"/>
          <w:u w:val="none"/>
          <w:lang w:eastAsia="zh-CN"/>
        </w:rPr>
      </w:pPr>
      <w:r>
        <w:rPr>
          <w:rFonts w:hint="default" w:ascii="Times New Roman" w:hAnsi="Times New Roman" w:eastAsia="宋体" w:cs="Times New Roman"/>
          <w:color w:val="auto"/>
          <w:highlight w:val="none"/>
          <w:u w:val="none"/>
          <w:lang w:eastAsia="zh-CN"/>
        </w:rPr>
        <w:t>《国家危险废物名录（</w:t>
      </w:r>
      <w:r>
        <w:rPr>
          <w:rFonts w:hint="default" w:ascii="Times New Roman" w:hAnsi="Times New Roman" w:eastAsia="宋体" w:cs="Times New Roman"/>
          <w:color w:val="auto"/>
          <w:highlight w:val="none"/>
          <w:u w:val="none"/>
          <w:lang w:val="en-US" w:eastAsia="zh-CN"/>
        </w:rPr>
        <w:t>2025</w:t>
      </w:r>
      <w:r>
        <w:rPr>
          <w:rFonts w:hint="default" w:ascii="Times New Roman" w:hAnsi="Times New Roman" w:eastAsia="宋体" w:cs="Times New Roman"/>
          <w:color w:val="auto"/>
          <w:highlight w:val="none"/>
          <w:u w:val="none"/>
          <w:lang w:eastAsia="zh-CN"/>
        </w:rPr>
        <w:t>年版）》（部令第</w:t>
      </w:r>
      <w:r>
        <w:rPr>
          <w:rFonts w:hint="default" w:ascii="Times New Roman" w:hAnsi="Times New Roman" w:eastAsia="宋体" w:cs="Times New Roman"/>
          <w:color w:val="auto"/>
          <w:highlight w:val="none"/>
          <w:u w:val="none"/>
          <w:lang w:val="en-US" w:eastAsia="zh-CN"/>
        </w:rPr>
        <w:t>36</w:t>
      </w:r>
      <w:r>
        <w:rPr>
          <w:rFonts w:hint="default" w:ascii="Times New Roman" w:hAnsi="Times New Roman" w:eastAsia="宋体" w:cs="Times New Roman"/>
          <w:color w:val="auto"/>
          <w:highlight w:val="none"/>
          <w:u w:val="none"/>
          <w:lang w:eastAsia="zh-CN"/>
        </w:rPr>
        <w:t>号）；</w:t>
      </w:r>
    </w:p>
    <w:p w14:paraId="1A9E3A33">
      <w:pPr>
        <w:numPr>
          <w:ilvl w:val="0"/>
          <w:numId w:val="12"/>
        </w:numPr>
        <w:rPr>
          <w:rFonts w:hint="default" w:ascii="Times New Roman" w:hAnsi="Times New Roman" w:eastAsia="宋体" w:cs="Times New Roman"/>
          <w:color w:val="auto"/>
          <w:highlight w:val="none"/>
          <w:u w:val="none"/>
          <w:lang w:eastAsia="zh-CN"/>
        </w:rPr>
      </w:pPr>
      <w:r>
        <w:rPr>
          <w:rFonts w:hint="default" w:ascii="Times New Roman" w:hAnsi="Times New Roman" w:eastAsia="宋体" w:cs="Times New Roman"/>
          <w:color w:val="auto"/>
          <w:highlight w:val="none"/>
          <w:u w:val="none"/>
          <w:lang w:eastAsia="zh-CN"/>
        </w:rPr>
        <w:t>《国家重点保护野生动物名录》（国家林业和草原局 农业农村部公告2021年第3号，2021年1月4日施行）；</w:t>
      </w:r>
    </w:p>
    <w:p w14:paraId="63C8323D">
      <w:pPr>
        <w:numPr>
          <w:ilvl w:val="0"/>
          <w:numId w:val="12"/>
        </w:numPr>
        <w:rPr>
          <w:rFonts w:hint="default" w:ascii="Times New Roman" w:hAnsi="Times New Roman" w:cs="Times New Roman"/>
          <w:color w:val="auto"/>
          <w:highlight w:val="none"/>
          <w:u w:val="none"/>
        </w:rPr>
      </w:pPr>
      <w:r>
        <w:rPr>
          <w:rFonts w:hint="default" w:ascii="Times New Roman" w:hAnsi="Times New Roman" w:eastAsia="宋体" w:cs="Times New Roman"/>
          <w:color w:val="auto"/>
          <w:highlight w:val="none"/>
          <w:u w:val="none"/>
          <w:lang w:eastAsia="zh-CN"/>
        </w:rPr>
        <w:t>《国家重点保护野生植物名录》（2021年9月7日发布）</w:t>
      </w:r>
      <w:r>
        <w:rPr>
          <w:rFonts w:hint="eastAsia" w:ascii="Times New Roman" w:hAnsi="Times New Roman" w:eastAsia="宋体" w:cs="Times New Roman"/>
          <w:color w:val="auto"/>
          <w:highlight w:val="none"/>
          <w:u w:val="none"/>
          <w:lang w:eastAsia="zh-CN"/>
        </w:rPr>
        <w:t>。</w:t>
      </w:r>
    </w:p>
    <w:p w14:paraId="28FBD21D">
      <w:pPr>
        <w:pStyle w:val="5"/>
        <w:bidi w:val="0"/>
        <w:ind w:left="452" w:leftChars="0" w:firstLine="0" w:firstLineChars="0"/>
        <w:rPr>
          <w:rFonts w:hint="default"/>
          <w:color w:val="auto"/>
          <w:highlight w:val="none"/>
        </w:rPr>
      </w:pPr>
      <w:r>
        <w:rPr>
          <w:rFonts w:hint="default"/>
          <w:color w:val="auto"/>
          <w:highlight w:val="none"/>
        </w:rPr>
        <w:t>地</w:t>
      </w:r>
      <w:r>
        <w:rPr>
          <w:rFonts w:hint="default"/>
          <w:color w:val="auto"/>
          <w:highlight w:val="none"/>
          <w:lang w:eastAsia="zh-CN"/>
        </w:rPr>
        <w:t>方性</w:t>
      </w:r>
      <w:r>
        <w:rPr>
          <w:rFonts w:hint="default"/>
          <w:color w:val="auto"/>
          <w:highlight w:val="none"/>
        </w:rPr>
        <w:t>法律法规</w:t>
      </w:r>
    </w:p>
    <w:p w14:paraId="4C0FC96E">
      <w:pPr>
        <w:pStyle w:val="410"/>
        <w:numPr>
          <w:ilvl w:val="0"/>
          <w:numId w:val="13"/>
        </w:numPr>
        <w:tabs>
          <w:tab w:val="left" w:pos="993"/>
        </w:tabs>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《广西壮族自治区环境保护条例》（2019年修订）；</w:t>
      </w:r>
    </w:p>
    <w:p w14:paraId="3CD030C3">
      <w:pPr>
        <w:pStyle w:val="410"/>
        <w:numPr>
          <w:ilvl w:val="0"/>
          <w:numId w:val="13"/>
        </w:numPr>
        <w:tabs>
          <w:tab w:val="left" w:pos="993"/>
        </w:tabs>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《广西壮族自治区饮用水水源保护条例》（2017年5月1日施行）；</w:t>
      </w:r>
    </w:p>
    <w:p w14:paraId="35DC5995">
      <w:pPr>
        <w:pStyle w:val="410"/>
        <w:numPr>
          <w:ilvl w:val="0"/>
          <w:numId w:val="13"/>
        </w:numPr>
        <w:tabs>
          <w:tab w:val="left" w:pos="993"/>
        </w:tabs>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《广西壮族自治区大气污染防治条例》（2019年1月1日施行）；</w:t>
      </w:r>
    </w:p>
    <w:p w14:paraId="74D28A8B">
      <w:pPr>
        <w:pStyle w:val="410"/>
        <w:numPr>
          <w:ilvl w:val="0"/>
          <w:numId w:val="13"/>
        </w:numPr>
        <w:tabs>
          <w:tab w:val="left" w:pos="993"/>
        </w:tabs>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《广西壮族自治区水污染防治条例》（2020年5月1日施行）；</w:t>
      </w:r>
    </w:p>
    <w:p w14:paraId="78889C1F">
      <w:pPr>
        <w:pStyle w:val="410"/>
        <w:numPr>
          <w:ilvl w:val="0"/>
          <w:numId w:val="13"/>
        </w:numPr>
        <w:tabs>
          <w:tab w:val="left" w:pos="993"/>
        </w:tabs>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《广西壮族自治区野生动物保护条例》（2023年7月1</w:t>
      </w:r>
      <w:r>
        <w:rPr>
          <w:rFonts w:hint="default" w:ascii="Times New Roman" w:hAnsi="Times New Roman" w:cs="Times New Roman"/>
          <w:color w:val="auto"/>
          <w:highlight w:val="none"/>
          <w:u w:val="none"/>
          <w:lang w:eastAsia="zh-CN"/>
        </w:rPr>
        <w:t>日实</w:t>
      </w:r>
      <w:r>
        <w:rPr>
          <w:rFonts w:hint="default" w:ascii="Times New Roman" w:hAnsi="Times New Roman" w:cs="Times New Roman"/>
          <w:color w:val="auto"/>
          <w:highlight w:val="none"/>
          <w:u w:val="none"/>
        </w:rPr>
        <w:t>施）；</w:t>
      </w:r>
    </w:p>
    <w:p w14:paraId="617C6FAE">
      <w:pPr>
        <w:pStyle w:val="410"/>
        <w:numPr>
          <w:ilvl w:val="0"/>
          <w:numId w:val="13"/>
        </w:numPr>
        <w:tabs>
          <w:tab w:val="left" w:pos="993"/>
        </w:tabs>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《广西壮族自治区野生植物保护办法》（2009年2月1日起施行）；</w:t>
      </w:r>
    </w:p>
    <w:p w14:paraId="33D18D48">
      <w:pPr>
        <w:pStyle w:val="410"/>
        <w:numPr>
          <w:ilvl w:val="0"/>
          <w:numId w:val="13"/>
        </w:numPr>
        <w:tabs>
          <w:tab w:val="left" w:pos="993"/>
        </w:tabs>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《广西壮族自治区重点保护野生动物名录》（桂林护发〔2022〕3号）；</w:t>
      </w:r>
    </w:p>
    <w:p w14:paraId="33E89697">
      <w:pPr>
        <w:pStyle w:val="410"/>
        <w:numPr>
          <w:ilvl w:val="0"/>
          <w:numId w:val="13"/>
        </w:numPr>
        <w:tabs>
          <w:tab w:val="left" w:pos="993"/>
        </w:tabs>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《广西壮族自治区重点保护野生植物名录》（桂政发〔2023〕10号）；</w:t>
      </w:r>
    </w:p>
    <w:p w14:paraId="7FD7EEB1">
      <w:pPr>
        <w:pStyle w:val="410"/>
        <w:numPr>
          <w:ilvl w:val="0"/>
          <w:numId w:val="13"/>
        </w:numPr>
        <w:tabs>
          <w:tab w:val="left" w:pos="993"/>
        </w:tabs>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《广西壮族自治区生态功能区划》（广西壮族自治区人民政府办公厅，2008年2月14日）；</w:t>
      </w:r>
    </w:p>
    <w:p w14:paraId="4BB77147">
      <w:pPr>
        <w:pStyle w:val="410"/>
        <w:numPr>
          <w:ilvl w:val="0"/>
          <w:numId w:val="13"/>
        </w:numPr>
        <w:tabs>
          <w:tab w:val="left" w:pos="993"/>
        </w:tabs>
        <w:rPr>
          <w:rFonts w:hint="default" w:ascii="Times New Roman" w:hAnsi="Times New Roman" w:cs="Times New Roman"/>
          <w:color w:val="auto"/>
          <w:highlight w:val="none"/>
          <w:u w:val="none"/>
        </w:rPr>
      </w:pPr>
      <w:r>
        <w:rPr>
          <w:rFonts w:hint="eastAsia"/>
          <w:color w:val="auto"/>
          <w:highlight w:val="none"/>
          <w:lang w:val="en-US" w:eastAsia="zh-CN"/>
        </w:rPr>
        <w:t>《广西壮族自治区重点生态功能区县产业准入负面清单调整方案》；</w:t>
      </w:r>
    </w:p>
    <w:p w14:paraId="0077227B">
      <w:pPr>
        <w:pStyle w:val="410"/>
        <w:numPr>
          <w:ilvl w:val="0"/>
          <w:numId w:val="13"/>
        </w:numPr>
        <w:tabs>
          <w:tab w:val="left" w:pos="993"/>
        </w:tabs>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《广西壮族自治区主体功能区划》（2012年12月11日）；</w:t>
      </w:r>
    </w:p>
    <w:p w14:paraId="327FE695">
      <w:pPr>
        <w:pStyle w:val="410"/>
        <w:numPr>
          <w:ilvl w:val="0"/>
          <w:numId w:val="13"/>
        </w:numPr>
        <w:tabs>
          <w:tab w:val="left" w:pos="993"/>
        </w:tabs>
        <w:rPr>
          <w:rFonts w:hint="default" w:ascii="Times New Roman" w:hAnsi="Times New Roman" w:cs="Times New Roman"/>
          <w:color w:val="auto"/>
          <w:highlight w:val="none"/>
          <w:u w:val="none"/>
        </w:rPr>
      </w:pPr>
      <w:r>
        <w:rPr>
          <w:rFonts w:hint="eastAsia"/>
          <w:color w:val="auto"/>
          <w:highlight w:val="none"/>
          <w:lang w:val="en-US" w:eastAsia="zh-CN"/>
        </w:rPr>
        <w:t>《广西壮族自治区水利工程管理条例》（2016年11月修正）；</w:t>
      </w:r>
    </w:p>
    <w:p w14:paraId="410D13F1">
      <w:pPr>
        <w:pStyle w:val="410"/>
        <w:numPr>
          <w:ilvl w:val="0"/>
          <w:numId w:val="13"/>
        </w:numPr>
        <w:tabs>
          <w:tab w:val="left" w:pos="993"/>
        </w:tabs>
        <w:rPr>
          <w:rFonts w:hint="default" w:ascii="Times New Roman" w:hAnsi="Times New Roman" w:cs="Times New Roman"/>
          <w:color w:val="auto"/>
          <w:highlight w:val="none"/>
          <w:u w:val="none"/>
        </w:rPr>
      </w:pPr>
      <w:r>
        <w:rPr>
          <w:rFonts w:hint="eastAsia"/>
          <w:color w:val="auto"/>
          <w:highlight w:val="none"/>
          <w:lang w:val="en-US" w:eastAsia="zh-CN"/>
        </w:rPr>
        <w:t>《广西壮族自治区河道管理条例》（2018年9月修正）；</w:t>
      </w:r>
    </w:p>
    <w:p w14:paraId="0DF0FB96">
      <w:pPr>
        <w:pStyle w:val="410"/>
        <w:numPr>
          <w:ilvl w:val="0"/>
          <w:numId w:val="13"/>
        </w:numPr>
        <w:tabs>
          <w:tab w:val="left" w:pos="993"/>
        </w:tabs>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广西壮族自治区生态环境厅关于印发《广西壮族自治区建设项目环境影响评价文件分级审批管理办法（</w:t>
      </w:r>
      <w:r>
        <w:rPr>
          <w:rFonts w:hint="eastAsia" w:ascii="Times New Roman" w:hAnsi="Times New Roman" w:cs="Times New Roman"/>
          <w:color w:val="auto"/>
          <w:highlight w:val="none"/>
          <w:u w:val="none"/>
          <w:lang w:val="en-US" w:eastAsia="zh-CN"/>
        </w:rPr>
        <w:t>2025</w:t>
      </w:r>
      <w:r>
        <w:rPr>
          <w:rFonts w:hint="default" w:ascii="Times New Roman" w:hAnsi="Times New Roman" w:cs="Times New Roman"/>
          <w:color w:val="auto"/>
          <w:highlight w:val="none"/>
          <w:u w:val="none"/>
        </w:rPr>
        <w:t>年修订版）》的通知</w:t>
      </w:r>
      <w:r>
        <w:rPr>
          <w:rFonts w:hint="eastAsia" w:ascii="Times New Roman" w:hAnsi="Times New Roman" w:cs="Times New Roman"/>
          <w:color w:val="auto"/>
          <w:highlight w:val="none"/>
          <w:u w:val="none"/>
          <w:lang w:eastAsia="zh-CN"/>
        </w:rPr>
        <w:t>（桂环规范〔2025〕2号）</w:t>
      </w:r>
      <w:r>
        <w:rPr>
          <w:rFonts w:hint="default" w:ascii="Times New Roman" w:hAnsi="Times New Roman" w:cs="Times New Roman"/>
          <w:color w:val="auto"/>
          <w:highlight w:val="none"/>
          <w:u w:val="none"/>
        </w:rPr>
        <w:t>；</w:t>
      </w:r>
    </w:p>
    <w:p w14:paraId="1F826DAB">
      <w:pPr>
        <w:numPr>
          <w:ilvl w:val="0"/>
          <w:numId w:val="13"/>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《广西壮族自治区土壤污染防治条例》（2021年9月1日起施行）；</w:t>
      </w:r>
    </w:p>
    <w:p w14:paraId="1B43B342">
      <w:pPr>
        <w:numPr>
          <w:ilvl w:val="0"/>
          <w:numId w:val="13"/>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《广西壮族自治区固体废物污染环境防治条例》（2022年7月1日起施行）</w:t>
      </w:r>
    </w:p>
    <w:p w14:paraId="22932CA2">
      <w:pPr>
        <w:numPr>
          <w:ilvl w:val="0"/>
          <w:numId w:val="13"/>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w:t>
      </w:r>
      <w:r>
        <w:rPr>
          <w:rFonts w:hint="eastAsia" w:ascii="Times New Roman" w:cs="Times New Roman"/>
          <w:color w:val="auto"/>
          <w:highlight w:val="none"/>
          <w:u w:val="none"/>
          <w:lang w:eastAsia="zh-CN"/>
        </w:rPr>
        <w:t>广西壮族自治区</w:t>
      </w:r>
      <w:r>
        <w:rPr>
          <w:rFonts w:hint="default" w:ascii="Times New Roman" w:hAnsi="Times New Roman" w:cs="Times New Roman"/>
          <w:color w:val="auto"/>
          <w:highlight w:val="none"/>
          <w:u w:val="none"/>
        </w:rPr>
        <w:t>生态环境厅关于印发广西</w:t>
      </w:r>
      <w:r>
        <w:rPr>
          <w:rFonts w:hint="eastAsia" w:ascii="Times New Roman" w:hAnsi="Times New Roman" w:cs="Times New Roman"/>
          <w:color w:val="auto"/>
          <w:highlight w:val="none"/>
          <w:u w:val="none"/>
          <w:lang w:val="en-US" w:eastAsia="zh-CN"/>
        </w:rPr>
        <w:t>2024</w:t>
      </w:r>
      <w:r>
        <w:rPr>
          <w:rFonts w:hint="default" w:ascii="Times New Roman" w:hAnsi="Times New Roman" w:cs="Times New Roman"/>
          <w:color w:val="auto"/>
          <w:highlight w:val="none"/>
          <w:u w:val="none"/>
        </w:rPr>
        <w:t>年度水、大气、土壤污染防治工作计划的通知》（桂环发〔</w:t>
      </w:r>
      <w:r>
        <w:rPr>
          <w:rFonts w:hint="eastAsia" w:ascii="Times New Roman" w:hAnsi="Times New Roman" w:cs="Times New Roman"/>
          <w:color w:val="auto"/>
          <w:highlight w:val="none"/>
          <w:u w:val="none"/>
          <w:lang w:val="en-US" w:eastAsia="zh-CN"/>
        </w:rPr>
        <w:t>2024</w:t>
      </w:r>
      <w:r>
        <w:rPr>
          <w:rFonts w:hint="default" w:ascii="Times New Roman" w:hAnsi="Times New Roman" w:cs="Times New Roman"/>
          <w:color w:val="auto"/>
          <w:highlight w:val="none"/>
          <w:u w:val="none"/>
        </w:rPr>
        <w:t>〕16号）；</w:t>
      </w:r>
    </w:p>
    <w:p w14:paraId="6DFA7530">
      <w:pPr>
        <w:numPr>
          <w:ilvl w:val="0"/>
          <w:numId w:val="13"/>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《广西壮族自治区自然资源厅“三区三线”划定实施方案》（桂自然资发〔2022〕45号）；</w:t>
      </w:r>
    </w:p>
    <w:p w14:paraId="2906BA2D">
      <w:pPr>
        <w:numPr>
          <w:ilvl w:val="0"/>
          <w:numId w:val="13"/>
        </w:numPr>
        <w:rPr>
          <w:rFonts w:hint="default" w:ascii="Times New Roman" w:hAnsi="Times New Roman" w:cs="Times New Roman"/>
          <w:strike/>
          <w:color w:val="auto"/>
          <w:highlight w:val="none"/>
          <w:u w:val="none"/>
        </w:rPr>
      </w:pPr>
      <w:r>
        <w:rPr>
          <w:rFonts w:hint="default" w:ascii="Times New Roman" w:hAnsi="Times New Roman" w:cs="Times New Roman"/>
          <w:color w:val="auto"/>
          <w:highlight w:val="none"/>
          <w:u w:val="none"/>
        </w:rPr>
        <w:t>广西壮族自治区生态环境厅等部门关于印发《广西生态保护正面清单（2022）》和《广西生态保护禁止事项清单（2022）》的通知；</w:t>
      </w:r>
    </w:p>
    <w:p w14:paraId="477F5B4F">
      <w:pPr>
        <w:numPr>
          <w:ilvl w:val="0"/>
          <w:numId w:val="13"/>
        </w:numPr>
        <w:rPr>
          <w:rFonts w:hint="default"/>
          <w:color w:val="auto"/>
          <w:highlight w:val="none"/>
        </w:rPr>
      </w:pPr>
      <w:r>
        <w:rPr>
          <w:rFonts w:hint="eastAsia"/>
          <w:color w:val="auto"/>
          <w:highlight w:val="none"/>
          <w:lang w:eastAsia="zh-CN"/>
        </w:rPr>
        <w:t>《</w:t>
      </w:r>
      <w:r>
        <w:rPr>
          <w:rFonts w:hint="eastAsia"/>
          <w:color w:val="auto"/>
          <w:highlight w:val="none"/>
          <w:lang w:val="en-US" w:eastAsia="zh-CN"/>
        </w:rPr>
        <w:t>广西壮族自治区生态环境分区管控动态更新成果（2023版）</w:t>
      </w:r>
      <w:r>
        <w:rPr>
          <w:rFonts w:hint="eastAsia"/>
          <w:color w:val="auto"/>
          <w:highlight w:val="none"/>
          <w:lang w:eastAsia="zh-CN"/>
        </w:rPr>
        <w:t>》；</w:t>
      </w:r>
    </w:p>
    <w:p w14:paraId="5D605E9A">
      <w:pPr>
        <w:numPr>
          <w:ilvl w:val="0"/>
          <w:numId w:val="13"/>
        </w:numPr>
        <w:rPr>
          <w:rFonts w:hint="default"/>
          <w:color w:val="auto"/>
          <w:highlight w:val="none"/>
        </w:rPr>
      </w:pPr>
      <w:r>
        <w:rPr>
          <w:rFonts w:hint="eastAsia"/>
          <w:color w:val="auto"/>
          <w:highlight w:val="none"/>
          <w:lang w:eastAsia="zh-CN"/>
        </w:rPr>
        <w:t>《</w:t>
      </w:r>
      <w:r>
        <w:rPr>
          <w:rFonts w:hint="eastAsia"/>
          <w:color w:val="auto"/>
          <w:highlight w:val="none"/>
          <w:lang w:val="en-US" w:eastAsia="zh-CN"/>
        </w:rPr>
        <w:t>钦州市生态环境分区管控动态更新成果（2023版）</w:t>
      </w:r>
      <w:r>
        <w:rPr>
          <w:rFonts w:hint="eastAsia"/>
          <w:color w:val="auto"/>
          <w:highlight w:val="none"/>
          <w:lang w:eastAsia="zh-CN"/>
        </w:rPr>
        <w:t>》</w:t>
      </w:r>
      <w:r>
        <w:rPr>
          <w:rFonts w:hint="eastAsia"/>
          <w:color w:val="auto"/>
          <w:highlight w:val="none"/>
          <w:lang w:val="en-US" w:eastAsia="zh-CN"/>
        </w:rPr>
        <w:t>；</w:t>
      </w:r>
    </w:p>
    <w:p w14:paraId="7033E762">
      <w:pPr>
        <w:numPr>
          <w:ilvl w:val="0"/>
          <w:numId w:val="13"/>
        </w:numPr>
        <w:rPr>
          <w:rFonts w:hint="default"/>
          <w:color w:val="auto"/>
          <w:highlight w:val="none"/>
        </w:rPr>
      </w:pPr>
      <w:r>
        <w:rPr>
          <w:rFonts w:hint="eastAsia"/>
          <w:color w:val="auto"/>
          <w:highlight w:val="none"/>
          <w:lang w:eastAsia="zh-CN"/>
        </w:rPr>
        <w:t>《钦州市水环境功能区划》；</w:t>
      </w:r>
    </w:p>
    <w:p w14:paraId="1DDC454F">
      <w:pPr>
        <w:numPr>
          <w:ilvl w:val="0"/>
          <w:numId w:val="13"/>
        </w:numPr>
        <w:rPr>
          <w:rFonts w:hint="default"/>
          <w:color w:val="auto"/>
          <w:highlight w:val="none"/>
        </w:rPr>
      </w:pPr>
      <w:r>
        <w:rPr>
          <w:rFonts w:hint="eastAsia"/>
          <w:color w:val="auto"/>
          <w:highlight w:val="none"/>
          <w:lang w:eastAsia="zh-CN"/>
        </w:rPr>
        <w:t>《钦州市中心城区声环境功能区划》。</w:t>
      </w:r>
    </w:p>
    <w:p w14:paraId="314649F9">
      <w:pPr>
        <w:pStyle w:val="5"/>
        <w:bidi w:val="0"/>
        <w:ind w:left="452" w:leftChars="0" w:firstLine="0" w:firstLineChars="0"/>
        <w:rPr>
          <w:rFonts w:hint="default"/>
          <w:color w:val="auto"/>
          <w:highlight w:val="none"/>
        </w:rPr>
      </w:pPr>
      <w:r>
        <w:rPr>
          <w:rFonts w:hint="default"/>
          <w:color w:val="auto"/>
          <w:highlight w:val="none"/>
        </w:rPr>
        <w:t>相关技术导则与规范</w:t>
      </w:r>
    </w:p>
    <w:p w14:paraId="58F65F93">
      <w:pPr>
        <w:numPr>
          <w:ilvl w:val="0"/>
          <w:numId w:val="14"/>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《建设项目环境影响评价技术导则 总纲》（HJ2.1-2016）；</w:t>
      </w:r>
    </w:p>
    <w:p w14:paraId="5B832DC2">
      <w:pPr>
        <w:numPr>
          <w:ilvl w:val="0"/>
          <w:numId w:val="14"/>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《环境影响评价技术导则 大气环境》（HJ2.2-2018）；</w:t>
      </w:r>
    </w:p>
    <w:p w14:paraId="79FD7FCC">
      <w:pPr>
        <w:numPr>
          <w:ilvl w:val="0"/>
          <w:numId w:val="14"/>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《环境影响评价技术导则 地表水环境》（HJ2.3-2018）；</w:t>
      </w:r>
    </w:p>
    <w:p w14:paraId="0B6B5CBA">
      <w:pPr>
        <w:numPr>
          <w:ilvl w:val="0"/>
          <w:numId w:val="14"/>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《环境影响评价技术导则 地下水环境》（HJ 610-2016）；</w:t>
      </w:r>
    </w:p>
    <w:p w14:paraId="6170318C">
      <w:pPr>
        <w:numPr>
          <w:ilvl w:val="0"/>
          <w:numId w:val="14"/>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《环境影响评价技术导则 声环境》（HJ2.4-2021）；</w:t>
      </w:r>
    </w:p>
    <w:p w14:paraId="6EC46DFA">
      <w:pPr>
        <w:numPr>
          <w:ilvl w:val="0"/>
          <w:numId w:val="14"/>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《环境影响评价技术导则 生态影响》（HJ19-2022）；</w:t>
      </w:r>
    </w:p>
    <w:p w14:paraId="6919C803">
      <w:pPr>
        <w:numPr>
          <w:ilvl w:val="0"/>
          <w:numId w:val="14"/>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《环境影响评价技术导则 生物多样性影响》（DB45/T1577-2017）；</w:t>
      </w:r>
    </w:p>
    <w:p w14:paraId="35BF7322">
      <w:pPr>
        <w:numPr>
          <w:ilvl w:val="0"/>
          <w:numId w:val="14"/>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《建设项目环境风险评价技术导则》（HJ169-2018）；</w:t>
      </w:r>
    </w:p>
    <w:p w14:paraId="1834DCB1">
      <w:pPr>
        <w:numPr>
          <w:ilvl w:val="0"/>
          <w:numId w:val="14"/>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《环境影响评价技术导则 土壤环境（试行）》（HJ946-2018）；</w:t>
      </w:r>
    </w:p>
    <w:p w14:paraId="78553780">
      <w:pPr>
        <w:numPr>
          <w:ilvl w:val="0"/>
          <w:numId w:val="14"/>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《水污染治理工程技术导则》（HJ2015-2012）；</w:t>
      </w:r>
    </w:p>
    <w:p w14:paraId="154C2378">
      <w:pPr>
        <w:numPr>
          <w:ilvl w:val="0"/>
          <w:numId w:val="14"/>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《大气污染治理工程技术导则》（HJ2000-2010）；</w:t>
      </w:r>
    </w:p>
    <w:p w14:paraId="368D2B06">
      <w:pPr>
        <w:numPr>
          <w:ilvl w:val="0"/>
          <w:numId w:val="14"/>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《环境噪声与振动控制工程技术导则》（HJ2024-2013）</w:t>
      </w:r>
    </w:p>
    <w:p w14:paraId="0795F7E9">
      <w:pPr>
        <w:numPr>
          <w:ilvl w:val="0"/>
          <w:numId w:val="14"/>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《声环境功能区划分技术规范》（GBT15190-2014）；</w:t>
      </w:r>
    </w:p>
    <w:p w14:paraId="1DA7ECC7">
      <w:pPr>
        <w:numPr>
          <w:ilvl w:val="0"/>
          <w:numId w:val="14"/>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《排污单位自行监测技术指南 总则》（HJ 819-2017）；</w:t>
      </w:r>
    </w:p>
    <w:p w14:paraId="0E808789">
      <w:pPr>
        <w:numPr>
          <w:ilvl w:val="0"/>
          <w:numId w:val="14"/>
        </w:numPr>
        <w:rPr>
          <w:rFonts w:hint="default" w:ascii="Times New Roman" w:hAnsi="Times New Roman" w:cs="Times New Roman"/>
          <w:color w:val="auto"/>
          <w:highlight w:val="none"/>
          <w:u w:val="none"/>
        </w:rPr>
      </w:pPr>
      <w:r>
        <w:rPr>
          <w:rFonts w:hint="default" w:ascii="Times New Roman" w:hAnsi="Times New Roman" w:eastAsia="宋体" w:cs="Times New Roman"/>
          <w:b w:val="0"/>
          <w:bCs w:val="0"/>
          <w:color w:val="auto"/>
          <w:sz w:val="24"/>
          <w:szCs w:val="24"/>
          <w:highlight w:val="none"/>
        </w:rPr>
        <w:t>《水利水电工程等级划分及洪水标准》（SL252-2017）</w:t>
      </w:r>
      <w:r>
        <w:rPr>
          <w:rFonts w:hint="default" w:ascii="Times New Roman" w:hAnsi="Times New Roman" w:eastAsia="宋体" w:cs="Times New Roman"/>
          <w:b w:val="0"/>
          <w:bCs w:val="0"/>
          <w:color w:val="auto"/>
          <w:sz w:val="24"/>
          <w:szCs w:val="24"/>
          <w:highlight w:val="none"/>
          <w:lang w:eastAsia="zh-CN"/>
        </w:rPr>
        <w:t>；</w:t>
      </w:r>
    </w:p>
    <w:p w14:paraId="3D401354">
      <w:pPr>
        <w:numPr>
          <w:ilvl w:val="0"/>
          <w:numId w:val="14"/>
        </w:numPr>
        <w:rPr>
          <w:rFonts w:hint="default" w:ascii="Times New Roman" w:hAnsi="Times New Roman" w:cs="Times New Roman"/>
          <w:color w:val="auto"/>
          <w:highlight w:val="none"/>
          <w:u w:val="none"/>
        </w:rPr>
      </w:pPr>
      <w:r>
        <w:rPr>
          <w:rFonts w:hint="default" w:ascii="Times New Roman" w:hAnsi="Times New Roman" w:eastAsia="宋体" w:cs="Times New Roman"/>
          <w:b w:val="0"/>
          <w:bCs w:val="0"/>
          <w:color w:val="auto"/>
          <w:sz w:val="24"/>
          <w:szCs w:val="24"/>
          <w:highlight w:val="none"/>
        </w:rPr>
        <w:t>《水利水电工程环境保护概估算编制规程》（SL359-2006）；</w:t>
      </w:r>
    </w:p>
    <w:p w14:paraId="0DA401B0">
      <w:pPr>
        <w:numPr>
          <w:ilvl w:val="0"/>
          <w:numId w:val="14"/>
        </w:numPr>
        <w:rPr>
          <w:rFonts w:hint="default" w:ascii="Times New Roman" w:hAnsi="Times New Roman" w:cs="Times New Roman"/>
          <w:color w:val="auto"/>
          <w:highlight w:val="none"/>
          <w:u w:val="none"/>
        </w:rPr>
      </w:pPr>
      <w:r>
        <w:rPr>
          <w:rFonts w:hint="default" w:ascii="Times New Roman" w:hAnsi="Times New Roman" w:eastAsia="宋体" w:cs="Times New Roman"/>
          <w:b w:val="0"/>
          <w:bCs w:val="0"/>
          <w:color w:val="auto"/>
          <w:sz w:val="24"/>
          <w:szCs w:val="24"/>
          <w:highlight w:val="none"/>
        </w:rPr>
        <w:t>《水利水电工程环境保护设计规范》（SL492-2011）</w:t>
      </w:r>
      <w:r>
        <w:rPr>
          <w:rFonts w:hint="default" w:ascii="Times New Roman" w:hAnsi="Times New Roman" w:eastAsia="宋体" w:cs="Times New Roman"/>
          <w:b w:val="0"/>
          <w:bCs w:val="0"/>
          <w:color w:val="auto"/>
          <w:sz w:val="24"/>
          <w:szCs w:val="24"/>
          <w:highlight w:val="none"/>
          <w:lang w:eastAsia="zh-CN"/>
        </w:rPr>
        <w:t>；</w:t>
      </w:r>
    </w:p>
    <w:p w14:paraId="2FC70620">
      <w:pPr>
        <w:numPr>
          <w:ilvl w:val="0"/>
          <w:numId w:val="14"/>
        </w:numPr>
        <w:rPr>
          <w:rFonts w:hint="default" w:ascii="Times New Roman" w:hAnsi="Times New Roman" w:cs="Times New Roman"/>
          <w:color w:val="auto"/>
          <w:highlight w:val="none"/>
          <w:u w:val="none"/>
        </w:rPr>
      </w:pPr>
      <w:r>
        <w:rPr>
          <w:rFonts w:hint="default" w:ascii="Times New Roman" w:hAnsi="Times New Roman" w:eastAsia="宋体" w:cs="Times New Roman"/>
          <w:b w:val="0"/>
          <w:bCs w:val="0"/>
          <w:color w:val="auto"/>
          <w:sz w:val="24"/>
          <w:szCs w:val="24"/>
          <w:highlight w:val="none"/>
        </w:rPr>
        <w:t>《堤防工程设计规范》（GB50286-2013）</w:t>
      </w:r>
      <w:r>
        <w:rPr>
          <w:rFonts w:hint="default" w:ascii="Times New Roman" w:hAnsi="Times New Roman" w:cs="Times New Roman"/>
          <w:color w:val="auto"/>
          <w:highlight w:val="none"/>
          <w:u w:val="none"/>
        </w:rPr>
        <w:t>。</w:t>
      </w:r>
    </w:p>
    <w:p w14:paraId="5C14B92C">
      <w:pPr>
        <w:pStyle w:val="5"/>
        <w:bidi w:val="0"/>
        <w:ind w:left="452" w:leftChars="0" w:firstLine="0" w:firstLineChars="0"/>
        <w:rPr>
          <w:rFonts w:hint="default"/>
          <w:color w:val="auto"/>
          <w:highlight w:val="none"/>
        </w:rPr>
      </w:pPr>
      <w:r>
        <w:rPr>
          <w:rFonts w:hint="eastAsia"/>
          <w:color w:val="auto"/>
          <w:highlight w:val="none"/>
          <w:lang w:eastAsia="zh-CN"/>
        </w:rPr>
        <w:t>相关规划</w:t>
      </w:r>
    </w:p>
    <w:p w14:paraId="270D9216">
      <w:pPr>
        <w:numPr>
          <w:ilvl w:val="0"/>
          <w:numId w:val="15"/>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《广西壮族自治区“十四五”空气质量全面改善规划》（桂环发〔2022〕27号）；</w:t>
      </w:r>
    </w:p>
    <w:p w14:paraId="6EED8798">
      <w:pPr>
        <w:numPr>
          <w:ilvl w:val="0"/>
          <w:numId w:val="15"/>
        </w:numPr>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《广西地下水污染防治“十四五”规划》（桂环发〔2022〕8号）；</w:t>
      </w:r>
    </w:p>
    <w:p w14:paraId="52B6771F">
      <w:pPr>
        <w:numPr>
          <w:ilvl w:val="0"/>
          <w:numId w:val="15"/>
        </w:numPr>
        <w:rPr>
          <w:rFonts w:hint="default" w:ascii="Times New Roman" w:hAnsi="Times New Roman" w:eastAsia="宋体" w:cs="Times New Roman"/>
          <w:color w:val="auto"/>
          <w:highlight w:val="none"/>
          <w:u w:val="none"/>
        </w:rPr>
      </w:pPr>
      <w:r>
        <w:rPr>
          <w:rFonts w:hint="default" w:ascii="Times New Roman" w:hAnsi="Times New Roman" w:cs="Times New Roman"/>
          <w:color w:val="auto"/>
          <w:highlight w:val="none"/>
          <w:u w:val="none"/>
        </w:rPr>
        <w:t>《广西壮族自治区土壤污染防治高质量发展“十四五”规划》（桂环发〔2022〕7号））；</w:t>
      </w:r>
    </w:p>
    <w:p w14:paraId="56903867">
      <w:pPr>
        <w:numPr>
          <w:ilvl w:val="0"/>
          <w:numId w:val="15"/>
        </w:numPr>
        <w:rPr>
          <w:rFonts w:hint="default" w:ascii="Times New Roman" w:hAnsi="Times New Roman" w:eastAsia="宋体" w:cs="Times New Roman"/>
          <w:color w:val="auto"/>
          <w:highlight w:val="none"/>
          <w:u w:val="none"/>
        </w:rPr>
      </w:pPr>
      <w:r>
        <w:rPr>
          <w:rFonts w:hint="eastAsia" w:ascii="Times New Roman" w:hAnsi="Times New Roman" w:eastAsia="宋体" w:cs="Times New Roman"/>
          <w:color w:val="auto"/>
          <w:highlight w:val="none"/>
          <w:u w:val="none"/>
          <w:lang w:eastAsia="zh-CN"/>
        </w:rPr>
        <w:t>《钦州市国土空间规划（</w:t>
      </w:r>
      <w:r>
        <w:rPr>
          <w:rFonts w:hint="eastAsia" w:ascii="Times New Roman" w:hAnsi="Times New Roman" w:eastAsia="宋体" w:cs="Times New Roman"/>
          <w:color w:val="auto"/>
          <w:highlight w:val="none"/>
          <w:u w:val="none"/>
          <w:lang w:val="en-US" w:eastAsia="zh-CN"/>
        </w:rPr>
        <w:t>2021-2035年</w:t>
      </w:r>
      <w:r>
        <w:rPr>
          <w:rFonts w:hint="eastAsia" w:ascii="Times New Roman" w:hAnsi="Times New Roman" w:eastAsia="宋体" w:cs="Times New Roman"/>
          <w:color w:val="auto"/>
          <w:highlight w:val="none"/>
          <w:u w:val="none"/>
          <w:lang w:eastAsia="zh-CN"/>
        </w:rPr>
        <w:t>）》；</w:t>
      </w:r>
    </w:p>
    <w:p w14:paraId="61160DB3">
      <w:pPr>
        <w:numPr>
          <w:ilvl w:val="0"/>
          <w:numId w:val="15"/>
        </w:numPr>
        <w:rPr>
          <w:rFonts w:hint="default" w:ascii="Times New Roman" w:hAnsi="Times New Roman" w:eastAsia="宋体" w:cs="Times New Roman"/>
          <w:color w:val="auto"/>
          <w:highlight w:val="none"/>
          <w:u w:val="none"/>
        </w:rPr>
      </w:pPr>
      <w:r>
        <w:rPr>
          <w:rFonts w:hint="eastAsia" w:ascii="Times New Roman" w:hAnsi="Times New Roman" w:eastAsia="宋体" w:cs="Times New Roman"/>
          <w:color w:val="auto"/>
          <w:highlight w:val="none"/>
          <w:u w:val="none"/>
          <w:lang w:eastAsia="zh-CN"/>
        </w:rPr>
        <w:t>《中国（广西）自由贸易试验区钦州港片区国土空间分区规划（</w:t>
      </w:r>
      <w:r>
        <w:rPr>
          <w:rFonts w:hint="eastAsia" w:ascii="Times New Roman" w:hAnsi="Times New Roman" w:eastAsia="宋体" w:cs="Times New Roman"/>
          <w:color w:val="auto"/>
          <w:highlight w:val="none"/>
          <w:u w:val="none"/>
          <w:lang w:val="en-US" w:eastAsia="zh-CN"/>
        </w:rPr>
        <w:t>2023-2035年</w:t>
      </w:r>
      <w:r>
        <w:rPr>
          <w:rFonts w:hint="eastAsia" w:ascii="Times New Roman" w:hAnsi="Times New Roman" w:eastAsia="宋体" w:cs="Times New Roman"/>
          <w:color w:val="auto"/>
          <w:highlight w:val="none"/>
          <w:u w:val="none"/>
          <w:lang w:eastAsia="zh-CN"/>
        </w:rPr>
        <w:t>）的通知》；</w:t>
      </w:r>
    </w:p>
    <w:p w14:paraId="5630BA3B">
      <w:pPr>
        <w:numPr>
          <w:ilvl w:val="0"/>
          <w:numId w:val="15"/>
        </w:numPr>
        <w:rPr>
          <w:rFonts w:hint="default" w:ascii="Times New Roman" w:hAnsi="Times New Roman" w:eastAsia="宋体" w:cs="Times New Roman"/>
          <w:color w:val="auto"/>
          <w:highlight w:val="none"/>
          <w:u w:val="none"/>
        </w:rPr>
      </w:pPr>
      <w:r>
        <w:rPr>
          <w:rFonts w:hint="eastAsia" w:ascii="Times New Roman" w:hAnsi="Times New Roman" w:eastAsia="宋体" w:cs="Times New Roman"/>
          <w:color w:val="auto"/>
          <w:highlight w:val="none"/>
          <w:u w:val="none"/>
          <w:lang w:eastAsia="zh-CN"/>
        </w:rPr>
        <w:t>《广西生态环境保护“十四五”规划》；</w:t>
      </w:r>
    </w:p>
    <w:p w14:paraId="2D153A9E">
      <w:pPr>
        <w:numPr>
          <w:ilvl w:val="0"/>
          <w:numId w:val="15"/>
        </w:numPr>
        <w:rPr>
          <w:rFonts w:hint="default" w:ascii="Times New Roman" w:hAnsi="Times New Roman" w:eastAsia="宋体" w:cs="Times New Roman"/>
          <w:color w:val="auto"/>
          <w:highlight w:val="none"/>
          <w:u w:val="none"/>
        </w:rPr>
      </w:pPr>
      <w:r>
        <w:rPr>
          <w:rFonts w:hint="eastAsia" w:ascii="Times New Roman" w:hAnsi="Times New Roman" w:eastAsia="宋体" w:cs="Times New Roman"/>
          <w:color w:val="auto"/>
          <w:highlight w:val="none"/>
          <w:u w:val="none"/>
          <w:lang w:eastAsia="zh-CN"/>
        </w:rPr>
        <w:t>《钦州市生态环境保护“十四五”规划》</w:t>
      </w:r>
    </w:p>
    <w:p w14:paraId="009918FB">
      <w:pPr>
        <w:numPr>
          <w:ilvl w:val="0"/>
          <w:numId w:val="15"/>
        </w:numPr>
        <w:rPr>
          <w:rFonts w:hint="default" w:ascii="Times New Roman" w:hAnsi="Times New Roman" w:eastAsia="宋体" w:cs="Times New Roman"/>
          <w:color w:val="auto"/>
          <w:highlight w:val="none"/>
          <w:u w:val="none"/>
        </w:rPr>
      </w:pPr>
      <w:r>
        <w:rPr>
          <w:rFonts w:hint="eastAsia" w:ascii="Times New Roman" w:hAnsi="Times New Roman" w:eastAsia="宋体" w:cs="Times New Roman"/>
          <w:color w:val="auto"/>
          <w:highlight w:val="none"/>
          <w:u w:val="none"/>
          <w:lang w:eastAsia="zh-CN"/>
        </w:rPr>
        <w:t>《钦南区生态环境保护规划（</w:t>
      </w:r>
      <w:r>
        <w:rPr>
          <w:rFonts w:hint="eastAsia" w:ascii="Times New Roman" w:hAnsi="Times New Roman" w:eastAsia="宋体" w:cs="Times New Roman"/>
          <w:color w:val="auto"/>
          <w:highlight w:val="none"/>
          <w:u w:val="none"/>
          <w:lang w:val="en-US" w:eastAsia="zh-CN"/>
        </w:rPr>
        <w:t>2021-2025年</w:t>
      </w:r>
      <w:r>
        <w:rPr>
          <w:rFonts w:hint="eastAsia" w:ascii="Times New Roman" w:hAnsi="Times New Roman" w:eastAsia="宋体" w:cs="Times New Roman"/>
          <w:color w:val="auto"/>
          <w:highlight w:val="none"/>
          <w:u w:val="none"/>
          <w:lang w:eastAsia="zh-CN"/>
        </w:rPr>
        <w:t>）》；</w:t>
      </w:r>
    </w:p>
    <w:p w14:paraId="143AFE0C">
      <w:pPr>
        <w:numPr>
          <w:ilvl w:val="0"/>
          <w:numId w:val="15"/>
        </w:numPr>
        <w:rPr>
          <w:rFonts w:hint="default" w:ascii="Times New Roman" w:hAnsi="Times New Roman" w:eastAsia="宋体" w:cs="Times New Roman"/>
          <w:color w:val="auto"/>
          <w:highlight w:val="none"/>
          <w:u w:val="none"/>
        </w:rPr>
      </w:pPr>
      <w:r>
        <w:rPr>
          <w:rFonts w:hint="eastAsia" w:ascii="Times New Roman" w:hAnsi="Times New Roman" w:eastAsia="宋体" w:cs="Times New Roman"/>
          <w:color w:val="auto"/>
          <w:highlight w:val="none"/>
          <w:u w:val="none"/>
          <w:lang w:eastAsia="zh-CN"/>
        </w:rPr>
        <w:t>《广西钦州城乡融合发展试验区</w:t>
      </w:r>
      <w:r>
        <w:rPr>
          <w:rFonts w:hint="eastAsia" w:ascii="Times New Roman" w:hAnsi="Times New Roman" w:eastAsia="宋体" w:cs="Times New Roman"/>
          <w:color w:val="auto"/>
          <w:highlight w:val="none"/>
          <w:u w:val="none"/>
          <w:lang w:val="en-US" w:eastAsia="zh-CN"/>
        </w:rPr>
        <w:t>生态环境保护规划（征求意见稿）</w:t>
      </w:r>
      <w:r>
        <w:rPr>
          <w:rFonts w:hint="eastAsia" w:ascii="Times New Roman" w:hAnsi="Times New Roman" w:eastAsia="宋体" w:cs="Times New Roman"/>
          <w:color w:val="auto"/>
          <w:highlight w:val="none"/>
          <w:u w:val="none"/>
          <w:lang w:eastAsia="zh-CN"/>
        </w:rPr>
        <w:t>》；</w:t>
      </w:r>
    </w:p>
    <w:p w14:paraId="10A2281A">
      <w:pPr>
        <w:numPr>
          <w:ilvl w:val="0"/>
          <w:numId w:val="15"/>
        </w:numPr>
        <w:rPr>
          <w:rFonts w:hint="default" w:ascii="Times New Roman" w:hAnsi="Times New Roman" w:eastAsia="宋体" w:cs="Times New Roman"/>
          <w:color w:val="auto"/>
          <w:highlight w:val="none"/>
          <w:u w:val="none"/>
        </w:rPr>
      </w:pPr>
      <w:r>
        <w:rPr>
          <w:rFonts w:hint="eastAsia" w:ascii="Times New Roman" w:hAnsi="Times New Roman" w:eastAsia="宋体" w:cs="Times New Roman"/>
          <w:color w:val="auto"/>
          <w:highlight w:val="none"/>
          <w:u w:val="none"/>
          <w:lang w:eastAsia="zh-CN"/>
        </w:rPr>
        <w:t>《钦州市土壤污染防治“十四五”规划》；</w:t>
      </w:r>
    </w:p>
    <w:p w14:paraId="70F6AC87">
      <w:pPr>
        <w:numPr>
          <w:ilvl w:val="0"/>
          <w:numId w:val="15"/>
        </w:numPr>
        <w:rPr>
          <w:rFonts w:hint="default" w:ascii="Times New Roman" w:hAnsi="Times New Roman" w:eastAsia="宋体" w:cs="Times New Roman"/>
          <w:color w:val="auto"/>
          <w:highlight w:val="none"/>
          <w:u w:val="none"/>
        </w:rPr>
      </w:pPr>
      <w:r>
        <w:rPr>
          <w:rFonts w:hint="eastAsia" w:ascii="Times New Roman" w:hAnsi="Times New Roman" w:eastAsia="宋体" w:cs="Times New Roman"/>
          <w:color w:val="auto"/>
          <w:highlight w:val="none"/>
          <w:u w:val="none"/>
          <w:lang w:eastAsia="zh-CN"/>
        </w:rPr>
        <w:t>《钦州市钦南区水资源保护规划（</w:t>
      </w:r>
      <w:r>
        <w:rPr>
          <w:rFonts w:hint="eastAsia" w:ascii="Times New Roman" w:hAnsi="Times New Roman" w:eastAsia="宋体" w:cs="Times New Roman"/>
          <w:color w:val="auto"/>
          <w:highlight w:val="none"/>
          <w:u w:val="none"/>
          <w:lang w:val="en-US" w:eastAsia="zh-CN"/>
        </w:rPr>
        <w:t>2023-2030年</w:t>
      </w:r>
      <w:r>
        <w:rPr>
          <w:rFonts w:hint="eastAsia" w:ascii="Times New Roman" w:hAnsi="Times New Roman" w:eastAsia="宋体" w:cs="Times New Roman"/>
          <w:color w:val="auto"/>
          <w:highlight w:val="none"/>
          <w:u w:val="none"/>
          <w:lang w:eastAsia="zh-CN"/>
        </w:rPr>
        <w:t>）》；</w:t>
      </w:r>
    </w:p>
    <w:p w14:paraId="4919003C">
      <w:pPr>
        <w:numPr>
          <w:ilvl w:val="0"/>
          <w:numId w:val="15"/>
        </w:numPr>
        <w:rPr>
          <w:rFonts w:hint="default" w:ascii="Times New Roman" w:hAnsi="Times New Roman" w:eastAsia="宋体" w:cs="Times New Roman"/>
          <w:color w:val="auto"/>
          <w:highlight w:val="none"/>
          <w:u w:val="none"/>
        </w:rPr>
      </w:pPr>
      <w:r>
        <w:rPr>
          <w:rFonts w:hint="eastAsia" w:ascii="Times New Roman" w:hAnsi="Times New Roman" w:eastAsia="宋体" w:cs="Times New Roman"/>
          <w:color w:val="auto"/>
          <w:highlight w:val="none"/>
          <w:u w:val="none"/>
          <w:lang w:eastAsia="zh-CN"/>
        </w:rPr>
        <w:t>《钦州市“十四五”水安全保障规划报告》；</w:t>
      </w:r>
    </w:p>
    <w:p w14:paraId="5EBB6801">
      <w:pPr>
        <w:numPr>
          <w:ilvl w:val="0"/>
          <w:numId w:val="15"/>
        </w:numPr>
        <w:rPr>
          <w:rFonts w:hint="default" w:ascii="Times New Roman" w:hAnsi="Times New Roman" w:eastAsia="宋体" w:cs="Times New Roman"/>
          <w:color w:val="auto"/>
          <w:highlight w:val="none"/>
          <w:u w:val="none"/>
        </w:rPr>
      </w:pPr>
      <w:r>
        <w:rPr>
          <w:rFonts w:hint="eastAsia" w:ascii="Times New Roman" w:hAnsi="Times New Roman" w:eastAsia="宋体" w:cs="Times New Roman"/>
          <w:color w:val="auto"/>
          <w:highlight w:val="none"/>
          <w:u w:val="none"/>
          <w:lang w:eastAsia="zh-CN"/>
        </w:rPr>
        <w:t>《钦州市水网建设规划》；</w:t>
      </w:r>
    </w:p>
    <w:p w14:paraId="77149BBD">
      <w:pPr>
        <w:numPr>
          <w:ilvl w:val="0"/>
          <w:numId w:val="15"/>
        </w:numPr>
        <w:rPr>
          <w:rFonts w:hint="default" w:ascii="Times New Roman" w:hAnsi="Times New Roman" w:eastAsia="宋体" w:cs="Times New Roman"/>
          <w:color w:val="auto"/>
          <w:highlight w:val="none"/>
          <w:u w:val="none"/>
        </w:rPr>
      </w:pPr>
      <w:r>
        <w:rPr>
          <w:rFonts w:hint="eastAsia" w:ascii="Times New Roman" w:hAnsi="Times New Roman" w:eastAsia="宋体" w:cs="Times New Roman"/>
          <w:color w:val="auto"/>
          <w:highlight w:val="none"/>
          <w:u w:val="none"/>
          <w:lang w:eastAsia="zh-CN"/>
        </w:rPr>
        <w:t>《中国（广西）自由贸易试验区钦州港片区管线综合专项规划（</w:t>
      </w:r>
      <w:r>
        <w:rPr>
          <w:rFonts w:hint="eastAsia" w:ascii="Times New Roman" w:hAnsi="Times New Roman" w:eastAsia="宋体" w:cs="Times New Roman"/>
          <w:color w:val="auto"/>
          <w:highlight w:val="none"/>
          <w:u w:val="none"/>
          <w:lang w:val="en-US" w:eastAsia="zh-CN"/>
        </w:rPr>
        <w:t>2023-2035</w:t>
      </w:r>
      <w:r>
        <w:rPr>
          <w:rFonts w:hint="eastAsia" w:ascii="Times New Roman" w:hAnsi="Times New Roman" w:eastAsia="宋体" w:cs="Times New Roman"/>
          <w:color w:val="auto"/>
          <w:highlight w:val="none"/>
          <w:u w:val="none"/>
          <w:lang w:eastAsia="zh-CN"/>
        </w:rPr>
        <w:t>）》</w:t>
      </w:r>
      <w:r>
        <w:rPr>
          <w:rFonts w:hint="eastAsia" w:ascii="Times New Roman" w:cs="Times New Roman"/>
          <w:color w:val="auto"/>
          <w:highlight w:val="none"/>
          <w:u w:val="none"/>
          <w:lang w:eastAsia="zh-CN"/>
        </w:rPr>
        <w:t>；</w:t>
      </w:r>
    </w:p>
    <w:p w14:paraId="6B21428C">
      <w:pPr>
        <w:numPr>
          <w:ilvl w:val="0"/>
          <w:numId w:val="15"/>
        </w:numPr>
        <w:rPr>
          <w:rFonts w:hint="default" w:ascii="Times New Roman" w:hAnsi="Times New Roman" w:eastAsia="宋体" w:cs="Times New Roman"/>
          <w:color w:val="auto"/>
          <w:highlight w:val="none"/>
          <w:u w:val="single"/>
        </w:rPr>
      </w:pPr>
      <w:r>
        <w:rPr>
          <w:rFonts w:hint="eastAsia" w:ascii="Times New Roman" w:hAnsi="Times New Roman" w:eastAsia="宋体" w:cs="Times New Roman"/>
          <w:color w:val="auto"/>
          <w:highlight w:val="none"/>
          <w:u w:val="single"/>
          <w:lang w:eastAsia="zh-CN"/>
        </w:rPr>
        <w:t>《</w:t>
      </w:r>
      <w:r>
        <w:rPr>
          <w:rFonts w:hint="eastAsia" w:ascii="Times New Roman" w:cs="Times New Roman"/>
          <w:color w:val="auto"/>
          <w:highlight w:val="none"/>
          <w:u w:val="single"/>
          <w:lang w:val="en-US" w:eastAsia="zh-CN"/>
        </w:rPr>
        <w:t>钦州市城市总体规划修改</w:t>
      </w:r>
      <w:r>
        <w:rPr>
          <w:rFonts w:hint="eastAsia" w:ascii="Times New Roman" w:hAnsi="Times New Roman" w:eastAsia="宋体" w:cs="Times New Roman"/>
          <w:color w:val="auto"/>
          <w:highlight w:val="none"/>
          <w:u w:val="single"/>
          <w:lang w:eastAsia="zh-CN"/>
        </w:rPr>
        <w:t>（</w:t>
      </w:r>
      <w:r>
        <w:rPr>
          <w:rFonts w:hint="eastAsia" w:ascii="Times New Roman" w:cs="Times New Roman"/>
          <w:color w:val="auto"/>
          <w:highlight w:val="none"/>
          <w:u w:val="single"/>
          <w:lang w:val="en-US" w:eastAsia="zh-CN"/>
        </w:rPr>
        <w:t>2012-2030</w:t>
      </w:r>
      <w:r>
        <w:rPr>
          <w:rFonts w:hint="eastAsia" w:ascii="Times New Roman" w:hAnsi="Times New Roman" w:eastAsia="宋体" w:cs="Times New Roman"/>
          <w:color w:val="auto"/>
          <w:highlight w:val="none"/>
          <w:u w:val="single"/>
          <w:lang w:eastAsia="zh-CN"/>
        </w:rPr>
        <w:t>）。</w:t>
      </w:r>
    </w:p>
    <w:p w14:paraId="55BA0F26">
      <w:pPr>
        <w:pStyle w:val="5"/>
        <w:bidi w:val="0"/>
        <w:ind w:left="452" w:leftChars="0" w:firstLine="0" w:firstLineChars="0"/>
        <w:rPr>
          <w:rFonts w:hint="default"/>
          <w:color w:val="auto"/>
          <w:highlight w:val="none"/>
        </w:rPr>
      </w:pPr>
      <w:r>
        <w:rPr>
          <w:rFonts w:hint="default"/>
          <w:color w:val="auto"/>
          <w:highlight w:val="none"/>
          <w:lang w:val="en-US" w:eastAsia="zh-CN"/>
        </w:rPr>
        <w:t>其他依据</w:t>
      </w:r>
    </w:p>
    <w:p w14:paraId="005CB2E5">
      <w:pPr>
        <w:numPr>
          <w:ilvl w:val="0"/>
          <w:numId w:val="16"/>
        </w:num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建设项目环评委托书；</w:t>
      </w:r>
    </w:p>
    <w:p w14:paraId="2CAB42AC">
      <w:pPr>
        <w:numPr>
          <w:ilvl w:val="0"/>
          <w:numId w:val="16"/>
        </w:num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钦州港新型城乡融合发展示范区（自贸新城）排水改造工程</w:t>
      </w:r>
      <w:r>
        <w:rPr>
          <w:rFonts w:hint="default" w:ascii="Times New Roman" w:hAnsi="Times New Roman" w:eastAsia="宋体" w:cs="Times New Roman"/>
          <w:color w:val="auto"/>
          <w:highlight w:val="none"/>
          <w:lang w:val="en-US" w:eastAsia="zh-CN"/>
        </w:rPr>
        <w:t>初步设计方案》及批复；</w:t>
      </w:r>
    </w:p>
    <w:p w14:paraId="22EB7720">
      <w:pPr>
        <w:numPr>
          <w:ilvl w:val="0"/>
          <w:numId w:val="16"/>
        </w:num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color w:val="auto"/>
          <w:highlight w:val="none"/>
          <w:lang w:val="en-US" w:eastAsia="zh-CN"/>
        </w:rPr>
        <w:t>钦州港新型城乡融合发展示范区（自贸新城）排水改造工程</w:t>
      </w:r>
      <w:r>
        <w:rPr>
          <w:rFonts w:hint="default" w:ascii="Times New Roman" w:hAnsi="Times New Roman" w:eastAsia="宋体" w:cs="Times New Roman"/>
          <w:color w:val="auto"/>
          <w:highlight w:val="none"/>
          <w:lang w:val="en-US" w:eastAsia="zh-CN"/>
        </w:rPr>
        <w:t>初步设计方案》及批复；</w:t>
      </w:r>
    </w:p>
    <w:p w14:paraId="53D29CFB">
      <w:pPr>
        <w:numPr>
          <w:ilvl w:val="0"/>
          <w:numId w:val="16"/>
        </w:numP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《钦州港新型城乡融合发展示范区（自贸新城）排水改造工程施工设计图》；</w:t>
      </w:r>
    </w:p>
    <w:p w14:paraId="6A0513C6">
      <w:pPr>
        <w:numPr>
          <w:ilvl w:val="0"/>
          <w:numId w:val="16"/>
        </w:numPr>
        <w:rPr>
          <w:rFonts w:hint="default"/>
          <w:color w:val="auto"/>
          <w:highlight w:val="none"/>
          <w:lang w:val="en-US" w:eastAsia="zh-CN"/>
        </w:rPr>
      </w:pPr>
      <w:r>
        <w:rPr>
          <w:rFonts w:hint="eastAsia" w:ascii="Times New Roman" w:hAnsi="Times New Roman" w:eastAsia="宋体" w:cs="Times New Roman"/>
          <w:color w:val="auto"/>
          <w:highlight w:val="none"/>
          <w:lang w:val="en-US" w:eastAsia="zh-CN"/>
        </w:rPr>
        <w:t>《钦州港新型城乡融合发展示范区（自贸新城）排水改造工程水土保持方案报告书》</w:t>
      </w:r>
      <w:r>
        <w:rPr>
          <w:rFonts w:hint="eastAsia" w:ascii="Times New Roman" w:cs="Times New Roman"/>
          <w:color w:val="auto"/>
          <w:highlight w:val="none"/>
          <w:lang w:val="en-US" w:eastAsia="zh-CN"/>
        </w:rPr>
        <w:t>（报批稿）</w:t>
      </w:r>
      <w:r>
        <w:rPr>
          <w:rFonts w:hint="eastAsia" w:ascii="Times New Roman" w:hAnsi="Times New Roman" w:eastAsia="宋体" w:cs="Times New Roman"/>
          <w:color w:val="auto"/>
          <w:highlight w:val="none"/>
          <w:lang w:val="en-US" w:eastAsia="zh-CN"/>
        </w:rPr>
        <w:t>；</w:t>
      </w:r>
    </w:p>
    <w:p w14:paraId="667C7BFF">
      <w:pPr>
        <w:numPr>
          <w:ilvl w:val="0"/>
          <w:numId w:val="16"/>
        </w:numPr>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建设单位提供的其他相关资料、图件和现场收集的有关基础资料。</w:t>
      </w:r>
    </w:p>
    <w:p w14:paraId="13E42438">
      <w:pPr>
        <w:pStyle w:val="1029"/>
        <w:pBdr>
          <w:top w:val="none" w:color="auto" w:sz="0" w:space="0"/>
        </w:pBdr>
        <w:tabs>
          <w:tab w:val="clear" w:pos="4153"/>
          <w:tab w:val="clear" w:pos="8306"/>
        </w:tabs>
        <w:ind w:firstLine="227"/>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br w:type="page"/>
      </w:r>
    </w:p>
    <w:p w14:paraId="224F576C">
      <w:pPr>
        <w:pStyle w:val="4"/>
        <w:bidi w:val="0"/>
        <w:ind w:left="678" w:leftChars="0" w:firstLine="0" w:firstLineChars="0"/>
        <w:rPr>
          <w:rFonts w:hint="default"/>
          <w:color w:val="auto"/>
          <w:highlight w:val="none"/>
        </w:rPr>
      </w:pPr>
      <w:bookmarkStart w:id="7" w:name="_Toc23662"/>
      <w:bookmarkStart w:id="8" w:name="_Toc229998709"/>
      <w:r>
        <w:rPr>
          <w:rFonts w:hint="default"/>
          <w:color w:val="auto"/>
          <w:highlight w:val="none"/>
        </w:rPr>
        <w:t>环境功能区划</w:t>
      </w:r>
      <w:bookmarkEnd w:id="7"/>
    </w:p>
    <w:p w14:paraId="3C359CAA">
      <w:pPr>
        <w:pStyle w:val="5"/>
        <w:bidi w:val="0"/>
        <w:ind w:left="452" w:leftChars="0" w:firstLine="0" w:firstLineChars="0"/>
        <w:rPr>
          <w:rFonts w:hint="default"/>
          <w:color w:val="auto"/>
          <w:highlight w:val="none"/>
        </w:rPr>
      </w:pPr>
      <w:r>
        <w:rPr>
          <w:rFonts w:hint="default"/>
          <w:color w:val="auto"/>
          <w:highlight w:val="none"/>
        </w:rPr>
        <w:t>生态环境功能区划</w:t>
      </w:r>
    </w:p>
    <w:p w14:paraId="3B44FEAE">
      <w:pPr>
        <w:pStyle w:val="41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拟建项目位于广西壮族自治区钦州市中国（广西）自由贸易试验区钦州港片区，根据《广西壮族自治区人民政府办公厅关于印发&lt;广西壮族自治区生态功能区规划&gt;的通知》（桂政办发〔2008〕8号），拟建项目所在位置为“</w:t>
      </w:r>
      <w:r>
        <w:rPr>
          <w:rFonts w:hint="default" w:ascii="Times New Roman" w:hAnsi="Times New Roman" w:eastAsia="宋体" w:cs="Times New Roman"/>
          <w:color w:val="auto"/>
          <w:highlight w:val="none"/>
          <w:lang w:val="en-US" w:eastAsia="zh-CN"/>
        </w:rPr>
        <w:t>3-1-8 钦州中心城市功能区</w:t>
      </w:r>
      <w:r>
        <w:rPr>
          <w:rFonts w:hint="default" w:ascii="Times New Roman" w:hAnsi="Times New Roman" w:eastAsia="宋体" w:cs="Times New Roman"/>
          <w:color w:val="auto"/>
          <w:highlight w:val="none"/>
          <w:lang w:eastAsia="zh-CN"/>
        </w:rPr>
        <w:t>”，属人居功能保障区。</w:t>
      </w:r>
    </w:p>
    <w:p w14:paraId="1ECE4955">
      <w:pPr>
        <w:pStyle w:val="41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项目所在区域不属于重要生态功能区，生态服务功能主要推进生态城市建设，改善生态人居，建设生态文明，弘扬生态文化；合理规划布局城市功能组团，完善城市功能等。不涉及国家和自治区特殊生态敏感区和重要生态敏感区。</w:t>
      </w:r>
    </w:p>
    <w:p w14:paraId="25E22087">
      <w:pPr>
        <w:pStyle w:val="5"/>
        <w:bidi w:val="0"/>
        <w:ind w:left="452" w:leftChars="0" w:firstLine="0" w:firstLineChars="0"/>
        <w:rPr>
          <w:rFonts w:hint="default"/>
          <w:color w:val="auto"/>
          <w:highlight w:val="none"/>
        </w:rPr>
      </w:pPr>
      <w:r>
        <w:rPr>
          <w:rFonts w:hint="default"/>
          <w:color w:val="auto"/>
          <w:highlight w:val="none"/>
        </w:rPr>
        <w:t>环境空气功能区划</w:t>
      </w:r>
    </w:p>
    <w:p w14:paraId="4354DE2E">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钦州市</w:t>
      </w:r>
      <w:r>
        <w:rPr>
          <w:rFonts w:hint="default" w:ascii="Times New Roman" w:hAnsi="Times New Roman" w:cs="Times New Roman"/>
          <w:color w:val="auto"/>
          <w:highlight w:val="none"/>
        </w:rPr>
        <w:t>尚未发布大气环境功能区划，根据《环境空气质量标准》（GB3095-2012），一类区为自然保护区、风景名胜区和其他需要特殊保护的区域；二类区为居住区、商业交通居民混合区、文化区、工业区和农村地区。拟建项目位于</w:t>
      </w:r>
      <w:r>
        <w:rPr>
          <w:rFonts w:hint="default" w:ascii="Times New Roman" w:hAnsi="Times New Roman" w:cs="Times New Roman"/>
          <w:color w:val="auto"/>
          <w:sz w:val="24"/>
          <w:szCs w:val="24"/>
          <w:highlight w:val="none"/>
          <w:lang w:eastAsia="zh-CN"/>
        </w:rPr>
        <w:t>广西壮族自治区钦州市中国（广西）自由贸易试验区钦州港片区</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规划</w:t>
      </w:r>
      <w:r>
        <w:rPr>
          <w:rFonts w:hint="default" w:ascii="Times New Roman" w:hAnsi="Times New Roman" w:cs="Times New Roman"/>
          <w:color w:val="auto"/>
          <w:highlight w:val="none"/>
        </w:rPr>
        <w:t>为居住区、商业交通居民混合区、工业区，参照划为环境空气质量功能区二类区。</w:t>
      </w:r>
    </w:p>
    <w:p w14:paraId="3681431E">
      <w:pPr>
        <w:pStyle w:val="41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环境空气质量执行《环境空气质量标准》（GB3095-2012）及其修改单中的二级标准。</w:t>
      </w:r>
    </w:p>
    <w:p w14:paraId="607B2479">
      <w:pPr>
        <w:pStyle w:val="5"/>
        <w:bidi w:val="0"/>
        <w:ind w:left="452" w:leftChars="0" w:firstLine="0" w:firstLineChars="0"/>
        <w:rPr>
          <w:rFonts w:hint="default"/>
          <w:color w:val="auto"/>
          <w:highlight w:val="none"/>
        </w:rPr>
      </w:pPr>
      <w:r>
        <w:rPr>
          <w:rFonts w:hint="default"/>
          <w:color w:val="auto"/>
          <w:highlight w:val="none"/>
        </w:rPr>
        <w:t>地表水环境功能区划</w:t>
      </w:r>
    </w:p>
    <w:p w14:paraId="51CAB70E">
      <w:pPr>
        <w:pStyle w:val="410"/>
        <w:rPr>
          <w:rFonts w:hint="eastAsia"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eastAsia="zh-CN"/>
        </w:rPr>
        <w:t>项目评价范围水域主要涉及</w:t>
      </w:r>
      <w:r>
        <w:rPr>
          <w:rFonts w:hint="eastAsia"/>
          <w:color w:val="auto"/>
          <w:highlight w:val="none"/>
          <w:u w:val="single"/>
          <w:lang w:eastAsia="zh-CN"/>
        </w:rPr>
        <w:t>淡水湾江</w:t>
      </w:r>
      <w:r>
        <w:rPr>
          <w:rFonts w:hint="default" w:ascii="Times New Roman" w:hAnsi="Times New Roman" w:cs="Times New Roman"/>
          <w:color w:val="auto"/>
          <w:highlight w:val="none"/>
          <w:u w:val="single"/>
          <w:lang w:eastAsia="zh-CN"/>
        </w:rPr>
        <w:t>，区域</w:t>
      </w:r>
      <w:r>
        <w:rPr>
          <w:rFonts w:hint="eastAsia" w:ascii="Times New Roman" w:cs="Times New Roman"/>
          <w:color w:val="auto"/>
          <w:highlight w:val="none"/>
          <w:u w:val="single"/>
          <w:lang w:eastAsia="zh-CN"/>
        </w:rPr>
        <w:t>未划定水环境功能区，主导用水功能为农业用水，参照《</w:t>
      </w:r>
      <w:r>
        <w:rPr>
          <w:rFonts w:hint="default" w:ascii="Times New Roman" w:hAnsi="Times New Roman" w:cs="Times New Roman"/>
          <w:color w:val="auto"/>
          <w:highlight w:val="none"/>
          <w:u w:val="single"/>
          <w:lang w:eastAsia="zh-CN"/>
        </w:rPr>
        <w:t>钦州市水环境功能区划》（</w:t>
      </w:r>
      <w:r>
        <w:rPr>
          <w:rFonts w:hint="default" w:ascii="Times New Roman" w:hAnsi="Times New Roman" w:cs="Times New Roman"/>
          <w:color w:val="auto"/>
          <w:highlight w:val="none"/>
          <w:u w:val="single"/>
          <w:lang w:val="en-US" w:eastAsia="zh-CN"/>
        </w:rPr>
        <w:t>2012</w:t>
      </w:r>
      <w:r>
        <w:rPr>
          <w:rFonts w:hint="default" w:ascii="Times New Roman" w:hAnsi="Times New Roman" w:cs="Times New Roman"/>
          <w:color w:val="auto"/>
          <w:highlight w:val="none"/>
          <w:u w:val="single"/>
          <w:lang w:eastAsia="zh-CN"/>
        </w:rPr>
        <w:t>），</w:t>
      </w:r>
      <w:r>
        <w:rPr>
          <w:rFonts w:hint="eastAsia" w:ascii="Times New Roman" w:cs="Times New Roman"/>
          <w:color w:val="auto"/>
          <w:highlight w:val="none"/>
          <w:u w:val="single"/>
          <w:lang w:eastAsia="zh-CN"/>
        </w:rPr>
        <w:t>项目评价范围水域水功能为农业用</w:t>
      </w:r>
      <w:r>
        <w:rPr>
          <w:rFonts w:hint="eastAsia" w:ascii="Times New Roman" w:hAnsi="Times New Roman" w:cs="Times New Roman"/>
          <w:color w:val="auto"/>
          <w:highlight w:val="none"/>
          <w:u w:val="single"/>
          <w:lang w:eastAsia="zh-CN"/>
        </w:rPr>
        <w:t>水，</w:t>
      </w:r>
      <w:r>
        <w:rPr>
          <w:rFonts w:hint="eastAsia" w:ascii="Times New Roman" w:cs="Times New Roman"/>
          <w:color w:val="auto"/>
          <w:highlight w:val="none"/>
          <w:u w:val="single"/>
          <w:lang w:eastAsia="zh-CN"/>
        </w:rPr>
        <w:t>执行</w:t>
      </w:r>
      <w:r>
        <w:rPr>
          <w:rFonts w:hint="eastAsia" w:ascii="Times New Roman" w:hAnsi="Times New Roman" w:cs="Times New Roman"/>
          <w:color w:val="auto"/>
          <w:highlight w:val="none"/>
          <w:u w:val="single"/>
          <w:lang w:eastAsia="zh-CN"/>
        </w:rPr>
        <w:t>Ⅳ</w:t>
      </w:r>
      <w:r>
        <w:rPr>
          <w:rFonts w:hint="default" w:ascii="Times New Roman" w:hAnsi="Times New Roman" w:cs="Times New Roman"/>
          <w:color w:val="auto"/>
          <w:highlight w:val="none"/>
          <w:u w:val="single"/>
          <w:lang w:eastAsia="zh-CN"/>
        </w:rPr>
        <w:t>类水质目标</w:t>
      </w:r>
      <w:r>
        <w:rPr>
          <w:rFonts w:hint="eastAsia" w:ascii="Times New Roman" w:cs="Times New Roman"/>
          <w:color w:val="auto"/>
          <w:highlight w:val="none"/>
          <w:u w:val="single"/>
          <w:lang w:eastAsia="zh-CN"/>
        </w:rPr>
        <w:t>；</w:t>
      </w:r>
    </w:p>
    <w:p w14:paraId="22A803E1">
      <w:pPr>
        <w:pStyle w:val="410"/>
        <w:rPr>
          <w:rFonts w:hint="default" w:ascii="Times New Roman" w:hAnsi="Times New Roman" w:cs="Times New Roman"/>
          <w:color w:val="auto"/>
          <w:highlight w:val="none"/>
          <w:u w:val="single"/>
          <w:lang w:eastAsia="zh-CN"/>
        </w:rPr>
      </w:pPr>
      <w:r>
        <w:rPr>
          <w:rFonts w:hint="default" w:ascii="Times New Roman" w:hAnsi="Times New Roman" w:cs="Times New Roman"/>
          <w:color w:val="auto"/>
          <w:highlight w:val="none"/>
          <w:u w:val="single"/>
          <w:lang w:eastAsia="zh-CN"/>
        </w:rPr>
        <w:t>地表水环境执行《地表水环境质量标准》（GB3838-2002）</w:t>
      </w:r>
      <w:r>
        <w:rPr>
          <w:rFonts w:hint="eastAsia" w:ascii="Times New Roman" w:hAnsi="Times New Roman" w:cs="Times New Roman"/>
          <w:color w:val="auto"/>
          <w:highlight w:val="none"/>
          <w:u w:val="single"/>
          <w:lang w:eastAsia="zh-CN"/>
        </w:rPr>
        <w:t>Ⅳ</w:t>
      </w:r>
      <w:r>
        <w:rPr>
          <w:rFonts w:hint="default" w:ascii="Times New Roman" w:hAnsi="Times New Roman" w:cs="Times New Roman"/>
          <w:color w:val="auto"/>
          <w:highlight w:val="none"/>
          <w:u w:val="single"/>
          <w:lang w:eastAsia="zh-CN"/>
        </w:rPr>
        <w:t>类标准。</w:t>
      </w:r>
    </w:p>
    <w:p w14:paraId="122EEE8E">
      <w:pPr>
        <w:pStyle w:val="5"/>
        <w:bidi w:val="0"/>
        <w:ind w:left="452" w:leftChars="0" w:firstLine="0" w:firstLineChars="0"/>
        <w:rPr>
          <w:rFonts w:hint="default"/>
          <w:color w:val="auto"/>
          <w:highlight w:val="none"/>
          <w:u w:val="single"/>
        </w:rPr>
      </w:pPr>
      <w:r>
        <w:rPr>
          <w:rFonts w:hint="eastAsia"/>
          <w:color w:val="auto"/>
          <w:highlight w:val="none"/>
          <w:u w:val="single"/>
          <w:lang w:eastAsia="zh-CN"/>
        </w:rPr>
        <w:t>海洋环境功能区划</w:t>
      </w:r>
    </w:p>
    <w:p w14:paraId="2768AD59">
      <w:pPr>
        <w:pStyle w:val="410"/>
        <w:rPr>
          <w:rFonts w:hint="eastAsia" w:ascii="Times New Roman" w:hAnsi="Times New Roman" w:cs="Times New Roman"/>
          <w:color w:val="auto"/>
          <w:highlight w:val="none"/>
          <w:u w:val="single"/>
          <w:lang w:val="en-US" w:eastAsia="zh-CN"/>
        </w:rPr>
      </w:pPr>
      <w:r>
        <w:rPr>
          <w:rFonts w:hint="eastAsia" w:ascii="Times New Roman" w:hAnsi="Times New Roman" w:cs="Times New Roman"/>
          <w:color w:val="auto"/>
          <w:highlight w:val="none"/>
          <w:u w:val="single"/>
          <w:lang w:eastAsia="zh-CN"/>
        </w:rPr>
        <w:t>本项目不涉及海岸线，不占用海域，项目下游衔接海洋。根据《</w:t>
      </w:r>
      <w:r>
        <w:rPr>
          <w:rFonts w:hint="eastAsia" w:ascii="Times New Roman" w:cs="Times New Roman"/>
          <w:color w:val="auto"/>
          <w:highlight w:val="none"/>
          <w:u w:val="single"/>
          <w:lang w:eastAsia="zh-CN"/>
        </w:rPr>
        <w:t>广西壮族自治区</w:t>
      </w:r>
      <w:r>
        <w:rPr>
          <w:rFonts w:hint="eastAsia" w:ascii="Times New Roman" w:hAnsi="Times New Roman" w:cs="Times New Roman"/>
          <w:color w:val="auto"/>
          <w:highlight w:val="none"/>
          <w:u w:val="single"/>
          <w:lang w:eastAsia="zh-CN"/>
        </w:rPr>
        <w:t>近岸海域》</w:t>
      </w:r>
      <w:r>
        <w:rPr>
          <w:rFonts w:hint="eastAsia" w:ascii="Times New Roman" w:cs="Times New Roman"/>
          <w:color w:val="auto"/>
          <w:highlight w:val="none"/>
          <w:u w:val="single"/>
          <w:lang w:eastAsia="zh-CN"/>
        </w:rPr>
        <w:t>，项目下游海域为</w:t>
      </w:r>
      <w:r>
        <w:rPr>
          <w:rFonts w:hint="eastAsia" w:ascii="Times New Roman" w:hAnsi="Times New Roman" w:cs="Times New Roman"/>
          <w:color w:val="auto"/>
          <w:highlight w:val="none"/>
          <w:u w:val="single"/>
          <w:lang w:val="en-US" w:eastAsia="zh-CN"/>
        </w:rPr>
        <w:t>钦州港大榄坪港口、工业区域</w:t>
      </w:r>
      <w:r>
        <w:rPr>
          <w:rFonts w:hint="eastAsia" w:ascii="Times New Roman" w:cs="Times New Roman"/>
          <w:color w:val="auto"/>
          <w:highlight w:val="none"/>
          <w:u w:val="single"/>
          <w:lang w:val="en-US" w:eastAsia="zh-CN"/>
        </w:rPr>
        <w:t>（</w:t>
      </w:r>
      <w:r>
        <w:rPr>
          <w:rFonts w:hint="eastAsia" w:ascii="Times New Roman" w:hAnsi="Times New Roman" w:cs="Times New Roman"/>
          <w:color w:val="auto"/>
          <w:highlight w:val="none"/>
          <w:u w:val="single"/>
          <w:lang w:val="en-US" w:eastAsia="zh-CN"/>
        </w:rPr>
        <w:t>GX055DIV</w:t>
      </w:r>
      <w:r>
        <w:rPr>
          <w:rFonts w:hint="eastAsia" w:ascii="Times New Roman" w:cs="Times New Roman"/>
          <w:color w:val="auto"/>
          <w:highlight w:val="none"/>
          <w:u w:val="single"/>
          <w:lang w:val="en-US" w:eastAsia="zh-CN"/>
        </w:rPr>
        <w:t>）</w:t>
      </w:r>
      <w:r>
        <w:rPr>
          <w:rFonts w:hint="eastAsia" w:ascii="Times New Roman" w:hAnsi="Times New Roman" w:cs="Times New Roman"/>
          <w:color w:val="auto"/>
          <w:highlight w:val="none"/>
          <w:u w:val="single"/>
          <w:lang w:val="en-US" w:eastAsia="zh-CN"/>
        </w:rPr>
        <w:t>，主导功能为港口、工业用海，水质保护目标为海水水质标准第四类。</w:t>
      </w:r>
    </w:p>
    <w:p w14:paraId="2B402A24">
      <w:pPr>
        <w:pStyle w:val="410"/>
        <w:rPr>
          <w:rFonts w:hint="default" w:ascii="Times New Roman" w:hAnsi="Times New Roman" w:cs="Times New Roman"/>
          <w:color w:val="auto"/>
          <w:highlight w:val="none"/>
          <w:u w:val="single"/>
          <w:lang w:val="en-US" w:eastAsia="zh-CN"/>
        </w:rPr>
      </w:pPr>
      <w:r>
        <w:rPr>
          <w:rFonts w:hint="eastAsia" w:ascii="Times New Roman" w:hAnsi="Times New Roman" w:cs="Times New Roman"/>
          <w:color w:val="auto"/>
          <w:highlight w:val="none"/>
          <w:u w:val="single"/>
          <w:lang w:val="en-US" w:eastAsia="zh-CN"/>
        </w:rPr>
        <w:t>海洋环境执行《海洋水质标准》（GB3097-1997）</w:t>
      </w:r>
      <w:r>
        <w:rPr>
          <w:rFonts w:hint="eastAsia" w:ascii="Times New Roman" w:cs="Times New Roman"/>
          <w:color w:val="auto"/>
          <w:highlight w:val="none"/>
          <w:u w:val="single"/>
          <w:lang w:val="en-US" w:eastAsia="zh-CN"/>
        </w:rPr>
        <w:t>第四类标准。</w:t>
      </w:r>
    </w:p>
    <w:p w14:paraId="019755D8">
      <w:pPr>
        <w:pStyle w:val="5"/>
        <w:bidi w:val="0"/>
        <w:ind w:left="452" w:leftChars="0" w:firstLine="0" w:firstLineChars="0"/>
        <w:rPr>
          <w:rFonts w:hint="default"/>
          <w:color w:val="auto"/>
          <w:highlight w:val="none"/>
        </w:rPr>
      </w:pPr>
      <w:r>
        <w:rPr>
          <w:rFonts w:hint="default"/>
          <w:color w:val="auto"/>
          <w:highlight w:val="none"/>
          <w:lang w:eastAsia="zh-CN"/>
        </w:rPr>
        <w:t>地下水环境功能区划</w:t>
      </w:r>
    </w:p>
    <w:p w14:paraId="63592047">
      <w:pPr>
        <w:pStyle w:val="41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本项目所在区域地下水主要以生活和农业用水为主。</w:t>
      </w:r>
      <w:r>
        <w:rPr>
          <w:rFonts w:hint="eastAsia" w:ascii="Times New Roman" w:cs="Times New Roman"/>
          <w:color w:val="auto"/>
          <w:highlight w:val="none"/>
          <w:u w:val="single"/>
          <w:lang w:val="en-US" w:eastAsia="zh-CN"/>
        </w:rPr>
        <w:t>参照</w:t>
      </w:r>
      <w:r>
        <w:rPr>
          <w:rFonts w:hint="default" w:ascii="Times New Roman" w:hAnsi="Times New Roman" w:eastAsia="宋体" w:cs="Times New Roman"/>
          <w:color w:val="auto"/>
          <w:highlight w:val="none"/>
          <w:lang w:eastAsia="zh-CN"/>
        </w:rPr>
        <w:t>《地下水质量标准》（GB/T14848-2017）中关于地下水质量划分的规定。</w:t>
      </w:r>
    </w:p>
    <w:p w14:paraId="3CE6520F">
      <w:pPr>
        <w:pStyle w:val="41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地下水环境执行《地下水质量标准》（GB/T14848-2017）Ⅲ类标准。</w:t>
      </w:r>
    </w:p>
    <w:p w14:paraId="14C918F2">
      <w:pPr>
        <w:pStyle w:val="5"/>
        <w:bidi w:val="0"/>
        <w:ind w:left="452" w:leftChars="0" w:firstLine="0" w:firstLineChars="0"/>
        <w:rPr>
          <w:rFonts w:hint="default"/>
          <w:color w:val="auto"/>
          <w:highlight w:val="none"/>
        </w:rPr>
      </w:pPr>
      <w:r>
        <w:rPr>
          <w:rFonts w:hint="default"/>
          <w:color w:val="auto"/>
          <w:highlight w:val="none"/>
        </w:rPr>
        <w:t>声环境功能区划</w:t>
      </w:r>
    </w:p>
    <w:p w14:paraId="0C1381FF">
      <w:pPr>
        <w:pStyle w:val="41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项目所在地位于</w:t>
      </w:r>
      <w:r>
        <w:rPr>
          <w:rFonts w:hint="default" w:ascii="Times New Roman" w:hAnsi="Times New Roman" w:cs="Times New Roman"/>
          <w:color w:val="auto"/>
          <w:highlight w:val="none"/>
          <w:lang w:eastAsia="zh-CN"/>
        </w:rPr>
        <w:t>钦州市自贸试验区钦州港片区和谐大街以南，大榄坪大街以北，友谊大道以东区域</w:t>
      </w: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eastAsia="zh-CN"/>
        </w:rPr>
        <w:t>钦州市</w:t>
      </w:r>
      <w:r>
        <w:rPr>
          <w:rFonts w:hint="default" w:ascii="Times New Roman" w:hAnsi="Times New Roman" w:cs="Times New Roman"/>
          <w:color w:val="auto"/>
          <w:highlight w:val="none"/>
        </w:rPr>
        <w:t>人民政府办公室关于印发</w:t>
      </w:r>
      <w:r>
        <w:rPr>
          <w:rFonts w:hint="default" w:ascii="Times New Roman" w:hAnsi="Times New Roman" w:cs="Times New Roman"/>
          <w:color w:val="auto"/>
          <w:highlight w:val="none"/>
          <w:lang w:eastAsia="zh-CN"/>
        </w:rPr>
        <w:t>钦州市</w:t>
      </w:r>
      <w:r>
        <w:rPr>
          <w:rFonts w:hint="default" w:ascii="Times New Roman" w:hAnsi="Times New Roman" w:cs="Times New Roman"/>
          <w:color w:val="auto"/>
          <w:highlight w:val="none"/>
        </w:rPr>
        <w:t>声环境功能区划</w:t>
      </w:r>
      <w:r>
        <w:rPr>
          <w:rFonts w:hint="default" w:ascii="Times New Roman" w:hAnsi="Times New Roman" w:cs="Times New Roman"/>
          <w:color w:val="auto"/>
          <w:highlight w:val="none"/>
          <w:lang w:eastAsia="zh-CN"/>
        </w:rPr>
        <w:t>的</w:t>
      </w:r>
      <w:r>
        <w:rPr>
          <w:rFonts w:hint="default" w:ascii="Times New Roman" w:hAnsi="Times New Roman" w:cs="Times New Roman"/>
          <w:color w:val="auto"/>
          <w:highlight w:val="none"/>
        </w:rPr>
        <w:t>通知》（</w:t>
      </w:r>
      <w:r>
        <w:rPr>
          <w:rFonts w:hint="default" w:ascii="Times New Roman" w:hAnsi="Times New Roman" w:cs="Times New Roman"/>
          <w:color w:val="auto"/>
          <w:highlight w:val="none"/>
          <w:lang w:eastAsia="zh-CN"/>
        </w:rPr>
        <w:t>钦</w:t>
      </w:r>
      <w:r>
        <w:rPr>
          <w:rFonts w:hint="default" w:ascii="Times New Roman" w:hAnsi="Times New Roman" w:cs="Times New Roman"/>
          <w:color w:val="auto"/>
          <w:highlight w:val="none"/>
        </w:rPr>
        <w:t>政办</w:t>
      </w:r>
      <w:r>
        <w:rPr>
          <w:rFonts w:hint="default" w:ascii="Times New Roman" w:hAnsi="Times New Roman" w:cs="Times New Roman"/>
          <w:color w:val="auto"/>
          <w:highlight w:val="none"/>
          <w:lang w:eastAsia="zh-CN"/>
        </w:rPr>
        <w:t>规</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2023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11</w:t>
      </w:r>
      <w:r>
        <w:rPr>
          <w:rFonts w:hint="default" w:ascii="Times New Roman" w:hAnsi="Times New Roman" w:cs="Times New Roman"/>
          <w:color w:val="auto"/>
          <w:highlight w:val="none"/>
        </w:rPr>
        <w:t>号），</w:t>
      </w:r>
      <w:r>
        <w:rPr>
          <w:rFonts w:hint="default" w:ascii="Times New Roman" w:hAnsi="Times New Roman" w:cs="Times New Roman"/>
          <w:color w:val="auto"/>
          <w:highlight w:val="none"/>
          <w:lang w:eastAsia="zh-CN"/>
        </w:rPr>
        <w:t>锦绣大道为交通干线城市次干道为</w:t>
      </w:r>
      <w:r>
        <w:rPr>
          <w:rFonts w:hint="default" w:ascii="Times New Roman" w:hAnsi="Times New Roman" w:cs="Times New Roman"/>
          <w:color w:val="auto"/>
          <w:highlight w:val="none"/>
          <w:lang w:val="en-US" w:eastAsia="zh-CN"/>
        </w:rPr>
        <w:t>4a类功能区，</w:t>
      </w:r>
      <w:r>
        <w:rPr>
          <w:rFonts w:hint="default" w:ascii="Times New Roman" w:hAnsi="Times New Roman" w:cs="Times New Roman"/>
          <w:color w:val="auto"/>
          <w:highlight w:val="none"/>
          <w:lang w:eastAsia="zh-CN"/>
        </w:rPr>
        <w:t>区域</w:t>
      </w:r>
      <w:r>
        <w:rPr>
          <w:rFonts w:hint="default" w:ascii="Times New Roman" w:hAnsi="Times New Roman" w:cs="Times New Roman"/>
          <w:color w:val="auto"/>
          <w:highlight w:val="none"/>
        </w:rPr>
        <w:t>属于</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类声环境功能区</w:t>
      </w:r>
      <w:r>
        <w:rPr>
          <w:rFonts w:hint="eastAsia" w:ascii="Times New Roman" w:hAnsi="Times New Roman" w:cs="Times New Roman"/>
          <w:color w:val="auto"/>
          <w:highlight w:val="none"/>
          <w:lang w:eastAsia="zh-CN"/>
        </w:rPr>
        <w:t>。</w:t>
      </w:r>
    </w:p>
    <w:p w14:paraId="3B67B125">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根据《声环境功能区划分技术规范》(GBT 15190–2014)，相邻区域为</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类声环境功能区时，</w:t>
      </w:r>
      <w:r>
        <w:rPr>
          <w:rFonts w:hint="default" w:ascii="Times New Roman" w:hAnsi="Times New Roman" w:cs="Times New Roman"/>
          <w:color w:val="auto"/>
          <w:highlight w:val="none"/>
          <w:lang w:eastAsia="zh-CN"/>
        </w:rPr>
        <w:t>将交通干线边界线外一定距离内的区域划分为</w:t>
      </w:r>
      <w:r>
        <w:rPr>
          <w:rFonts w:hint="default" w:ascii="Times New Roman" w:hAnsi="Times New Roman" w:cs="Times New Roman"/>
          <w:color w:val="auto"/>
          <w:highlight w:val="none"/>
          <w:lang w:val="en-US" w:eastAsia="zh-CN"/>
        </w:rPr>
        <w:t>4a类声环境功能区，相邻区域为3类声环境功能区，距离为35±5m</w:t>
      </w:r>
      <w:r>
        <w:rPr>
          <w:rFonts w:hint="default" w:ascii="Times New Roman" w:hAnsi="Times New Roman" w:cs="Times New Roman"/>
          <w:color w:val="auto"/>
          <w:highlight w:val="none"/>
        </w:rPr>
        <w:t>。</w:t>
      </w:r>
    </w:p>
    <w:p w14:paraId="075EDC8A">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eastAsia="zh-CN"/>
        </w:rPr>
        <w:t>所在锦绣大道两侧</w:t>
      </w:r>
      <w:r>
        <w:rPr>
          <w:rFonts w:hint="default" w:ascii="Times New Roman" w:hAnsi="Times New Roman" w:cs="Times New Roman"/>
          <w:color w:val="auto"/>
          <w:highlight w:val="none"/>
          <w:lang w:val="en-US" w:eastAsia="zh-CN"/>
        </w:rPr>
        <w:t>35米范围内为</w:t>
      </w:r>
      <w:r>
        <w:rPr>
          <w:rFonts w:hint="default" w:ascii="Times New Roman" w:hAnsi="Times New Roman" w:cs="Times New Roman"/>
          <w:color w:val="auto"/>
          <w:highlight w:val="none"/>
        </w:rPr>
        <w:t>4a类声环境功能区</w:t>
      </w:r>
      <w:r>
        <w:rPr>
          <w:rFonts w:hint="default" w:ascii="Times New Roman" w:hAnsi="Times New Roman" w:cs="Times New Roman"/>
          <w:color w:val="auto"/>
          <w:highlight w:val="none"/>
          <w:lang w:eastAsia="zh-CN"/>
        </w:rPr>
        <w:t>，锦绣大道两侧</w:t>
      </w:r>
      <w:r>
        <w:rPr>
          <w:rFonts w:hint="default" w:ascii="Times New Roman" w:hAnsi="Times New Roman" w:cs="Times New Roman"/>
          <w:color w:val="auto"/>
          <w:highlight w:val="none"/>
          <w:lang w:val="en-US" w:eastAsia="zh-CN"/>
        </w:rPr>
        <w:t>35米范围外</w:t>
      </w:r>
      <w:r>
        <w:rPr>
          <w:rFonts w:hint="default" w:ascii="Times New Roman" w:hAnsi="Times New Roman" w:cs="Times New Roman"/>
          <w:color w:val="auto"/>
          <w:highlight w:val="none"/>
        </w:rPr>
        <w:t>区域为</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类声环境功能区。</w:t>
      </w:r>
    </w:p>
    <w:p w14:paraId="6345017C">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锦绣大道两侧</w:t>
      </w:r>
      <w:r>
        <w:rPr>
          <w:rFonts w:hint="default" w:ascii="Times New Roman" w:hAnsi="Times New Roman" w:cs="Times New Roman"/>
          <w:color w:val="auto"/>
          <w:highlight w:val="none"/>
          <w:lang w:val="en-US" w:eastAsia="zh-CN"/>
        </w:rPr>
        <w:t>35米范围</w:t>
      </w:r>
      <w:r>
        <w:rPr>
          <w:rFonts w:hint="eastAsia" w:ascii="Times New Roman" w:hAnsi="Times New Roman" w:cs="Times New Roman"/>
          <w:color w:val="auto"/>
          <w:highlight w:val="none"/>
          <w:lang w:val="en-US" w:eastAsia="zh-CN"/>
        </w:rPr>
        <w:t>外执行</w:t>
      </w:r>
      <w:r>
        <w:rPr>
          <w:rFonts w:hint="default" w:ascii="Times New Roman" w:hAnsi="Times New Roman" w:cs="Times New Roman"/>
          <w:color w:val="auto"/>
          <w:spacing w:val="-4"/>
          <w:highlight w:val="none"/>
        </w:rPr>
        <w:t>《声环境质量标准》（GB3096-2008）</w:t>
      </w:r>
      <w:r>
        <w:rPr>
          <w:rFonts w:hint="eastAsia" w:ascii="Times New Roman" w:hAnsi="Times New Roman" w:cs="Times New Roman"/>
          <w:color w:val="auto"/>
          <w:spacing w:val="-4"/>
          <w:highlight w:val="none"/>
          <w:lang w:val="en-US" w:eastAsia="zh-CN"/>
        </w:rPr>
        <w:t>2类标准</w:t>
      </w:r>
      <w:r>
        <w:rPr>
          <w:rFonts w:hint="eastAsia" w:ascii="Times New Roman" w:hAnsi="Times New Roman" w:cs="Times New Roman"/>
          <w:color w:val="auto"/>
          <w:spacing w:val="-4"/>
          <w:highlight w:val="none"/>
          <w:lang w:eastAsia="zh-CN"/>
        </w:rPr>
        <w:t>，锦绣大道两侧35米范围</w:t>
      </w:r>
      <w:r>
        <w:rPr>
          <w:rFonts w:hint="eastAsia" w:ascii="Times New Roman" w:hAnsi="Times New Roman" w:cs="Times New Roman"/>
          <w:color w:val="auto"/>
          <w:spacing w:val="-4"/>
          <w:highlight w:val="none"/>
          <w:lang w:val="en-US" w:eastAsia="zh-CN"/>
        </w:rPr>
        <w:t>内</w:t>
      </w:r>
      <w:r>
        <w:rPr>
          <w:rFonts w:hint="eastAsia" w:ascii="Times New Roman" w:hAnsi="Times New Roman" w:cs="Times New Roman"/>
          <w:color w:val="auto"/>
          <w:spacing w:val="-4"/>
          <w:highlight w:val="none"/>
          <w:lang w:eastAsia="zh-CN"/>
        </w:rPr>
        <w:t>区域及敏感保护目标执行</w:t>
      </w:r>
      <w:r>
        <w:rPr>
          <w:rFonts w:hint="default" w:ascii="Times New Roman" w:hAnsi="Times New Roman" w:cs="Times New Roman"/>
          <w:color w:val="auto"/>
          <w:spacing w:val="-4"/>
          <w:highlight w:val="none"/>
        </w:rPr>
        <w:t>《声环境质量标准》（GB3096-2008）</w:t>
      </w:r>
      <w:r>
        <w:rPr>
          <w:rFonts w:hint="eastAsia" w:ascii="Times New Roman" w:hAnsi="Times New Roman" w:cs="Times New Roman"/>
          <w:color w:val="auto"/>
          <w:spacing w:val="-4"/>
          <w:highlight w:val="none"/>
          <w:lang w:val="en-US" w:eastAsia="zh-CN"/>
        </w:rPr>
        <w:t>4a类标准。</w:t>
      </w:r>
    </w:p>
    <w:p w14:paraId="602762D7">
      <w:pPr>
        <w:pStyle w:val="4"/>
        <w:bidi w:val="0"/>
        <w:ind w:left="678" w:leftChars="0" w:firstLine="0" w:firstLineChars="0"/>
        <w:rPr>
          <w:rFonts w:hint="default"/>
          <w:color w:val="auto"/>
          <w:highlight w:val="none"/>
        </w:rPr>
      </w:pPr>
      <w:bookmarkStart w:id="9" w:name="_Toc6037"/>
      <w:r>
        <w:rPr>
          <w:rFonts w:hint="default"/>
          <w:color w:val="auto"/>
          <w:highlight w:val="none"/>
        </w:rPr>
        <w:t>评价标准</w:t>
      </w:r>
      <w:bookmarkEnd w:id="9"/>
    </w:p>
    <w:p w14:paraId="067136CE">
      <w:pPr>
        <w:pStyle w:val="5"/>
        <w:bidi w:val="0"/>
        <w:ind w:left="452" w:leftChars="0" w:firstLine="0" w:firstLineChars="0"/>
        <w:rPr>
          <w:rFonts w:hint="default"/>
          <w:color w:val="auto"/>
          <w:highlight w:val="none"/>
        </w:rPr>
      </w:pPr>
      <w:r>
        <w:rPr>
          <w:rFonts w:hint="default"/>
          <w:color w:val="auto"/>
          <w:highlight w:val="none"/>
        </w:rPr>
        <w:t>环境质量标准</w:t>
      </w:r>
    </w:p>
    <w:p w14:paraId="20FD1450">
      <w:pPr>
        <w:pStyle w:val="6"/>
        <w:bidi w:val="0"/>
        <w:ind w:left="0" w:leftChars="0" w:firstLine="0" w:firstLineChars="0"/>
        <w:rPr>
          <w:rFonts w:hint="default"/>
          <w:color w:val="auto"/>
          <w:highlight w:val="none"/>
        </w:rPr>
      </w:pPr>
      <w:r>
        <w:rPr>
          <w:rFonts w:hint="default"/>
          <w:color w:val="auto"/>
          <w:highlight w:val="none"/>
        </w:rPr>
        <w:t>空气质量评价标准</w:t>
      </w:r>
    </w:p>
    <w:p w14:paraId="0AFDECD4">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根据大气环境功能区划，评价区域环境空气质量功能区涉及二类区，TSP、PM</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2.5</w:t>
      </w: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、CO、O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执行《环境空气质量标准》（GB3095-2012）及其修改单中二级标准。具体标准限值见</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_Ref95298781 \r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表1.3-1</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w:t>
      </w:r>
    </w:p>
    <w:p w14:paraId="4124FAD3">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bookmarkStart w:id="10" w:name="_Ref95298781"/>
      <w:r>
        <w:rPr>
          <w:rFonts w:hint="default"/>
          <w:color w:val="auto"/>
          <w:highlight w:val="none"/>
        </w:rPr>
        <w:t>环境空气质量标准（GB3095-2012）</w:t>
      </w:r>
      <w:bookmarkEnd w:id="10"/>
    </w:p>
    <w:tbl>
      <w:tblPr>
        <w:tblStyle w:val="8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58"/>
        <w:gridCol w:w="1843"/>
        <w:gridCol w:w="2126"/>
        <w:gridCol w:w="2170"/>
        <w:gridCol w:w="1829"/>
      </w:tblGrid>
      <w:tr w14:paraId="33C808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1058" w:type="dxa"/>
            <w:noWrap w:val="0"/>
            <w:vAlign w:val="center"/>
          </w:tcPr>
          <w:p w14:paraId="3A994D6E">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项目</w:t>
            </w:r>
          </w:p>
        </w:tc>
        <w:tc>
          <w:tcPr>
            <w:tcW w:w="1843" w:type="dxa"/>
            <w:noWrap w:val="0"/>
            <w:vAlign w:val="center"/>
          </w:tcPr>
          <w:p w14:paraId="03BCB433">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取值时间</w:t>
            </w:r>
          </w:p>
        </w:tc>
        <w:tc>
          <w:tcPr>
            <w:tcW w:w="2126" w:type="dxa"/>
            <w:noWrap w:val="0"/>
            <w:vAlign w:val="center"/>
          </w:tcPr>
          <w:p w14:paraId="1E184C15">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一级浓度限值（μg/m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tc>
        <w:tc>
          <w:tcPr>
            <w:tcW w:w="2170" w:type="dxa"/>
            <w:noWrap w:val="0"/>
            <w:vAlign w:val="top"/>
          </w:tcPr>
          <w:p w14:paraId="5CA8DB81">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二级浓度限值（μg/m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tc>
        <w:tc>
          <w:tcPr>
            <w:tcW w:w="1829" w:type="dxa"/>
            <w:noWrap w:val="0"/>
            <w:vAlign w:val="center"/>
          </w:tcPr>
          <w:p w14:paraId="40BE5D35">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选用标准</w:t>
            </w:r>
          </w:p>
        </w:tc>
      </w:tr>
      <w:tr w14:paraId="29B342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8" w:type="dxa"/>
            <w:vMerge w:val="restart"/>
            <w:noWrap w:val="0"/>
            <w:vAlign w:val="center"/>
          </w:tcPr>
          <w:p w14:paraId="795B60AC">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2</w:t>
            </w:r>
          </w:p>
        </w:tc>
        <w:tc>
          <w:tcPr>
            <w:tcW w:w="1843" w:type="dxa"/>
            <w:noWrap w:val="0"/>
            <w:vAlign w:val="center"/>
          </w:tcPr>
          <w:p w14:paraId="1DAD6BBC">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w:t>
            </w:r>
          </w:p>
        </w:tc>
        <w:tc>
          <w:tcPr>
            <w:tcW w:w="2126" w:type="dxa"/>
            <w:noWrap w:val="0"/>
            <w:vAlign w:val="center"/>
          </w:tcPr>
          <w:p w14:paraId="16168AB0">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20</w:t>
            </w:r>
          </w:p>
        </w:tc>
        <w:tc>
          <w:tcPr>
            <w:tcW w:w="2170" w:type="dxa"/>
            <w:noWrap w:val="0"/>
            <w:vAlign w:val="center"/>
          </w:tcPr>
          <w:p w14:paraId="57F175A4">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60</w:t>
            </w:r>
          </w:p>
        </w:tc>
        <w:tc>
          <w:tcPr>
            <w:tcW w:w="1829" w:type="dxa"/>
            <w:vMerge w:val="restart"/>
            <w:noWrap w:val="0"/>
            <w:vAlign w:val="center"/>
          </w:tcPr>
          <w:p w14:paraId="3C72AA68">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《环境空气质量标准》</w:t>
            </w:r>
          </w:p>
          <w:p w14:paraId="64A3D9C6">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（GB3095－2012）及其修改单</w:t>
            </w:r>
          </w:p>
        </w:tc>
      </w:tr>
      <w:tr w14:paraId="12160C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8" w:type="dxa"/>
            <w:vMerge w:val="continue"/>
            <w:noWrap w:val="0"/>
            <w:vAlign w:val="center"/>
          </w:tcPr>
          <w:p w14:paraId="048AB7B1">
            <w:pPr>
              <w:pStyle w:val="698"/>
              <w:rPr>
                <w:rFonts w:hint="default" w:ascii="Times New Roman" w:hAnsi="Times New Roman" w:cs="Times New Roman"/>
                <w:color w:val="auto"/>
                <w:highlight w:val="none"/>
              </w:rPr>
            </w:pPr>
          </w:p>
        </w:tc>
        <w:tc>
          <w:tcPr>
            <w:tcW w:w="1843" w:type="dxa"/>
            <w:noWrap w:val="0"/>
            <w:vAlign w:val="center"/>
          </w:tcPr>
          <w:p w14:paraId="13BF2B77">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24小时平均</w:t>
            </w:r>
          </w:p>
        </w:tc>
        <w:tc>
          <w:tcPr>
            <w:tcW w:w="2126" w:type="dxa"/>
            <w:noWrap w:val="0"/>
            <w:vAlign w:val="center"/>
          </w:tcPr>
          <w:p w14:paraId="210280F3">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50</w:t>
            </w:r>
          </w:p>
        </w:tc>
        <w:tc>
          <w:tcPr>
            <w:tcW w:w="2170" w:type="dxa"/>
            <w:noWrap w:val="0"/>
            <w:vAlign w:val="center"/>
          </w:tcPr>
          <w:p w14:paraId="1C735E1E">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150</w:t>
            </w:r>
          </w:p>
        </w:tc>
        <w:tc>
          <w:tcPr>
            <w:tcW w:w="1829" w:type="dxa"/>
            <w:vMerge w:val="continue"/>
            <w:noWrap w:val="0"/>
            <w:vAlign w:val="center"/>
          </w:tcPr>
          <w:p w14:paraId="06F5559B">
            <w:pPr>
              <w:pStyle w:val="698"/>
              <w:rPr>
                <w:rFonts w:hint="default" w:ascii="Times New Roman" w:hAnsi="Times New Roman" w:cs="Times New Roman"/>
                <w:color w:val="auto"/>
                <w:highlight w:val="none"/>
              </w:rPr>
            </w:pPr>
          </w:p>
        </w:tc>
      </w:tr>
      <w:tr w14:paraId="50020D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8" w:type="dxa"/>
            <w:vMerge w:val="continue"/>
            <w:noWrap w:val="0"/>
            <w:vAlign w:val="center"/>
          </w:tcPr>
          <w:p w14:paraId="72B25D00">
            <w:pPr>
              <w:pStyle w:val="698"/>
              <w:rPr>
                <w:rFonts w:hint="default" w:ascii="Times New Roman" w:hAnsi="Times New Roman" w:cs="Times New Roman"/>
                <w:color w:val="auto"/>
                <w:highlight w:val="none"/>
              </w:rPr>
            </w:pPr>
          </w:p>
        </w:tc>
        <w:tc>
          <w:tcPr>
            <w:tcW w:w="1843" w:type="dxa"/>
            <w:noWrap w:val="0"/>
            <w:vAlign w:val="center"/>
          </w:tcPr>
          <w:p w14:paraId="0CA201C9">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1小时平均</w:t>
            </w:r>
          </w:p>
        </w:tc>
        <w:tc>
          <w:tcPr>
            <w:tcW w:w="2126" w:type="dxa"/>
            <w:noWrap w:val="0"/>
            <w:vAlign w:val="center"/>
          </w:tcPr>
          <w:p w14:paraId="525FCD68">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150</w:t>
            </w:r>
          </w:p>
        </w:tc>
        <w:tc>
          <w:tcPr>
            <w:tcW w:w="2170" w:type="dxa"/>
            <w:noWrap w:val="0"/>
            <w:vAlign w:val="center"/>
          </w:tcPr>
          <w:p w14:paraId="77261FEC">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500</w:t>
            </w:r>
          </w:p>
        </w:tc>
        <w:tc>
          <w:tcPr>
            <w:tcW w:w="1829" w:type="dxa"/>
            <w:vMerge w:val="continue"/>
            <w:noWrap w:val="0"/>
            <w:vAlign w:val="center"/>
          </w:tcPr>
          <w:p w14:paraId="7C7FEEB9">
            <w:pPr>
              <w:pStyle w:val="698"/>
              <w:rPr>
                <w:rFonts w:hint="default" w:ascii="Times New Roman" w:hAnsi="Times New Roman" w:cs="Times New Roman"/>
                <w:color w:val="auto"/>
                <w:highlight w:val="none"/>
              </w:rPr>
            </w:pPr>
          </w:p>
        </w:tc>
      </w:tr>
      <w:tr w14:paraId="130D97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8" w:type="dxa"/>
            <w:vMerge w:val="restart"/>
            <w:noWrap w:val="0"/>
            <w:vAlign w:val="center"/>
          </w:tcPr>
          <w:p w14:paraId="388334C9">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rPr>
              <w:t>2</w:t>
            </w:r>
          </w:p>
        </w:tc>
        <w:tc>
          <w:tcPr>
            <w:tcW w:w="1843" w:type="dxa"/>
            <w:noWrap w:val="0"/>
            <w:vAlign w:val="center"/>
          </w:tcPr>
          <w:p w14:paraId="65F8E1A3">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w:t>
            </w:r>
          </w:p>
        </w:tc>
        <w:tc>
          <w:tcPr>
            <w:tcW w:w="2126" w:type="dxa"/>
            <w:noWrap w:val="0"/>
            <w:vAlign w:val="center"/>
          </w:tcPr>
          <w:p w14:paraId="368BAFF1">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40</w:t>
            </w:r>
          </w:p>
        </w:tc>
        <w:tc>
          <w:tcPr>
            <w:tcW w:w="2170" w:type="dxa"/>
            <w:noWrap w:val="0"/>
            <w:vAlign w:val="center"/>
          </w:tcPr>
          <w:p w14:paraId="5D7E010B">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40</w:t>
            </w:r>
          </w:p>
        </w:tc>
        <w:tc>
          <w:tcPr>
            <w:tcW w:w="1829" w:type="dxa"/>
            <w:vMerge w:val="continue"/>
            <w:noWrap w:val="0"/>
            <w:vAlign w:val="center"/>
          </w:tcPr>
          <w:p w14:paraId="2904B526">
            <w:pPr>
              <w:pStyle w:val="698"/>
              <w:rPr>
                <w:rFonts w:hint="default" w:ascii="Times New Roman" w:hAnsi="Times New Roman" w:cs="Times New Roman"/>
                <w:color w:val="auto"/>
                <w:highlight w:val="none"/>
              </w:rPr>
            </w:pPr>
          </w:p>
        </w:tc>
      </w:tr>
      <w:tr w14:paraId="35ECDE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8" w:type="dxa"/>
            <w:vMerge w:val="continue"/>
            <w:noWrap w:val="0"/>
            <w:vAlign w:val="center"/>
          </w:tcPr>
          <w:p w14:paraId="5F0E97CF">
            <w:pPr>
              <w:pStyle w:val="698"/>
              <w:rPr>
                <w:rFonts w:hint="default" w:ascii="Times New Roman" w:hAnsi="Times New Roman" w:cs="Times New Roman"/>
                <w:color w:val="auto"/>
                <w:highlight w:val="none"/>
              </w:rPr>
            </w:pPr>
          </w:p>
        </w:tc>
        <w:tc>
          <w:tcPr>
            <w:tcW w:w="1843" w:type="dxa"/>
            <w:noWrap w:val="0"/>
            <w:vAlign w:val="center"/>
          </w:tcPr>
          <w:p w14:paraId="2F773495">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24小时平均</w:t>
            </w:r>
          </w:p>
        </w:tc>
        <w:tc>
          <w:tcPr>
            <w:tcW w:w="2126" w:type="dxa"/>
            <w:noWrap w:val="0"/>
            <w:vAlign w:val="center"/>
          </w:tcPr>
          <w:p w14:paraId="498CB5F7">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80</w:t>
            </w:r>
          </w:p>
        </w:tc>
        <w:tc>
          <w:tcPr>
            <w:tcW w:w="2170" w:type="dxa"/>
            <w:noWrap w:val="0"/>
            <w:vAlign w:val="center"/>
          </w:tcPr>
          <w:p w14:paraId="028B6A6F">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80</w:t>
            </w:r>
          </w:p>
        </w:tc>
        <w:tc>
          <w:tcPr>
            <w:tcW w:w="1829" w:type="dxa"/>
            <w:vMerge w:val="continue"/>
            <w:noWrap w:val="0"/>
            <w:vAlign w:val="center"/>
          </w:tcPr>
          <w:p w14:paraId="1336C9BE">
            <w:pPr>
              <w:pStyle w:val="698"/>
              <w:rPr>
                <w:rFonts w:hint="default" w:ascii="Times New Roman" w:hAnsi="Times New Roman" w:cs="Times New Roman"/>
                <w:color w:val="auto"/>
                <w:highlight w:val="none"/>
              </w:rPr>
            </w:pPr>
          </w:p>
        </w:tc>
      </w:tr>
      <w:tr w14:paraId="66775E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8" w:type="dxa"/>
            <w:vMerge w:val="continue"/>
            <w:noWrap w:val="0"/>
            <w:vAlign w:val="center"/>
          </w:tcPr>
          <w:p w14:paraId="2AE9EF62">
            <w:pPr>
              <w:pStyle w:val="698"/>
              <w:rPr>
                <w:rFonts w:hint="default" w:ascii="Times New Roman" w:hAnsi="Times New Roman" w:cs="Times New Roman"/>
                <w:color w:val="auto"/>
                <w:highlight w:val="none"/>
              </w:rPr>
            </w:pPr>
          </w:p>
        </w:tc>
        <w:tc>
          <w:tcPr>
            <w:tcW w:w="1843" w:type="dxa"/>
            <w:noWrap w:val="0"/>
            <w:vAlign w:val="center"/>
          </w:tcPr>
          <w:p w14:paraId="51B4B562">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1小时平均</w:t>
            </w:r>
          </w:p>
        </w:tc>
        <w:tc>
          <w:tcPr>
            <w:tcW w:w="2126" w:type="dxa"/>
            <w:noWrap w:val="0"/>
            <w:vAlign w:val="center"/>
          </w:tcPr>
          <w:p w14:paraId="1F35452D">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200</w:t>
            </w:r>
          </w:p>
        </w:tc>
        <w:tc>
          <w:tcPr>
            <w:tcW w:w="2170" w:type="dxa"/>
            <w:noWrap w:val="0"/>
            <w:vAlign w:val="center"/>
          </w:tcPr>
          <w:p w14:paraId="7CA6E6F2">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200</w:t>
            </w:r>
          </w:p>
        </w:tc>
        <w:tc>
          <w:tcPr>
            <w:tcW w:w="1829" w:type="dxa"/>
            <w:vMerge w:val="continue"/>
            <w:noWrap w:val="0"/>
            <w:vAlign w:val="center"/>
          </w:tcPr>
          <w:p w14:paraId="578F3C03">
            <w:pPr>
              <w:pStyle w:val="698"/>
              <w:rPr>
                <w:rFonts w:hint="default" w:ascii="Times New Roman" w:hAnsi="Times New Roman" w:cs="Times New Roman"/>
                <w:color w:val="auto"/>
                <w:highlight w:val="none"/>
              </w:rPr>
            </w:pPr>
          </w:p>
        </w:tc>
      </w:tr>
      <w:tr w14:paraId="396ED6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8" w:type="dxa"/>
            <w:vMerge w:val="restart"/>
            <w:noWrap w:val="0"/>
            <w:vAlign w:val="center"/>
          </w:tcPr>
          <w:p w14:paraId="53A1145C">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CO</w:t>
            </w:r>
          </w:p>
        </w:tc>
        <w:tc>
          <w:tcPr>
            <w:tcW w:w="1843" w:type="dxa"/>
            <w:noWrap w:val="0"/>
            <w:vAlign w:val="center"/>
          </w:tcPr>
          <w:p w14:paraId="47C35F97">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24小时平均</w:t>
            </w:r>
          </w:p>
        </w:tc>
        <w:tc>
          <w:tcPr>
            <w:tcW w:w="2126" w:type="dxa"/>
            <w:noWrap w:val="0"/>
            <w:vAlign w:val="center"/>
          </w:tcPr>
          <w:p w14:paraId="3EAB4B1D">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4（mg/m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tc>
        <w:tc>
          <w:tcPr>
            <w:tcW w:w="2170" w:type="dxa"/>
            <w:noWrap w:val="0"/>
            <w:vAlign w:val="center"/>
          </w:tcPr>
          <w:p w14:paraId="6ECAAFCB">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4（mg/m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tc>
        <w:tc>
          <w:tcPr>
            <w:tcW w:w="1829" w:type="dxa"/>
            <w:vMerge w:val="continue"/>
            <w:noWrap w:val="0"/>
            <w:vAlign w:val="center"/>
          </w:tcPr>
          <w:p w14:paraId="00000BBB">
            <w:pPr>
              <w:pStyle w:val="698"/>
              <w:rPr>
                <w:rFonts w:hint="default" w:ascii="Times New Roman" w:hAnsi="Times New Roman" w:cs="Times New Roman"/>
                <w:color w:val="auto"/>
                <w:highlight w:val="none"/>
              </w:rPr>
            </w:pPr>
          </w:p>
        </w:tc>
      </w:tr>
      <w:tr w14:paraId="69822F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8" w:type="dxa"/>
            <w:vMerge w:val="continue"/>
            <w:noWrap w:val="0"/>
            <w:vAlign w:val="center"/>
          </w:tcPr>
          <w:p w14:paraId="68D80A71">
            <w:pPr>
              <w:pStyle w:val="698"/>
              <w:rPr>
                <w:rFonts w:hint="default" w:ascii="Times New Roman" w:hAnsi="Times New Roman" w:cs="Times New Roman"/>
                <w:color w:val="auto"/>
                <w:highlight w:val="none"/>
              </w:rPr>
            </w:pPr>
          </w:p>
        </w:tc>
        <w:tc>
          <w:tcPr>
            <w:tcW w:w="1843" w:type="dxa"/>
            <w:noWrap w:val="0"/>
            <w:vAlign w:val="center"/>
          </w:tcPr>
          <w:p w14:paraId="40963879">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1小时平均</w:t>
            </w:r>
          </w:p>
        </w:tc>
        <w:tc>
          <w:tcPr>
            <w:tcW w:w="2126" w:type="dxa"/>
            <w:noWrap w:val="0"/>
            <w:vAlign w:val="center"/>
          </w:tcPr>
          <w:p w14:paraId="7BEECA13">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10（mg/m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tc>
        <w:tc>
          <w:tcPr>
            <w:tcW w:w="2170" w:type="dxa"/>
            <w:noWrap w:val="0"/>
            <w:vAlign w:val="center"/>
          </w:tcPr>
          <w:p w14:paraId="49DB0114">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10（mg/m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tc>
        <w:tc>
          <w:tcPr>
            <w:tcW w:w="1829" w:type="dxa"/>
            <w:vMerge w:val="continue"/>
            <w:noWrap w:val="0"/>
            <w:vAlign w:val="center"/>
          </w:tcPr>
          <w:p w14:paraId="50846E45">
            <w:pPr>
              <w:pStyle w:val="698"/>
              <w:rPr>
                <w:rFonts w:hint="default" w:ascii="Times New Roman" w:hAnsi="Times New Roman" w:cs="Times New Roman"/>
                <w:color w:val="auto"/>
                <w:highlight w:val="none"/>
              </w:rPr>
            </w:pPr>
          </w:p>
        </w:tc>
      </w:tr>
      <w:tr w14:paraId="4F7A2C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8" w:type="dxa"/>
            <w:vMerge w:val="restart"/>
            <w:noWrap w:val="0"/>
            <w:vAlign w:val="center"/>
          </w:tcPr>
          <w:p w14:paraId="3E2468D6">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O</w:t>
            </w:r>
            <w:r>
              <w:rPr>
                <w:rFonts w:hint="default" w:ascii="Times New Roman" w:hAnsi="Times New Roman" w:cs="Times New Roman"/>
                <w:color w:val="auto"/>
                <w:highlight w:val="none"/>
                <w:vertAlign w:val="subscript"/>
              </w:rPr>
              <w:t>3</w:t>
            </w:r>
          </w:p>
        </w:tc>
        <w:tc>
          <w:tcPr>
            <w:tcW w:w="1843" w:type="dxa"/>
            <w:noWrap w:val="0"/>
            <w:vAlign w:val="center"/>
          </w:tcPr>
          <w:p w14:paraId="212754E1">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日最大8小时平均</w:t>
            </w:r>
          </w:p>
        </w:tc>
        <w:tc>
          <w:tcPr>
            <w:tcW w:w="2126" w:type="dxa"/>
            <w:noWrap w:val="0"/>
            <w:vAlign w:val="center"/>
          </w:tcPr>
          <w:p w14:paraId="1A508957">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100</w:t>
            </w:r>
          </w:p>
        </w:tc>
        <w:tc>
          <w:tcPr>
            <w:tcW w:w="2170" w:type="dxa"/>
            <w:noWrap w:val="0"/>
            <w:vAlign w:val="center"/>
          </w:tcPr>
          <w:p w14:paraId="727DA036">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160</w:t>
            </w:r>
          </w:p>
        </w:tc>
        <w:tc>
          <w:tcPr>
            <w:tcW w:w="1829" w:type="dxa"/>
            <w:vMerge w:val="continue"/>
            <w:noWrap w:val="0"/>
            <w:vAlign w:val="center"/>
          </w:tcPr>
          <w:p w14:paraId="41834F99">
            <w:pPr>
              <w:pStyle w:val="698"/>
              <w:rPr>
                <w:rFonts w:hint="default" w:ascii="Times New Roman" w:hAnsi="Times New Roman" w:cs="Times New Roman"/>
                <w:color w:val="auto"/>
                <w:highlight w:val="none"/>
              </w:rPr>
            </w:pPr>
          </w:p>
        </w:tc>
      </w:tr>
      <w:tr w14:paraId="085540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8" w:type="dxa"/>
            <w:vMerge w:val="continue"/>
            <w:noWrap w:val="0"/>
            <w:vAlign w:val="center"/>
          </w:tcPr>
          <w:p w14:paraId="08276287">
            <w:pPr>
              <w:pStyle w:val="698"/>
              <w:rPr>
                <w:rFonts w:hint="default" w:ascii="Times New Roman" w:hAnsi="Times New Roman" w:cs="Times New Roman"/>
                <w:color w:val="auto"/>
                <w:highlight w:val="none"/>
              </w:rPr>
            </w:pPr>
          </w:p>
        </w:tc>
        <w:tc>
          <w:tcPr>
            <w:tcW w:w="1843" w:type="dxa"/>
            <w:noWrap w:val="0"/>
            <w:vAlign w:val="center"/>
          </w:tcPr>
          <w:p w14:paraId="12524560">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1小时平均</w:t>
            </w:r>
          </w:p>
        </w:tc>
        <w:tc>
          <w:tcPr>
            <w:tcW w:w="2126" w:type="dxa"/>
            <w:noWrap w:val="0"/>
            <w:vAlign w:val="center"/>
          </w:tcPr>
          <w:p w14:paraId="564EE2C8">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160</w:t>
            </w:r>
          </w:p>
        </w:tc>
        <w:tc>
          <w:tcPr>
            <w:tcW w:w="2170" w:type="dxa"/>
            <w:noWrap w:val="0"/>
            <w:vAlign w:val="center"/>
          </w:tcPr>
          <w:p w14:paraId="358282EC">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200</w:t>
            </w:r>
          </w:p>
        </w:tc>
        <w:tc>
          <w:tcPr>
            <w:tcW w:w="1829" w:type="dxa"/>
            <w:vMerge w:val="continue"/>
            <w:noWrap w:val="0"/>
            <w:vAlign w:val="center"/>
          </w:tcPr>
          <w:p w14:paraId="47B37499">
            <w:pPr>
              <w:pStyle w:val="698"/>
              <w:rPr>
                <w:rFonts w:hint="default" w:ascii="Times New Roman" w:hAnsi="Times New Roman" w:cs="Times New Roman"/>
                <w:color w:val="auto"/>
                <w:highlight w:val="none"/>
              </w:rPr>
            </w:pPr>
          </w:p>
        </w:tc>
      </w:tr>
      <w:tr w14:paraId="0A1CA8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8" w:type="dxa"/>
            <w:vMerge w:val="restart"/>
            <w:noWrap w:val="0"/>
            <w:vAlign w:val="center"/>
          </w:tcPr>
          <w:p w14:paraId="25BD3937">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10</w:t>
            </w:r>
          </w:p>
        </w:tc>
        <w:tc>
          <w:tcPr>
            <w:tcW w:w="1843" w:type="dxa"/>
            <w:noWrap w:val="0"/>
            <w:vAlign w:val="center"/>
          </w:tcPr>
          <w:p w14:paraId="6E38B39C">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w:t>
            </w:r>
          </w:p>
        </w:tc>
        <w:tc>
          <w:tcPr>
            <w:tcW w:w="2126" w:type="dxa"/>
            <w:noWrap w:val="0"/>
            <w:vAlign w:val="center"/>
          </w:tcPr>
          <w:p w14:paraId="559E2AF6">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40</w:t>
            </w:r>
          </w:p>
        </w:tc>
        <w:tc>
          <w:tcPr>
            <w:tcW w:w="2170" w:type="dxa"/>
            <w:noWrap w:val="0"/>
            <w:vAlign w:val="center"/>
          </w:tcPr>
          <w:p w14:paraId="190F5AE7">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70</w:t>
            </w:r>
          </w:p>
        </w:tc>
        <w:tc>
          <w:tcPr>
            <w:tcW w:w="1829" w:type="dxa"/>
            <w:vMerge w:val="continue"/>
            <w:noWrap w:val="0"/>
            <w:vAlign w:val="center"/>
          </w:tcPr>
          <w:p w14:paraId="7E445539">
            <w:pPr>
              <w:pStyle w:val="698"/>
              <w:rPr>
                <w:rFonts w:hint="default" w:ascii="Times New Roman" w:hAnsi="Times New Roman" w:cs="Times New Roman"/>
                <w:color w:val="auto"/>
                <w:highlight w:val="none"/>
              </w:rPr>
            </w:pPr>
          </w:p>
        </w:tc>
      </w:tr>
      <w:tr w14:paraId="6160FC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058" w:type="dxa"/>
            <w:vMerge w:val="continue"/>
            <w:noWrap w:val="0"/>
            <w:vAlign w:val="center"/>
          </w:tcPr>
          <w:p w14:paraId="7DB4E0D2">
            <w:pPr>
              <w:pStyle w:val="698"/>
              <w:rPr>
                <w:rFonts w:hint="default" w:ascii="Times New Roman" w:hAnsi="Times New Roman" w:cs="Times New Roman"/>
                <w:color w:val="auto"/>
                <w:highlight w:val="none"/>
              </w:rPr>
            </w:pPr>
          </w:p>
        </w:tc>
        <w:tc>
          <w:tcPr>
            <w:tcW w:w="1843" w:type="dxa"/>
            <w:noWrap w:val="0"/>
            <w:vAlign w:val="center"/>
          </w:tcPr>
          <w:p w14:paraId="52C1CA68">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24小时平均</w:t>
            </w:r>
          </w:p>
        </w:tc>
        <w:tc>
          <w:tcPr>
            <w:tcW w:w="2126" w:type="dxa"/>
            <w:noWrap w:val="0"/>
            <w:vAlign w:val="center"/>
          </w:tcPr>
          <w:p w14:paraId="41CE3EA5">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50</w:t>
            </w:r>
          </w:p>
        </w:tc>
        <w:tc>
          <w:tcPr>
            <w:tcW w:w="2170" w:type="dxa"/>
            <w:noWrap w:val="0"/>
            <w:vAlign w:val="center"/>
          </w:tcPr>
          <w:p w14:paraId="2D56C698">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150</w:t>
            </w:r>
          </w:p>
        </w:tc>
        <w:tc>
          <w:tcPr>
            <w:tcW w:w="1829" w:type="dxa"/>
            <w:vMerge w:val="continue"/>
            <w:noWrap w:val="0"/>
            <w:vAlign w:val="center"/>
          </w:tcPr>
          <w:p w14:paraId="218B3296">
            <w:pPr>
              <w:pStyle w:val="698"/>
              <w:rPr>
                <w:rFonts w:hint="default" w:ascii="Times New Roman" w:hAnsi="Times New Roman" w:cs="Times New Roman"/>
                <w:color w:val="auto"/>
                <w:highlight w:val="none"/>
              </w:rPr>
            </w:pPr>
          </w:p>
        </w:tc>
      </w:tr>
      <w:tr w14:paraId="6905E3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8" w:type="dxa"/>
            <w:vMerge w:val="restart"/>
            <w:noWrap w:val="0"/>
            <w:vAlign w:val="center"/>
          </w:tcPr>
          <w:p w14:paraId="50854D06">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2.5</w:t>
            </w:r>
          </w:p>
        </w:tc>
        <w:tc>
          <w:tcPr>
            <w:tcW w:w="1843" w:type="dxa"/>
            <w:noWrap w:val="0"/>
            <w:vAlign w:val="center"/>
          </w:tcPr>
          <w:p w14:paraId="67D014E1">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w:t>
            </w:r>
          </w:p>
        </w:tc>
        <w:tc>
          <w:tcPr>
            <w:tcW w:w="2126" w:type="dxa"/>
            <w:noWrap w:val="0"/>
            <w:vAlign w:val="center"/>
          </w:tcPr>
          <w:p w14:paraId="3B24D12C">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c>
          <w:tcPr>
            <w:tcW w:w="2170" w:type="dxa"/>
            <w:noWrap w:val="0"/>
            <w:vAlign w:val="center"/>
          </w:tcPr>
          <w:p w14:paraId="31629438">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35</w:t>
            </w:r>
          </w:p>
        </w:tc>
        <w:tc>
          <w:tcPr>
            <w:tcW w:w="1829" w:type="dxa"/>
            <w:vMerge w:val="continue"/>
            <w:noWrap w:val="0"/>
            <w:vAlign w:val="center"/>
          </w:tcPr>
          <w:p w14:paraId="6299E1B4">
            <w:pPr>
              <w:pStyle w:val="698"/>
              <w:rPr>
                <w:rFonts w:hint="default" w:ascii="Times New Roman" w:hAnsi="Times New Roman" w:cs="Times New Roman"/>
                <w:color w:val="auto"/>
                <w:highlight w:val="none"/>
              </w:rPr>
            </w:pPr>
          </w:p>
        </w:tc>
      </w:tr>
      <w:tr w14:paraId="58B228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8" w:type="dxa"/>
            <w:vMerge w:val="continue"/>
            <w:noWrap w:val="0"/>
            <w:vAlign w:val="center"/>
          </w:tcPr>
          <w:p w14:paraId="16E94C63">
            <w:pPr>
              <w:pStyle w:val="698"/>
              <w:rPr>
                <w:rFonts w:hint="default" w:ascii="Times New Roman" w:hAnsi="Times New Roman" w:cs="Times New Roman"/>
                <w:color w:val="auto"/>
                <w:highlight w:val="none"/>
              </w:rPr>
            </w:pPr>
          </w:p>
        </w:tc>
        <w:tc>
          <w:tcPr>
            <w:tcW w:w="1843" w:type="dxa"/>
            <w:noWrap w:val="0"/>
            <w:vAlign w:val="center"/>
          </w:tcPr>
          <w:p w14:paraId="10800490">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24小时平均</w:t>
            </w:r>
          </w:p>
        </w:tc>
        <w:tc>
          <w:tcPr>
            <w:tcW w:w="2126" w:type="dxa"/>
            <w:noWrap w:val="0"/>
            <w:vAlign w:val="center"/>
          </w:tcPr>
          <w:p w14:paraId="4C027073">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35</w:t>
            </w:r>
          </w:p>
        </w:tc>
        <w:tc>
          <w:tcPr>
            <w:tcW w:w="2170" w:type="dxa"/>
            <w:noWrap w:val="0"/>
            <w:vAlign w:val="center"/>
          </w:tcPr>
          <w:p w14:paraId="54C6656E">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75</w:t>
            </w:r>
          </w:p>
        </w:tc>
        <w:tc>
          <w:tcPr>
            <w:tcW w:w="1829" w:type="dxa"/>
            <w:vMerge w:val="continue"/>
            <w:noWrap w:val="0"/>
            <w:vAlign w:val="center"/>
          </w:tcPr>
          <w:p w14:paraId="38E3276B">
            <w:pPr>
              <w:pStyle w:val="698"/>
              <w:rPr>
                <w:rFonts w:hint="default" w:ascii="Times New Roman" w:hAnsi="Times New Roman" w:cs="Times New Roman"/>
                <w:color w:val="auto"/>
                <w:highlight w:val="none"/>
              </w:rPr>
            </w:pPr>
          </w:p>
        </w:tc>
      </w:tr>
      <w:tr w14:paraId="0DBD4C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8" w:type="dxa"/>
            <w:vMerge w:val="restart"/>
            <w:noWrap w:val="0"/>
            <w:vAlign w:val="center"/>
          </w:tcPr>
          <w:p w14:paraId="647A654E">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TSP</w:t>
            </w:r>
          </w:p>
        </w:tc>
        <w:tc>
          <w:tcPr>
            <w:tcW w:w="1843" w:type="dxa"/>
            <w:noWrap w:val="0"/>
            <w:vAlign w:val="center"/>
          </w:tcPr>
          <w:p w14:paraId="72A90D97">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w:t>
            </w:r>
          </w:p>
        </w:tc>
        <w:tc>
          <w:tcPr>
            <w:tcW w:w="2126" w:type="dxa"/>
            <w:noWrap w:val="0"/>
            <w:vAlign w:val="center"/>
          </w:tcPr>
          <w:p w14:paraId="1885EAF1">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80</w:t>
            </w:r>
          </w:p>
        </w:tc>
        <w:tc>
          <w:tcPr>
            <w:tcW w:w="2170" w:type="dxa"/>
            <w:noWrap w:val="0"/>
            <w:vAlign w:val="center"/>
          </w:tcPr>
          <w:p w14:paraId="28825766">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200</w:t>
            </w:r>
          </w:p>
        </w:tc>
        <w:tc>
          <w:tcPr>
            <w:tcW w:w="1829" w:type="dxa"/>
            <w:vMerge w:val="continue"/>
            <w:noWrap w:val="0"/>
            <w:vAlign w:val="center"/>
          </w:tcPr>
          <w:p w14:paraId="3ED31EFB">
            <w:pPr>
              <w:pStyle w:val="698"/>
              <w:rPr>
                <w:rFonts w:hint="default" w:ascii="Times New Roman" w:hAnsi="Times New Roman" w:cs="Times New Roman"/>
                <w:color w:val="auto"/>
                <w:highlight w:val="none"/>
              </w:rPr>
            </w:pPr>
          </w:p>
        </w:tc>
      </w:tr>
      <w:tr w14:paraId="681353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058" w:type="dxa"/>
            <w:vMerge w:val="continue"/>
            <w:noWrap w:val="0"/>
            <w:vAlign w:val="center"/>
          </w:tcPr>
          <w:p w14:paraId="1B9DF982">
            <w:pPr>
              <w:pStyle w:val="698"/>
              <w:rPr>
                <w:rFonts w:hint="default" w:ascii="Times New Roman" w:hAnsi="Times New Roman" w:cs="Times New Roman"/>
                <w:color w:val="auto"/>
                <w:highlight w:val="none"/>
              </w:rPr>
            </w:pPr>
          </w:p>
        </w:tc>
        <w:tc>
          <w:tcPr>
            <w:tcW w:w="1843" w:type="dxa"/>
            <w:noWrap w:val="0"/>
            <w:vAlign w:val="center"/>
          </w:tcPr>
          <w:p w14:paraId="255AB2AF">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24小时平均</w:t>
            </w:r>
          </w:p>
        </w:tc>
        <w:tc>
          <w:tcPr>
            <w:tcW w:w="2126" w:type="dxa"/>
            <w:noWrap w:val="0"/>
            <w:vAlign w:val="center"/>
          </w:tcPr>
          <w:p w14:paraId="75C00A07">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120</w:t>
            </w:r>
          </w:p>
        </w:tc>
        <w:tc>
          <w:tcPr>
            <w:tcW w:w="2170" w:type="dxa"/>
            <w:noWrap w:val="0"/>
            <w:vAlign w:val="center"/>
          </w:tcPr>
          <w:p w14:paraId="70E45B63">
            <w:pPr>
              <w:pStyle w:val="698"/>
              <w:rPr>
                <w:rFonts w:hint="default" w:ascii="Times New Roman" w:hAnsi="Times New Roman" w:cs="Times New Roman"/>
                <w:color w:val="auto"/>
                <w:highlight w:val="none"/>
              </w:rPr>
            </w:pPr>
            <w:bookmarkStart w:id="11" w:name="_Hlk85640897"/>
            <w:r>
              <w:rPr>
                <w:rFonts w:hint="default" w:ascii="Times New Roman" w:hAnsi="Times New Roman" w:cs="Times New Roman"/>
                <w:color w:val="auto"/>
                <w:highlight w:val="none"/>
              </w:rPr>
              <w:t>300</w:t>
            </w:r>
            <w:bookmarkEnd w:id="11"/>
          </w:p>
        </w:tc>
        <w:tc>
          <w:tcPr>
            <w:tcW w:w="1829" w:type="dxa"/>
            <w:vMerge w:val="continue"/>
            <w:noWrap w:val="0"/>
            <w:vAlign w:val="center"/>
          </w:tcPr>
          <w:p w14:paraId="6752775E">
            <w:pPr>
              <w:pStyle w:val="698"/>
              <w:rPr>
                <w:rFonts w:hint="default" w:ascii="Times New Roman" w:hAnsi="Times New Roman" w:cs="Times New Roman"/>
                <w:color w:val="auto"/>
                <w:highlight w:val="none"/>
              </w:rPr>
            </w:pPr>
          </w:p>
        </w:tc>
      </w:tr>
    </w:tbl>
    <w:p w14:paraId="337975C7">
      <w:pPr>
        <w:pStyle w:val="6"/>
        <w:bidi w:val="0"/>
        <w:ind w:left="0" w:leftChars="0" w:firstLine="0" w:firstLineChars="0"/>
        <w:rPr>
          <w:rFonts w:hint="default"/>
          <w:color w:val="auto"/>
          <w:highlight w:val="none"/>
        </w:rPr>
      </w:pPr>
      <w:r>
        <w:rPr>
          <w:rFonts w:hint="default"/>
          <w:color w:val="auto"/>
          <w:highlight w:val="none"/>
        </w:rPr>
        <w:t>地表水环境质量标准</w:t>
      </w:r>
    </w:p>
    <w:p w14:paraId="5BB86EC5">
      <w:pPr>
        <w:ind w:firstLine="429" w:firstLineChars="196"/>
        <w:rPr>
          <w:rFonts w:hint="default" w:ascii="Times New Roman" w:hAnsi="Times New Roman" w:cs="Times New Roman"/>
          <w:color w:val="auto"/>
          <w:spacing w:val="-4"/>
          <w:highlight w:val="none"/>
          <w:u w:val="single"/>
        </w:rPr>
      </w:pPr>
      <w:r>
        <w:rPr>
          <w:rFonts w:hint="default" w:ascii="Times New Roman" w:hAnsi="Times New Roman" w:cs="Times New Roman"/>
          <w:color w:val="auto"/>
          <w:spacing w:val="-4"/>
          <w:highlight w:val="none"/>
        </w:rPr>
        <w:t>本次评价范围水域主要涉及</w:t>
      </w:r>
      <w:r>
        <w:rPr>
          <w:rFonts w:hint="eastAsia" w:ascii="Times New Roman" w:hAnsi="Times New Roman" w:cs="Times New Roman"/>
          <w:color w:val="auto"/>
          <w:spacing w:val="-4"/>
          <w:highlight w:val="none"/>
          <w:lang w:eastAsia="zh-CN"/>
        </w:rPr>
        <w:t>淡水湾江</w:t>
      </w:r>
      <w:r>
        <w:rPr>
          <w:rFonts w:hint="default" w:ascii="Times New Roman" w:hAnsi="Times New Roman" w:cs="Times New Roman"/>
          <w:color w:val="auto"/>
          <w:spacing w:val="-4"/>
          <w:highlight w:val="none"/>
        </w:rPr>
        <w:t>，</w:t>
      </w:r>
      <w:r>
        <w:rPr>
          <w:rFonts w:hint="eastAsia" w:ascii="Times New Roman" w:cs="Times New Roman"/>
          <w:color w:val="auto"/>
          <w:spacing w:val="-4"/>
          <w:highlight w:val="none"/>
          <w:u w:val="single"/>
          <w:lang w:eastAsia="zh-CN"/>
        </w:rPr>
        <w:t>主导功能为农业用水，参照</w:t>
      </w:r>
      <w:r>
        <w:rPr>
          <w:rFonts w:hint="default" w:ascii="Times New Roman" w:hAnsi="Times New Roman" w:cs="Times New Roman"/>
          <w:color w:val="auto"/>
          <w:spacing w:val="-4"/>
          <w:highlight w:val="none"/>
          <w:u w:val="single"/>
        </w:rPr>
        <w:t>《</w:t>
      </w:r>
      <w:r>
        <w:rPr>
          <w:rFonts w:hint="default" w:ascii="Times New Roman" w:hAnsi="Times New Roman" w:cs="Times New Roman"/>
          <w:color w:val="auto"/>
          <w:spacing w:val="-4"/>
          <w:highlight w:val="none"/>
          <w:u w:val="single"/>
          <w:lang w:eastAsia="zh-CN"/>
        </w:rPr>
        <w:t>钦州市水功能区划</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highlight w:val="none"/>
          <w:u w:val="single"/>
          <w:lang w:val="en-US" w:eastAsia="zh-CN"/>
        </w:rPr>
        <w:t>2012</w:t>
      </w:r>
      <w:r>
        <w:rPr>
          <w:rFonts w:hint="default" w:ascii="Times New Roman" w:hAnsi="Times New Roman" w:cs="Times New Roman"/>
          <w:color w:val="auto"/>
          <w:highlight w:val="none"/>
          <w:u w:val="single"/>
          <w:lang w:eastAsia="zh-CN"/>
        </w:rPr>
        <w:t>）</w:t>
      </w:r>
      <w:r>
        <w:rPr>
          <w:rFonts w:hint="default" w:ascii="Times New Roman" w:hAnsi="Times New Roman" w:cs="Times New Roman"/>
          <w:color w:val="auto"/>
          <w:spacing w:val="-4"/>
          <w:highlight w:val="none"/>
        </w:rPr>
        <w:t>，本项目评价</w:t>
      </w:r>
      <w:r>
        <w:rPr>
          <w:rFonts w:hint="default" w:ascii="Times New Roman" w:hAnsi="Times New Roman" w:cs="Times New Roman"/>
          <w:color w:val="auto"/>
          <w:spacing w:val="-4"/>
          <w:highlight w:val="none"/>
          <w:lang w:eastAsia="zh-CN"/>
        </w:rPr>
        <w:t>水域</w:t>
      </w:r>
      <w:r>
        <w:rPr>
          <w:rFonts w:hint="eastAsia" w:ascii="Times New Roman" w:hAnsi="Times New Roman" w:cs="Times New Roman"/>
          <w:color w:val="auto"/>
          <w:spacing w:val="-4"/>
          <w:highlight w:val="none"/>
          <w:lang w:eastAsia="zh-CN"/>
        </w:rPr>
        <w:t>淡水湾</w:t>
      </w:r>
      <w:r>
        <w:rPr>
          <w:rFonts w:hint="default" w:ascii="Times New Roman" w:hAnsi="Times New Roman" w:cs="Times New Roman"/>
          <w:color w:val="auto"/>
          <w:spacing w:val="-4"/>
          <w:highlight w:val="none"/>
          <w:lang w:eastAsia="zh-CN"/>
        </w:rPr>
        <w:t>江</w:t>
      </w:r>
      <w:r>
        <w:rPr>
          <w:rFonts w:hint="default" w:ascii="Times New Roman" w:hAnsi="Times New Roman" w:cs="Times New Roman"/>
          <w:color w:val="auto"/>
          <w:spacing w:val="-4"/>
          <w:highlight w:val="none"/>
        </w:rPr>
        <w:t>为</w:t>
      </w:r>
      <w:r>
        <w:rPr>
          <w:rFonts w:hint="default" w:ascii="Times New Roman" w:hAnsi="Times New Roman" w:cs="Times New Roman"/>
          <w:color w:val="auto"/>
          <w:highlight w:val="none"/>
          <w:u w:val="single"/>
          <w:lang w:eastAsia="zh-CN"/>
        </w:rPr>
        <w:t>Ⅳ类</w:t>
      </w:r>
      <w:r>
        <w:rPr>
          <w:rFonts w:hint="default" w:ascii="Times New Roman" w:hAnsi="Times New Roman" w:cs="Times New Roman"/>
          <w:color w:val="auto"/>
          <w:spacing w:val="-4"/>
          <w:highlight w:val="none"/>
        </w:rPr>
        <w:t>水质目标，执行《地表水环境质量标准》（GB3838-2002）</w:t>
      </w:r>
      <w:r>
        <w:rPr>
          <w:rFonts w:hint="default" w:ascii="Times New Roman" w:hAnsi="Times New Roman" w:cs="Times New Roman"/>
          <w:color w:val="auto"/>
          <w:highlight w:val="none"/>
          <w:u w:val="single"/>
          <w:lang w:eastAsia="zh-CN"/>
        </w:rPr>
        <w:t>Ⅳ类</w:t>
      </w:r>
      <w:r>
        <w:rPr>
          <w:rFonts w:hint="default" w:ascii="Times New Roman" w:hAnsi="Times New Roman" w:cs="Times New Roman"/>
          <w:color w:val="auto"/>
          <w:spacing w:val="-4"/>
          <w:highlight w:val="none"/>
        </w:rPr>
        <w:t>标</w:t>
      </w:r>
      <w:r>
        <w:rPr>
          <w:rFonts w:hint="default" w:ascii="Times New Roman" w:hAnsi="Times New Roman" w:cs="Times New Roman"/>
          <w:color w:val="auto"/>
          <w:spacing w:val="-4"/>
          <w:highlight w:val="none"/>
          <w:u w:val="none"/>
        </w:rPr>
        <w:t>准，SS留作为背景值，具体标准值见</w:t>
      </w:r>
      <w:r>
        <w:rPr>
          <w:rFonts w:hint="default" w:ascii="Times New Roman" w:hAnsi="Times New Roman" w:cs="Times New Roman"/>
          <w:color w:val="auto"/>
          <w:spacing w:val="-4"/>
          <w:highlight w:val="none"/>
          <w:u w:val="none"/>
        </w:rPr>
        <w:fldChar w:fldCharType="begin"/>
      </w:r>
      <w:r>
        <w:rPr>
          <w:rFonts w:hint="default" w:ascii="Times New Roman" w:hAnsi="Times New Roman" w:cs="Times New Roman"/>
          <w:color w:val="auto"/>
          <w:spacing w:val="-4"/>
          <w:highlight w:val="none"/>
          <w:u w:val="none"/>
        </w:rPr>
        <w:instrText xml:space="preserve"> REF _Ref95300415 \r \h  \* MERGEFORMAT </w:instrText>
      </w:r>
      <w:r>
        <w:rPr>
          <w:rFonts w:hint="default" w:ascii="Times New Roman" w:hAnsi="Times New Roman" w:cs="Times New Roman"/>
          <w:color w:val="auto"/>
          <w:spacing w:val="-4"/>
          <w:highlight w:val="none"/>
          <w:u w:val="none"/>
        </w:rPr>
        <w:fldChar w:fldCharType="separate"/>
      </w:r>
      <w:r>
        <w:rPr>
          <w:rFonts w:hint="default" w:ascii="Times New Roman" w:hAnsi="Times New Roman" w:cs="Times New Roman"/>
          <w:color w:val="auto"/>
          <w:spacing w:val="-4"/>
          <w:highlight w:val="none"/>
          <w:u w:val="none"/>
        </w:rPr>
        <w:t>表1.3-2</w:t>
      </w:r>
      <w:r>
        <w:rPr>
          <w:rFonts w:hint="default" w:ascii="Times New Roman" w:hAnsi="Times New Roman" w:cs="Times New Roman"/>
          <w:color w:val="auto"/>
          <w:spacing w:val="-4"/>
          <w:highlight w:val="none"/>
          <w:u w:val="none"/>
        </w:rPr>
        <w:fldChar w:fldCharType="end"/>
      </w:r>
      <w:r>
        <w:rPr>
          <w:rFonts w:hint="default" w:ascii="Times New Roman" w:hAnsi="Times New Roman" w:cs="Times New Roman"/>
          <w:color w:val="auto"/>
          <w:spacing w:val="-4"/>
          <w:highlight w:val="none"/>
          <w:u w:val="none"/>
        </w:rPr>
        <w:t>。</w:t>
      </w:r>
    </w:p>
    <w:p w14:paraId="6482B2B7">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bookmarkStart w:id="12" w:name="_Ref95300415"/>
      <w:r>
        <w:rPr>
          <w:rFonts w:hint="default"/>
          <w:color w:val="auto"/>
          <w:highlight w:val="none"/>
        </w:rPr>
        <w:t>地表水环境质量标准 单位：mg/L（pH无量纲）</w:t>
      </w:r>
      <w:bookmarkEnd w:id="12"/>
    </w:p>
    <w:tbl>
      <w:tblPr>
        <w:tblStyle w:val="8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3"/>
        <w:gridCol w:w="1843"/>
        <w:gridCol w:w="3697"/>
        <w:gridCol w:w="2755"/>
      </w:tblGrid>
      <w:tr w14:paraId="1F8811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533" w:type="dxa"/>
            <w:noWrap w:val="0"/>
            <w:vAlign w:val="center"/>
          </w:tcPr>
          <w:p w14:paraId="665C1A6A">
            <w:pPr>
              <w:topLinePunct/>
              <w:autoSpaceDE w:val="0"/>
              <w:autoSpaceDN w:val="0"/>
              <w:adjustRightInd w:val="0"/>
              <w:snapToGrid w:val="0"/>
              <w:jc w:val="center"/>
              <w:rPr>
                <w:rFonts w:hint="default" w:ascii="Times New Roman" w:hAnsi="Times New Roman" w:cs="Times New Roman"/>
                <w:b/>
                <w:bCs/>
                <w:color w:val="auto"/>
                <w:sz w:val="21"/>
                <w:szCs w:val="21"/>
                <w:highlight w:val="none"/>
              </w:rPr>
            </w:pPr>
            <w:bookmarkStart w:id="13" w:name="_Hlk92880433"/>
            <w:r>
              <w:rPr>
                <w:rFonts w:hint="default" w:ascii="Times New Roman" w:hAnsi="Times New Roman" w:cs="Times New Roman"/>
                <w:b/>
                <w:bCs/>
                <w:color w:val="auto"/>
                <w:sz w:val="21"/>
                <w:szCs w:val="21"/>
                <w:highlight w:val="none"/>
              </w:rPr>
              <w:t>序号</w:t>
            </w:r>
          </w:p>
        </w:tc>
        <w:tc>
          <w:tcPr>
            <w:tcW w:w="1843" w:type="dxa"/>
            <w:noWrap w:val="0"/>
            <w:vAlign w:val="center"/>
          </w:tcPr>
          <w:p w14:paraId="0A3EFA8F">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  目</w:t>
            </w:r>
          </w:p>
        </w:tc>
        <w:tc>
          <w:tcPr>
            <w:tcW w:w="3697" w:type="dxa"/>
            <w:noWrap w:val="0"/>
            <w:vAlign w:val="center"/>
          </w:tcPr>
          <w:p w14:paraId="70D4DCCA">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u w:val="single"/>
              </w:rPr>
              <w:t>Ⅳ类</w:t>
            </w:r>
            <w:r>
              <w:rPr>
                <w:rFonts w:hint="default" w:ascii="Times New Roman" w:hAnsi="Times New Roman" w:cs="Times New Roman"/>
                <w:b/>
                <w:bCs/>
                <w:color w:val="auto"/>
                <w:sz w:val="21"/>
                <w:szCs w:val="21"/>
                <w:highlight w:val="none"/>
              </w:rPr>
              <w:t>标准限值</w:t>
            </w:r>
          </w:p>
        </w:tc>
        <w:tc>
          <w:tcPr>
            <w:tcW w:w="2755" w:type="dxa"/>
            <w:noWrap w:val="0"/>
            <w:vAlign w:val="center"/>
          </w:tcPr>
          <w:p w14:paraId="0DA389EF">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w:t>
            </w:r>
          </w:p>
        </w:tc>
      </w:tr>
      <w:tr w14:paraId="2EE974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533" w:type="dxa"/>
            <w:noWrap w:val="0"/>
            <w:vAlign w:val="center"/>
          </w:tcPr>
          <w:p w14:paraId="35E72E08">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843" w:type="dxa"/>
            <w:noWrap w:val="0"/>
            <w:vAlign w:val="center"/>
          </w:tcPr>
          <w:p w14:paraId="7CA99EFE">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水温</w:t>
            </w:r>
          </w:p>
        </w:tc>
        <w:tc>
          <w:tcPr>
            <w:tcW w:w="3697" w:type="dxa"/>
            <w:noWrap w:val="0"/>
            <w:vAlign w:val="center"/>
          </w:tcPr>
          <w:p w14:paraId="0119DECD">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人为造成的环境水文变化应限制在：周平均最大升温≤1，周平均最大降温≤2</w:t>
            </w:r>
          </w:p>
        </w:tc>
        <w:tc>
          <w:tcPr>
            <w:tcW w:w="2755" w:type="dxa"/>
            <w:vMerge w:val="restart"/>
            <w:noWrap w:val="0"/>
            <w:vAlign w:val="center"/>
          </w:tcPr>
          <w:p w14:paraId="6ED69926">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《地表水环境质量标准》（GB3838-2002）</w:t>
            </w:r>
            <w:r>
              <w:rPr>
                <w:rFonts w:hint="default" w:ascii="Times New Roman" w:hAnsi="Times New Roman" w:cs="Times New Roman"/>
                <w:color w:val="auto"/>
                <w:sz w:val="21"/>
                <w:szCs w:val="21"/>
                <w:highlight w:val="none"/>
                <w:lang w:eastAsia="zh-CN"/>
              </w:rPr>
              <w:t>Ⅲ</w:t>
            </w:r>
            <w:r>
              <w:rPr>
                <w:rFonts w:hint="default" w:ascii="Times New Roman" w:hAnsi="Times New Roman" w:cs="Times New Roman"/>
                <w:color w:val="auto"/>
                <w:sz w:val="21"/>
                <w:szCs w:val="21"/>
                <w:highlight w:val="none"/>
              </w:rPr>
              <w:t>类标准</w:t>
            </w:r>
          </w:p>
        </w:tc>
      </w:tr>
      <w:tr w14:paraId="5041BA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533" w:type="dxa"/>
            <w:noWrap w:val="0"/>
            <w:vAlign w:val="center"/>
          </w:tcPr>
          <w:p w14:paraId="44E004C7">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843" w:type="dxa"/>
            <w:noWrap w:val="0"/>
            <w:vAlign w:val="center"/>
          </w:tcPr>
          <w:p w14:paraId="4A586AB8">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pH值（无量纲）</w:t>
            </w:r>
          </w:p>
        </w:tc>
        <w:tc>
          <w:tcPr>
            <w:tcW w:w="3697" w:type="dxa"/>
            <w:noWrap w:val="0"/>
            <w:vAlign w:val="center"/>
          </w:tcPr>
          <w:p w14:paraId="771DD331">
            <w:pPr>
              <w:topLinePunct/>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6~9</w:t>
            </w:r>
          </w:p>
        </w:tc>
        <w:tc>
          <w:tcPr>
            <w:tcW w:w="2755" w:type="dxa"/>
            <w:vMerge w:val="continue"/>
            <w:noWrap w:val="0"/>
            <w:vAlign w:val="center"/>
          </w:tcPr>
          <w:p w14:paraId="340DA480">
            <w:pPr>
              <w:topLinePunct/>
              <w:autoSpaceDE w:val="0"/>
              <w:autoSpaceDN w:val="0"/>
              <w:adjustRightInd w:val="0"/>
              <w:snapToGrid w:val="0"/>
              <w:jc w:val="center"/>
              <w:rPr>
                <w:rFonts w:hint="default" w:ascii="Times New Roman" w:hAnsi="Times New Roman" w:cs="Times New Roman"/>
                <w:color w:val="auto"/>
                <w:sz w:val="21"/>
                <w:szCs w:val="21"/>
                <w:highlight w:val="none"/>
              </w:rPr>
            </w:pPr>
          </w:p>
        </w:tc>
      </w:tr>
      <w:tr w14:paraId="4B393D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533" w:type="dxa"/>
            <w:noWrap w:val="0"/>
            <w:vAlign w:val="center"/>
          </w:tcPr>
          <w:p w14:paraId="2FDA3B30">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1843" w:type="dxa"/>
            <w:noWrap w:val="0"/>
            <w:vAlign w:val="center"/>
          </w:tcPr>
          <w:p w14:paraId="55922CDA">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溶解氧</w:t>
            </w:r>
          </w:p>
        </w:tc>
        <w:tc>
          <w:tcPr>
            <w:tcW w:w="3697" w:type="dxa"/>
            <w:noWrap w:val="0"/>
            <w:vAlign w:val="center"/>
          </w:tcPr>
          <w:p w14:paraId="78BE527D">
            <w:pPr>
              <w:topLinePunct/>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r>
              <w:rPr>
                <w:rFonts w:hint="eastAsia" w:ascii="Times New Roman" w:cs="Times New Roman"/>
                <w:color w:val="auto"/>
                <w:sz w:val="21"/>
                <w:szCs w:val="21"/>
                <w:highlight w:val="none"/>
                <w:lang w:val="en-US" w:eastAsia="zh-CN"/>
              </w:rPr>
              <w:t>3</w:t>
            </w:r>
          </w:p>
        </w:tc>
        <w:tc>
          <w:tcPr>
            <w:tcW w:w="2755" w:type="dxa"/>
            <w:vMerge w:val="continue"/>
            <w:noWrap w:val="0"/>
            <w:vAlign w:val="center"/>
          </w:tcPr>
          <w:p w14:paraId="00D74179">
            <w:pPr>
              <w:topLinePunct/>
              <w:autoSpaceDE w:val="0"/>
              <w:autoSpaceDN w:val="0"/>
              <w:adjustRightInd w:val="0"/>
              <w:snapToGrid w:val="0"/>
              <w:jc w:val="center"/>
              <w:rPr>
                <w:rFonts w:hint="default" w:ascii="Times New Roman" w:hAnsi="Times New Roman" w:cs="Times New Roman"/>
                <w:color w:val="auto"/>
                <w:sz w:val="21"/>
                <w:szCs w:val="21"/>
                <w:highlight w:val="none"/>
              </w:rPr>
            </w:pPr>
          </w:p>
        </w:tc>
      </w:tr>
      <w:tr w14:paraId="7230BD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533" w:type="dxa"/>
            <w:noWrap w:val="0"/>
            <w:vAlign w:val="center"/>
          </w:tcPr>
          <w:p w14:paraId="718251FA">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1843" w:type="dxa"/>
            <w:noWrap w:val="0"/>
            <w:vAlign w:val="center"/>
          </w:tcPr>
          <w:p w14:paraId="7FAF299A">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高锰酸盐指数</w:t>
            </w:r>
          </w:p>
        </w:tc>
        <w:tc>
          <w:tcPr>
            <w:tcW w:w="3697" w:type="dxa"/>
            <w:noWrap w:val="0"/>
            <w:vAlign w:val="center"/>
          </w:tcPr>
          <w:p w14:paraId="169A1730">
            <w:pPr>
              <w:topLinePunct/>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r>
              <w:rPr>
                <w:rFonts w:hint="eastAsia" w:ascii="Times New Roman" w:cs="Times New Roman"/>
                <w:color w:val="auto"/>
                <w:sz w:val="21"/>
                <w:szCs w:val="21"/>
                <w:highlight w:val="none"/>
                <w:lang w:val="en-US" w:eastAsia="zh-CN"/>
              </w:rPr>
              <w:t>10</w:t>
            </w:r>
          </w:p>
        </w:tc>
        <w:tc>
          <w:tcPr>
            <w:tcW w:w="2755" w:type="dxa"/>
            <w:vMerge w:val="continue"/>
            <w:noWrap w:val="0"/>
            <w:vAlign w:val="center"/>
          </w:tcPr>
          <w:p w14:paraId="7525EB7D">
            <w:pPr>
              <w:topLinePunct/>
              <w:autoSpaceDE w:val="0"/>
              <w:autoSpaceDN w:val="0"/>
              <w:adjustRightInd w:val="0"/>
              <w:snapToGrid w:val="0"/>
              <w:jc w:val="center"/>
              <w:rPr>
                <w:rFonts w:hint="default" w:ascii="Times New Roman" w:hAnsi="Times New Roman" w:cs="Times New Roman"/>
                <w:color w:val="auto"/>
                <w:sz w:val="21"/>
                <w:szCs w:val="21"/>
                <w:highlight w:val="none"/>
              </w:rPr>
            </w:pPr>
          </w:p>
        </w:tc>
      </w:tr>
      <w:tr w14:paraId="088362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533" w:type="dxa"/>
            <w:noWrap w:val="0"/>
            <w:vAlign w:val="center"/>
          </w:tcPr>
          <w:p w14:paraId="0FEDDF2D">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843" w:type="dxa"/>
            <w:noWrap w:val="0"/>
            <w:vAlign w:val="center"/>
          </w:tcPr>
          <w:p w14:paraId="08971659">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p>
        </w:tc>
        <w:tc>
          <w:tcPr>
            <w:tcW w:w="3697" w:type="dxa"/>
            <w:noWrap w:val="0"/>
            <w:vAlign w:val="center"/>
          </w:tcPr>
          <w:p w14:paraId="48D13639">
            <w:pPr>
              <w:topLinePunct/>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r>
              <w:rPr>
                <w:rFonts w:hint="eastAsia" w:ascii="Times New Roman" w:cs="Times New Roman"/>
                <w:color w:val="auto"/>
                <w:sz w:val="21"/>
                <w:szCs w:val="21"/>
                <w:highlight w:val="none"/>
                <w:lang w:val="en-US" w:eastAsia="zh-CN"/>
              </w:rPr>
              <w:t>30</w:t>
            </w:r>
          </w:p>
        </w:tc>
        <w:tc>
          <w:tcPr>
            <w:tcW w:w="2755" w:type="dxa"/>
            <w:vMerge w:val="continue"/>
            <w:noWrap w:val="0"/>
            <w:vAlign w:val="center"/>
          </w:tcPr>
          <w:p w14:paraId="79AECD2D">
            <w:pPr>
              <w:topLinePunct/>
              <w:autoSpaceDE w:val="0"/>
              <w:autoSpaceDN w:val="0"/>
              <w:adjustRightInd w:val="0"/>
              <w:snapToGrid w:val="0"/>
              <w:jc w:val="center"/>
              <w:rPr>
                <w:rFonts w:hint="default" w:ascii="Times New Roman" w:hAnsi="Times New Roman" w:cs="Times New Roman"/>
                <w:color w:val="auto"/>
                <w:sz w:val="21"/>
                <w:szCs w:val="21"/>
                <w:highlight w:val="none"/>
              </w:rPr>
            </w:pPr>
          </w:p>
        </w:tc>
      </w:tr>
      <w:tr w14:paraId="600343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533" w:type="dxa"/>
            <w:noWrap w:val="0"/>
            <w:vAlign w:val="center"/>
          </w:tcPr>
          <w:p w14:paraId="6CF6B7FD">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1843" w:type="dxa"/>
            <w:noWrap w:val="0"/>
            <w:vAlign w:val="center"/>
          </w:tcPr>
          <w:p w14:paraId="2BE4C21D">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p>
        </w:tc>
        <w:tc>
          <w:tcPr>
            <w:tcW w:w="3697" w:type="dxa"/>
            <w:noWrap w:val="0"/>
            <w:vAlign w:val="center"/>
          </w:tcPr>
          <w:p w14:paraId="64E0C72D">
            <w:pPr>
              <w:topLinePunct/>
              <w:autoSpaceDE w:val="0"/>
              <w:autoSpaceDN w:val="0"/>
              <w:adjustRightInd w:val="0"/>
              <w:snapToGrid w:val="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w:t>
            </w:r>
            <w:r>
              <w:rPr>
                <w:rFonts w:hint="eastAsia" w:ascii="Times New Roman" w:cs="Times New Roman"/>
                <w:color w:val="auto"/>
                <w:sz w:val="21"/>
                <w:szCs w:val="21"/>
                <w:highlight w:val="none"/>
                <w:lang w:val="en-US" w:eastAsia="zh-CN"/>
              </w:rPr>
              <w:t>6</w:t>
            </w:r>
          </w:p>
        </w:tc>
        <w:tc>
          <w:tcPr>
            <w:tcW w:w="2755" w:type="dxa"/>
            <w:vMerge w:val="continue"/>
            <w:noWrap w:val="0"/>
            <w:vAlign w:val="center"/>
          </w:tcPr>
          <w:p w14:paraId="0AF57CFC">
            <w:pPr>
              <w:topLinePunct/>
              <w:autoSpaceDE w:val="0"/>
              <w:autoSpaceDN w:val="0"/>
              <w:adjustRightInd w:val="0"/>
              <w:snapToGrid w:val="0"/>
              <w:jc w:val="center"/>
              <w:rPr>
                <w:rFonts w:hint="default" w:ascii="Times New Roman" w:hAnsi="Times New Roman" w:cs="Times New Roman"/>
                <w:color w:val="auto"/>
                <w:sz w:val="21"/>
                <w:szCs w:val="21"/>
                <w:highlight w:val="none"/>
              </w:rPr>
            </w:pPr>
          </w:p>
        </w:tc>
      </w:tr>
      <w:tr w14:paraId="3F9771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533" w:type="dxa"/>
            <w:noWrap w:val="0"/>
            <w:vAlign w:val="center"/>
          </w:tcPr>
          <w:p w14:paraId="3B2E05A9">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1843" w:type="dxa"/>
            <w:noWrap w:val="0"/>
            <w:vAlign w:val="center"/>
          </w:tcPr>
          <w:p w14:paraId="7EA7FCFD">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p>
        </w:tc>
        <w:tc>
          <w:tcPr>
            <w:tcW w:w="3697" w:type="dxa"/>
            <w:noWrap w:val="0"/>
            <w:vAlign w:val="center"/>
          </w:tcPr>
          <w:p w14:paraId="742C31D8">
            <w:pPr>
              <w:topLinePunct/>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r>
              <w:rPr>
                <w:rFonts w:hint="eastAsia" w:ascii="Times New Roman" w:cs="Times New Roman"/>
                <w:color w:val="auto"/>
                <w:sz w:val="21"/>
                <w:szCs w:val="21"/>
                <w:highlight w:val="none"/>
                <w:lang w:val="en-US" w:eastAsia="zh-CN"/>
              </w:rPr>
              <w:t>1.5</w:t>
            </w:r>
          </w:p>
        </w:tc>
        <w:tc>
          <w:tcPr>
            <w:tcW w:w="2755" w:type="dxa"/>
            <w:vMerge w:val="continue"/>
            <w:noWrap w:val="0"/>
            <w:vAlign w:val="center"/>
          </w:tcPr>
          <w:p w14:paraId="42B667D5">
            <w:pPr>
              <w:topLinePunct/>
              <w:autoSpaceDE w:val="0"/>
              <w:autoSpaceDN w:val="0"/>
              <w:adjustRightInd w:val="0"/>
              <w:snapToGrid w:val="0"/>
              <w:jc w:val="center"/>
              <w:rPr>
                <w:rFonts w:hint="default" w:ascii="Times New Roman" w:hAnsi="Times New Roman" w:cs="Times New Roman"/>
                <w:color w:val="auto"/>
                <w:sz w:val="21"/>
                <w:szCs w:val="21"/>
                <w:highlight w:val="none"/>
              </w:rPr>
            </w:pPr>
          </w:p>
        </w:tc>
      </w:tr>
      <w:tr w14:paraId="7B2607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533" w:type="dxa"/>
            <w:noWrap w:val="0"/>
            <w:vAlign w:val="center"/>
          </w:tcPr>
          <w:p w14:paraId="4C706896">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1843" w:type="dxa"/>
            <w:noWrap w:val="0"/>
            <w:vAlign w:val="center"/>
          </w:tcPr>
          <w:p w14:paraId="5F9E457B">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总磷</w:t>
            </w:r>
          </w:p>
        </w:tc>
        <w:tc>
          <w:tcPr>
            <w:tcW w:w="3697" w:type="dxa"/>
            <w:noWrap w:val="0"/>
            <w:vAlign w:val="center"/>
          </w:tcPr>
          <w:p w14:paraId="53983CCB">
            <w:pPr>
              <w:topLinePunct/>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r>
              <w:rPr>
                <w:rFonts w:hint="eastAsia" w:ascii="Times New Roman" w:cs="Times New Roman"/>
                <w:color w:val="auto"/>
                <w:sz w:val="21"/>
                <w:szCs w:val="21"/>
                <w:highlight w:val="none"/>
                <w:lang w:val="en-US" w:eastAsia="zh-CN"/>
              </w:rPr>
              <w:t>0.3</w:t>
            </w:r>
          </w:p>
        </w:tc>
        <w:tc>
          <w:tcPr>
            <w:tcW w:w="2755" w:type="dxa"/>
            <w:vMerge w:val="continue"/>
            <w:noWrap w:val="0"/>
            <w:vAlign w:val="center"/>
          </w:tcPr>
          <w:p w14:paraId="3EE10366">
            <w:pPr>
              <w:topLinePunct/>
              <w:autoSpaceDE w:val="0"/>
              <w:autoSpaceDN w:val="0"/>
              <w:adjustRightInd w:val="0"/>
              <w:snapToGrid w:val="0"/>
              <w:jc w:val="center"/>
              <w:rPr>
                <w:rFonts w:hint="default" w:ascii="Times New Roman" w:hAnsi="Times New Roman" w:cs="Times New Roman"/>
                <w:color w:val="auto"/>
                <w:sz w:val="21"/>
                <w:szCs w:val="21"/>
                <w:highlight w:val="none"/>
              </w:rPr>
            </w:pPr>
          </w:p>
        </w:tc>
      </w:tr>
      <w:tr w14:paraId="3E8FCA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533" w:type="dxa"/>
            <w:noWrap w:val="0"/>
            <w:vAlign w:val="center"/>
          </w:tcPr>
          <w:p w14:paraId="5121618D">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tc>
        <w:tc>
          <w:tcPr>
            <w:tcW w:w="1843" w:type="dxa"/>
            <w:noWrap w:val="0"/>
            <w:vAlign w:val="center"/>
          </w:tcPr>
          <w:p w14:paraId="09A34884">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阴离子表面活性剂</w:t>
            </w:r>
          </w:p>
        </w:tc>
        <w:tc>
          <w:tcPr>
            <w:tcW w:w="3697" w:type="dxa"/>
            <w:noWrap w:val="0"/>
            <w:vAlign w:val="center"/>
          </w:tcPr>
          <w:p w14:paraId="545F5CD1">
            <w:pPr>
              <w:topLinePunct/>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r>
              <w:rPr>
                <w:rFonts w:hint="eastAsia" w:ascii="Times New Roman" w:cs="Times New Roman"/>
                <w:color w:val="auto"/>
                <w:sz w:val="21"/>
                <w:szCs w:val="21"/>
                <w:highlight w:val="none"/>
                <w:lang w:val="en-US" w:eastAsia="zh-CN"/>
              </w:rPr>
              <w:t>0.3</w:t>
            </w:r>
          </w:p>
        </w:tc>
        <w:tc>
          <w:tcPr>
            <w:tcW w:w="2755" w:type="dxa"/>
            <w:vMerge w:val="continue"/>
            <w:noWrap w:val="0"/>
            <w:vAlign w:val="center"/>
          </w:tcPr>
          <w:p w14:paraId="2E240140">
            <w:pPr>
              <w:topLinePunct/>
              <w:autoSpaceDE w:val="0"/>
              <w:autoSpaceDN w:val="0"/>
              <w:adjustRightInd w:val="0"/>
              <w:snapToGrid w:val="0"/>
              <w:jc w:val="center"/>
              <w:rPr>
                <w:rFonts w:hint="default" w:ascii="Times New Roman" w:hAnsi="Times New Roman" w:cs="Times New Roman"/>
                <w:color w:val="auto"/>
                <w:sz w:val="21"/>
                <w:szCs w:val="21"/>
                <w:highlight w:val="none"/>
              </w:rPr>
            </w:pPr>
          </w:p>
        </w:tc>
      </w:tr>
      <w:tr w14:paraId="77EFC8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533" w:type="dxa"/>
            <w:noWrap w:val="0"/>
            <w:vAlign w:val="center"/>
          </w:tcPr>
          <w:p w14:paraId="72083B33">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1843" w:type="dxa"/>
            <w:noWrap w:val="0"/>
            <w:vAlign w:val="center"/>
          </w:tcPr>
          <w:p w14:paraId="701C60FF">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SS</w:t>
            </w:r>
          </w:p>
        </w:tc>
        <w:tc>
          <w:tcPr>
            <w:tcW w:w="3697" w:type="dxa"/>
            <w:noWrap w:val="0"/>
            <w:vAlign w:val="center"/>
          </w:tcPr>
          <w:p w14:paraId="1665DF89">
            <w:pPr>
              <w:topLinePunct/>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w:t>
            </w:r>
          </w:p>
        </w:tc>
        <w:tc>
          <w:tcPr>
            <w:tcW w:w="2755" w:type="dxa"/>
            <w:noWrap w:val="0"/>
            <w:vAlign w:val="center"/>
          </w:tcPr>
          <w:p w14:paraId="007D5863">
            <w:pPr>
              <w:topLinePunct/>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bookmarkEnd w:id="13"/>
    </w:tbl>
    <w:p w14:paraId="12B308FA">
      <w:pPr>
        <w:pStyle w:val="6"/>
        <w:bidi w:val="0"/>
        <w:ind w:left="0" w:leftChars="0" w:firstLine="0" w:firstLineChars="0"/>
        <w:rPr>
          <w:rFonts w:hint="default"/>
          <w:color w:val="auto"/>
          <w:highlight w:val="none"/>
          <w:u w:val="single"/>
        </w:rPr>
      </w:pPr>
      <w:r>
        <w:rPr>
          <w:rFonts w:hint="eastAsia"/>
          <w:color w:val="auto"/>
          <w:highlight w:val="none"/>
          <w:u w:val="single"/>
          <w:lang w:eastAsia="zh-CN"/>
        </w:rPr>
        <w:t>海水水质标准</w:t>
      </w:r>
    </w:p>
    <w:p w14:paraId="7750B02D">
      <w:pPr>
        <w:ind w:firstLine="445" w:firstLineChars="196"/>
        <w:rPr>
          <w:rFonts w:hint="eastAsia" w:ascii="Times New Roman" w:cs="Times New Roman"/>
          <w:color w:val="auto"/>
          <w:highlight w:val="none"/>
          <w:u w:val="single"/>
          <w:lang w:val="en-US" w:eastAsia="zh-CN"/>
        </w:rPr>
      </w:pPr>
      <w:r>
        <w:rPr>
          <w:rFonts w:hint="eastAsia"/>
          <w:color w:val="auto"/>
          <w:highlight w:val="none"/>
          <w:u w:val="single"/>
          <w:lang w:eastAsia="zh-CN"/>
        </w:rPr>
        <w:t>本项目不涉及海岸线，不占用海域，下游衔接</w:t>
      </w:r>
      <w:r>
        <w:rPr>
          <w:rFonts w:hint="eastAsia" w:ascii="Times New Roman" w:hAnsi="Times New Roman" w:cs="Times New Roman"/>
          <w:color w:val="auto"/>
          <w:highlight w:val="none"/>
          <w:u w:val="single"/>
          <w:lang w:val="en-US" w:eastAsia="zh-CN"/>
        </w:rPr>
        <w:t>钦州港大榄坪港口、工业区域</w:t>
      </w:r>
      <w:r>
        <w:rPr>
          <w:rFonts w:hint="eastAsia" w:ascii="Times New Roman" w:cs="Times New Roman"/>
          <w:color w:val="auto"/>
          <w:highlight w:val="none"/>
          <w:u w:val="single"/>
          <w:lang w:val="en-US" w:eastAsia="zh-CN"/>
        </w:rPr>
        <w:t>（</w:t>
      </w:r>
      <w:r>
        <w:rPr>
          <w:rFonts w:hint="eastAsia" w:ascii="Times New Roman" w:hAnsi="Times New Roman" w:cs="Times New Roman"/>
          <w:color w:val="auto"/>
          <w:highlight w:val="none"/>
          <w:u w:val="single"/>
          <w:lang w:val="en-US" w:eastAsia="zh-CN"/>
        </w:rPr>
        <w:t>GX055DIV</w:t>
      </w:r>
      <w:r>
        <w:rPr>
          <w:rFonts w:hint="eastAsia" w:ascii="Times New Roman" w:cs="Times New Roman"/>
          <w:color w:val="auto"/>
          <w:highlight w:val="none"/>
          <w:u w:val="single"/>
          <w:lang w:val="en-US" w:eastAsia="zh-CN"/>
        </w:rPr>
        <w:t>）海域，区域</w:t>
      </w:r>
      <w:r>
        <w:rPr>
          <w:rFonts w:hint="eastAsia" w:ascii="Times New Roman" w:hAnsi="Times New Roman" w:cs="Times New Roman"/>
          <w:color w:val="auto"/>
          <w:highlight w:val="none"/>
          <w:u w:val="single"/>
          <w:lang w:val="en-US" w:eastAsia="zh-CN"/>
        </w:rPr>
        <w:t>海洋环境执行《海洋水质标准》（GB3097-1997）</w:t>
      </w:r>
      <w:r>
        <w:rPr>
          <w:rFonts w:hint="eastAsia" w:ascii="Times New Roman" w:cs="Times New Roman"/>
          <w:color w:val="auto"/>
          <w:highlight w:val="none"/>
          <w:u w:val="single"/>
          <w:lang w:val="en-US" w:eastAsia="zh-CN"/>
        </w:rPr>
        <w:t>第四类标准。具体标准详见表。</w:t>
      </w:r>
    </w:p>
    <w:p w14:paraId="110E8604">
      <w:pPr>
        <w:ind w:firstLine="445" w:firstLineChars="196"/>
        <w:rPr>
          <w:rFonts w:hint="eastAsia" w:ascii="Times New Roman" w:cs="Times New Roman"/>
          <w:color w:val="auto"/>
          <w:highlight w:val="none"/>
          <w:u w:val="single"/>
          <w:lang w:val="en-US" w:eastAsia="zh-CN"/>
        </w:rPr>
      </w:pPr>
    </w:p>
    <w:p w14:paraId="335FD3CF">
      <w:pPr>
        <w:ind w:firstLine="445" w:firstLineChars="196"/>
        <w:rPr>
          <w:rFonts w:hint="eastAsia" w:ascii="Times New Roman" w:cs="Times New Roman"/>
          <w:color w:val="auto"/>
          <w:highlight w:val="none"/>
          <w:u w:val="single"/>
          <w:lang w:val="en-US" w:eastAsia="zh-CN"/>
        </w:rPr>
      </w:pPr>
    </w:p>
    <w:p w14:paraId="02B0AAC3">
      <w:pPr>
        <w:ind w:firstLine="445" w:firstLineChars="196"/>
        <w:rPr>
          <w:rFonts w:hint="eastAsia" w:ascii="Times New Roman" w:cs="Times New Roman"/>
          <w:color w:val="auto"/>
          <w:highlight w:val="none"/>
          <w:u w:val="single"/>
          <w:lang w:val="en-US" w:eastAsia="zh-CN"/>
        </w:rPr>
      </w:pPr>
    </w:p>
    <w:p w14:paraId="5D646451">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r>
        <w:rPr>
          <w:rFonts w:hint="eastAsia"/>
          <w:color w:val="auto"/>
          <w:highlight w:val="none"/>
          <w:lang w:eastAsia="zh-CN"/>
        </w:rPr>
        <w:t>海水水质标准</w:t>
      </w:r>
      <w:r>
        <w:rPr>
          <w:rFonts w:hint="default"/>
          <w:color w:val="auto"/>
          <w:highlight w:val="none"/>
        </w:rPr>
        <w:t xml:space="preserve"> 单位：mg/L（pH无量纲）</w:t>
      </w:r>
    </w:p>
    <w:tbl>
      <w:tblPr>
        <w:tblStyle w:val="87"/>
        <w:tblpPr w:leftFromText="180" w:rightFromText="180" w:vertAnchor="text" w:tblpXSpec="left"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3"/>
        <w:gridCol w:w="2306"/>
        <w:gridCol w:w="4290"/>
        <w:gridCol w:w="1699"/>
      </w:tblGrid>
      <w:tr w14:paraId="356B38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blHeader/>
        </w:trPr>
        <w:tc>
          <w:tcPr>
            <w:tcW w:w="533" w:type="dxa"/>
            <w:noWrap w:val="0"/>
            <w:vAlign w:val="center"/>
          </w:tcPr>
          <w:p w14:paraId="0A934720">
            <w:pPr>
              <w:topLinePunct/>
              <w:autoSpaceDE w:val="0"/>
              <w:autoSpaceDN w:val="0"/>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2306" w:type="dxa"/>
            <w:noWrap w:val="0"/>
            <w:vAlign w:val="center"/>
          </w:tcPr>
          <w:p w14:paraId="42F8EFE2">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  目</w:t>
            </w:r>
          </w:p>
        </w:tc>
        <w:tc>
          <w:tcPr>
            <w:tcW w:w="4290" w:type="dxa"/>
            <w:noWrap w:val="0"/>
            <w:vAlign w:val="center"/>
          </w:tcPr>
          <w:p w14:paraId="753F3D6B">
            <w:pPr>
              <w:adjustRightInd w:val="0"/>
              <w:snapToGrid w:val="0"/>
              <w:jc w:val="center"/>
              <w:rPr>
                <w:rFonts w:hint="default" w:ascii="Times New Roman" w:hAnsi="Times New Roman" w:cs="Times New Roman"/>
                <w:b/>
                <w:bCs/>
                <w:color w:val="auto"/>
                <w:sz w:val="21"/>
                <w:szCs w:val="21"/>
                <w:highlight w:val="none"/>
              </w:rPr>
            </w:pPr>
            <w:r>
              <w:rPr>
                <w:rFonts w:hint="eastAsia" w:ascii="Times New Roman" w:cs="Times New Roman"/>
                <w:b/>
                <w:bCs/>
                <w:color w:val="auto"/>
                <w:sz w:val="21"/>
                <w:szCs w:val="21"/>
                <w:highlight w:val="none"/>
                <w:lang w:eastAsia="zh-CN"/>
              </w:rPr>
              <w:t>第四类</w:t>
            </w:r>
            <w:r>
              <w:rPr>
                <w:rFonts w:hint="default" w:ascii="Times New Roman" w:hAnsi="Times New Roman" w:cs="Times New Roman"/>
                <w:b/>
                <w:bCs/>
                <w:color w:val="auto"/>
                <w:sz w:val="21"/>
                <w:szCs w:val="21"/>
                <w:highlight w:val="none"/>
              </w:rPr>
              <w:t>标准限值</w:t>
            </w:r>
          </w:p>
        </w:tc>
        <w:tc>
          <w:tcPr>
            <w:tcW w:w="1699" w:type="dxa"/>
            <w:noWrap w:val="0"/>
            <w:vAlign w:val="center"/>
          </w:tcPr>
          <w:p w14:paraId="1A8AF9A5">
            <w:pPr>
              <w:adjustRightInd w:val="0"/>
              <w:snapToGrid w:val="0"/>
              <w:jc w:val="center"/>
              <w:rPr>
                <w:rFonts w:hint="eastAsia" w:ascii="Times New Roman" w:hAnsi="Times New Roman" w:eastAsia="宋体" w:cs="Times New Roman"/>
                <w:b/>
                <w:bCs/>
                <w:color w:val="auto"/>
                <w:sz w:val="21"/>
                <w:szCs w:val="21"/>
                <w:highlight w:val="none"/>
                <w:lang w:eastAsia="zh-CN"/>
              </w:rPr>
            </w:pPr>
            <w:r>
              <w:rPr>
                <w:rFonts w:hint="eastAsia" w:ascii="Times New Roman" w:cs="Times New Roman"/>
                <w:b/>
                <w:bCs/>
                <w:color w:val="auto"/>
                <w:sz w:val="21"/>
                <w:szCs w:val="21"/>
                <w:highlight w:val="none"/>
                <w:lang w:eastAsia="zh-CN"/>
              </w:rPr>
              <w:t>标准</w:t>
            </w:r>
          </w:p>
        </w:tc>
      </w:tr>
      <w:tr w14:paraId="6CED76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blHeader/>
        </w:trPr>
        <w:tc>
          <w:tcPr>
            <w:tcW w:w="533" w:type="dxa"/>
            <w:noWrap w:val="0"/>
            <w:vAlign w:val="center"/>
          </w:tcPr>
          <w:p w14:paraId="6D119812">
            <w:pPr>
              <w:topLinePunct/>
              <w:autoSpaceDE w:val="0"/>
              <w:autoSpaceDN w:val="0"/>
              <w:adjustRightInd w:val="0"/>
              <w:snapToGrid w:val="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cs="Times New Roman"/>
                <w:b/>
                <w:bCs/>
                <w:color w:val="auto"/>
                <w:sz w:val="21"/>
                <w:szCs w:val="21"/>
                <w:highlight w:val="none"/>
                <w:lang w:val="en-US" w:eastAsia="zh-CN"/>
              </w:rPr>
              <w:t>1</w:t>
            </w:r>
          </w:p>
        </w:tc>
        <w:tc>
          <w:tcPr>
            <w:tcW w:w="2306" w:type="dxa"/>
            <w:shd w:val="clear" w:color="auto" w:fill="auto"/>
            <w:noWrap w:val="0"/>
            <w:vAlign w:val="center"/>
          </w:tcPr>
          <w:p w14:paraId="3A502B99">
            <w:pPr>
              <w:adjustRightInd w:val="0"/>
              <w:snapToGrid w:val="0"/>
              <w:jc w:val="center"/>
              <w:rPr>
                <w:rFonts w:hint="eastAsia" w:ascii="Times New Roman" w:hAnsi="Times New Roman" w:eastAsia="宋体" w:cs="Times New Roman"/>
                <w:color w:val="auto"/>
                <w:sz w:val="21"/>
                <w:szCs w:val="21"/>
                <w:highlight w:val="none"/>
                <w:u w:val="single"/>
                <w:lang w:val="en-US" w:eastAsia="zh-CN" w:bidi="ar-SA"/>
              </w:rPr>
            </w:pPr>
            <w:r>
              <w:rPr>
                <w:rFonts w:hint="eastAsia" w:ascii="Times New Roman" w:cs="Times New Roman"/>
                <w:color w:val="auto"/>
                <w:sz w:val="21"/>
                <w:szCs w:val="21"/>
                <w:highlight w:val="none"/>
                <w:u w:val="single"/>
                <w:lang w:eastAsia="zh-CN"/>
              </w:rPr>
              <w:t>悬浮物质</w:t>
            </w:r>
          </w:p>
        </w:tc>
        <w:tc>
          <w:tcPr>
            <w:tcW w:w="4290" w:type="dxa"/>
            <w:shd w:val="clear" w:color="auto" w:fill="auto"/>
            <w:noWrap w:val="0"/>
            <w:vAlign w:val="center"/>
          </w:tcPr>
          <w:p w14:paraId="43EC9AFF">
            <w:pPr>
              <w:topLinePunct/>
              <w:autoSpaceDE w:val="0"/>
              <w:autoSpaceDN w:val="0"/>
              <w:adjustRightInd w:val="0"/>
              <w:snapToGrid w:val="0"/>
              <w:jc w:val="center"/>
              <w:rPr>
                <w:rFonts w:hint="default" w:ascii="Times New Roman" w:hAnsi="Times New Roman" w:eastAsia="宋体" w:cs="Times New Roman"/>
                <w:color w:val="auto"/>
                <w:sz w:val="21"/>
                <w:szCs w:val="21"/>
                <w:highlight w:val="none"/>
                <w:u w:val="single"/>
                <w:lang w:val="en-US" w:eastAsia="zh-CN" w:bidi="ar-SA"/>
              </w:rPr>
            </w:pPr>
            <w:r>
              <w:rPr>
                <w:rFonts w:hint="eastAsia" w:ascii="Times New Roman" w:cs="Times New Roman"/>
                <w:color w:val="auto"/>
                <w:sz w:val="21"/>
                <w:szCs w:val="21"/>
                <w:highlight w:val="none"/>
                <w:u w:val="single"/>
                <w:lang w:eastAsia="zh-CN"/>
              </w:rPr>
              <w:t>人为增加的量</w:t>
            </w:r>
            <w:r>
              <w:rPr>
                <w:rFonts w:hint="default" w:ascii="Times New Roman" w:hAnsi="Times New Roman" w:cs="Times New Roman"/>
                <w:color w:val="auto"/>
                <w:sz w:val="21"/>
                <w:szCs w:val="21"/>
                <w:highlight w:val="none"/>
                <w:u w:val="single"/>
              </w:rPr>
              <w:t>≤</w:t>
            </w:r>
            <w:r>
              <w:rPr>
                <w:rFonts w:hint="eastAsia" w:ascii="Times New Roman" w:cs="Times New Roman"/>
                <w:color w:val="auto"/>
                <w:sz w:val="21"/>
                <w:szCs w:val="21"/>
                <w:highlight w:val="none"/>
                <w:u w:val="single"/>
                <w:lang w:val="en-US" w:eastAsia="zh-CN"/>
              </w:rPr>
              <w:t>150</w:t>
            </w:r>
          </w:p>
        </w:tc>
        <w:tc>
          <w:tcPr>
            <w:tcW w:w="1699" w:type="dxa"/>
            <w:vMerge w:val="restart"/>
            <w:noWrap w:val="0"/>
            <w:vAlign w:val="center"/>
          </w:tcPr>
          <w:p w14:paraId="7765C209">
            <w:pPr>
              <w:adjustRightInd w:val="0"/>
              <w:snapToGrid w:val="0"/>
              <w:jc w:val="center"/>
              <w:rPr>
                <w:rFonts w:hint="default" w:ascii="Times New Roman" w:hAnsi="Times New Roman" w:cs="Times New Roman"/>
                <w:color w:val="auto"/>
                <w:sz w:val="21"/>
                <w:szCs w:val="21"/>
                <w:highlight w:val="none"/>
                <w:u w:val="single"/>
                <w:lang w:val="en-US" w:eastAsia="zh-CN"/>
              </w:rPr>
            </w:pPr>
            <w:r>
              <w:rPr>
                <w:rFonts w:hint="default" w:ascii="Times New Roman" w:hAnsi="Times New Roman" w:cs="Times New Roman"/>
                <w:color w:val="auto"/>
                <w:sz w:val="21"/>
                <w:szCs w:val="21"/>
                <w:highlight w:val="none"/>
                <w:u w:val="single"/>
                <w:lang w:val="en-US" w:eastAsia="zh-CN"/>
              </w:rPr>
              <w:t>《</w:t>
            </w:r>
            <w:r>
              <w:rPr>
                <w:rFonts w:hint="eastAsia" w:ascii="Times New Roman" w:hAnsi="Times New Roman" w:cs="Times New Roman"/>
                <w:color w:val="auto"/>
                <w:sz w:val="21"/>
                <w:szCs w:val="21"/>
                <w:highlight w:val="none"/>
                <w:u w:val="single"/>
                <w:lang w:val="en-US" w:eastAsia="zh-CN"/>
              </w:rPr>
              <w:t>海洋水质标准</w:t>
            </w:r>
            <w:r>
              <w:rPr>
                <w:rFonts w:hint="default" w:ascii="Times New Roman" w:hAnsi="Times New Roman" w:cs="Times New Roman"/>
                <w:color w:val="auto"/>
                <w:sz w:val="21"/>
                <w:szCs w:val="21"/>
                <w:highlight w:val="none"/>
                <w:u w:val="single"/>
                <w:lang w:val="en-US" w:eastAsia="zh-CN"/>
              </w:rPr>
              <w:t>》（GB3097-1997）第四类标准</w:t>
            </w:r>
          </w:p>
        </w:tc>
      </w:tr>
      <w:tr w14:paraId="6FD097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33" w:type="dxa"/>
            <w:noWrap w:val="0"/>
            <w:vAlign w:val="center"/>
          </w:tcPr>
          <w:p w14:paraId="22586E23">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306" w:type="dxa"/>
            <w:noWrap w:val="0"/>
            <w:vAlign w:val="center"/>
          </w:tcPr>
          <w:p w14:paraId="37584750">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水温</w:t>
            </w:r>
          </w:p>
        </w:tc>
        <w:tc>
          <w:tcPr>
            <w:tcW w:w="4290" w:type="dxa"/>
            <w:noWrap w:val="0"/>
            <w:vAlign w:val="center"/>
          </w:tcPr>
          <w:p w14:paraId="40744828">
            <w:pPr>
              <w:adjustRightInd w:val="0"/>
              <w:snapToGrid w:val="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人为</w:t>
            </w:r>
            <w:r>
              <w:rPr>
                <w:rFonts w:hint="eastAsia" w:ascii="Times New Roman" w:cs="Times New Roman"/>
                <w:color w:val="auto"/>
                <w:sz w:val="21"/>
                <w:szCs w:val="21"/>
                <w:highlight w:val="none"/>
                <w:u w:val="single"/>
                <w:lang w:eastAsia="zh-CN"/>
              </w:rPr>
              <w:t>造成的海水温升高不超当时当地</w:t>
            </w:r>
            <w:r>
              <w:rPr>
                <w:rFonts w:hint="eastAsia" w:ascii="Times New Roman" w:hAnsi="Times New Roman" w:cs="Times New Roman"/>
                <w:color w:val="auto"/>
                <w:sz w:val="21"/>
                <w:szCs w:val="21"/>
                <w:highlight w:val="none"/>
                <w:u w:val="single"/>
                <w:lang w:val="en-US" w:eastAsia="zh-CN"/>
              </w:rPr>
              <w:t>4℃</w:t>
            </w:r>
          </w:p>
        </w:tc>
        <w:tc>
          <w:tcPr>
            <w:tcW w:w="1699" w:type="dxa"/>
            <w:vMerge w:val="continue"/>
            <w:noWrap w:val="0"/>
            <w:vAlign w:val="center"/>
          </w:tcPr>
          <w:p w14:paraId="4A5EDFF1">
            <w:pPr>
              <w:adjustRightInd w:val="0"/>
              <w:snapToGrid w:val="0"/>
              <w:jc w:val="center"/>
              <w:rPr>
                <w:rFonts w:hint="default" w:ascii="Times New Roman" w:hAnsi="Times New Roman" w:cs="Times New Roman"/>
                <w:color w:val="auto"/>
                <w:sz w:val="21"/>
                <w:szCs w:val="21"/>
                <w:highlight w:val="none"/>
                <w:u w:val="single"/>
                <w:lang w:val="en-US" w:eastAsia="zh-CN"/>
              </w:rPr>
            </w:pPr>
          </w:p>
        </w:tc>
      </w:tr>
      <w:tr w14:paraId="08B022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33" w:type="dxa"/>
            <w:noWrap w:val="0"/>
            <w:vAlign w:val="center"/>
          </w:tcPr>
          <w:p w14:paraId="3EDD16BB">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2306" w:type="dxa"/>
            <w:noWrap w:val="0"/>
            <w:vAlign w:val="center"/>
          </w:tcPr>
          <w:p w14:paraId="0623D895">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pH值（无量纲）</w:t>
            </w:r>
          </w:p>
        </w:tc>
        <w:tc>
          <w:tcPr>
            <w:tcW w:w="4290" w:type="dxa"/>
            <w:noWrap w:val="0"/>
            <w:vAlign w:val="center"/>
          </w:tcPr>
          <w:p w14:paraId="0B46A714">
            <w:pPr>
              <w:topLinePunct/>
              <w:autoSpaceDE w:val="0"/>
              <w:autoSpaceDN w:val="0"/>
              <w:adjustRightInd w:val="0"/>
              <w:snapToGrid w:val="0"/>
              <w:jc w:val="center"/>
              <w:rPr>
                <w:rFonts w:hint="eastAsia" w:ascii="Times New Roman" w:cs="Times New Roman"/>
                <w:color w:val="auto"/>
                <w:sz w:val="21"/>
                <w:szCs w:val="21"/>
                <w:highlight w:val="none"/>
                <w:u w:val="single"/>
                <w:lang w:val="en-US" w:eastAsia="zh-CN"/>
              </w:rPr>
            </w:pPr>
            <w:r>
              <w:rPr>
                <w:rFonts w:hint="eastAsia" w:ascii="Times New Roman" w:cs="Times New Roman"/>
                <w:color w:val="auto"/>
                <w:sz w:val="21"/>
                <w:szCs w:val="21"/>
                <w:highlight w:val="none"/>
                <w:u w:val="single"/>
                <w:lang w:val="en-US" w:eastAsia="zh-CN"/>
              </w:rPr>
              <w:t>6.8~8.8</w:t>
            </w:r>
          </w:p>
          <w:p w14:paraId="2F46D7C5">
            <w:pPr>
              <w:topLinePunct/>
              <w:autoSpaceDE w:val="0"/>
              <w:autoSpaceDN w:val="0"/>
              <w:adjustRightInd w:val="0"/>
              <w:snapToGrid w:val="0"/>
              <w:jc w:val="center"/>
              <w:rPr>
                <w:rFonts w:hint="eastAsia" w:ascii="Times New Roman" w:eastAsia="宋体" w:cs="Times New Roman"/>
                <w:color w:val="auto"/>
                <w:sz w:val="21"/>
                <w:szCs w:val="21"/>
                <w:highlight w:val="none"/>
                <w:u w:val="single"/>
                <w:lang w:val="en-US" w:eastAsia="zh-CN"/>
              </w:rPr>
            </w:pPr>
            <w:r>
              <w:rPr>
                <w:rFonts w:hint="eastAsia" w:ascii="Times New Roman" w:cs="Times New Roman"/>
                <w:color w:val="auto"/>
                <w:sz w:val="21"/>
                <w:szCs w:val="21"/>
                <w:highlight w:val="none"/>
                <w:u w:val="single"/>
                <w:lang w:val="en-US" w:eastAsia="zh-CN"/>
              </w:rPr>
              <w:t>同时不超出该海域正常变动范围的0.5</w:t>
            </w:r>
            <w:r>
              <w:rPr>
                <w:rFonts w:hint="default" w:ascii="Times New Roman" w:hAnsi="Times New Roman" w:cs="Times New Roman"/>
                <w:color w:val="auto"/>
                <w:sz w:val="21"/>
                <w:szCs w:val="21"/>
                <w:highlight w:val="none"/>
                <w:u w:val="single"/>
              </w:rPr>
              <w:t>pH</w:t>
            </w:r>
            <w:r>
              <w:rPr>
                <w:rFonts w:hint="eastAsia" w:ascii="Times New Roman" w:cs="Times New Roman"/>
                <w:color w:val="auto"/>
                <w:sz w:val="21"/>
                <w:szCs w:val="21"/>
                <w:highlight w:val="none"/>
                <w:u w:val="single"/>
                <w:lang w:eastAsia="zh-CN"/>
              </w:rPr>
              <w:t>单位</w:t>
            </w:r>
          </w:p>
        </w:tc>
        <w:tc>
          <w:tcPr>
            <w:tcW w:w="1699" w:type="dxa"/>
            <w:vMerge w:val="continue"/>
            <w:noWrap w:val="0"/>
            <w:vAlign w:val="center"/>
          </w:tcPr>
          <w:p w14:paraId="2A293C23">
            <w:pPr>
              <w:topLinePunct/>
              <w:autoSpaceDE w:val="0"/>
              <w:autoSpaceDN w:val="0"/>
              <w:adjustRightInd w:val="0"/>
              <w:snapToGrid w:val="0"/>
              <w:jc w:val="center"/>
              <w:rPr>
                <w:rFonts w:hint="default" w:ascii="Times New Roman" w:hAnsi="Times New Roman" w:cs="Times New Roman"/>
                <w:color w:val="auto"/>
                <w:sz w:val="21"/>
                <w:szCs w:val="21"/>
                <w:highlight w:val="none"/>
              </w:rPr>
            </w:pPr>
          </w:p>
        </w:tc>
      </w:tr>
      <w:tr w14:paraId="31BBBA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33" w:type="dxa"/>
            <w:noWrap w:val="0"/>
            <w:vAlign w:val="center"/>
          </w:tcPr>
          <w:p w14:paraId="2DC4773F">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2306" w:type="dxa"/>
            <w:noWrap w:val="0"/>
            <w:vAlign w:val="center"/>
          </w:tcPr>
          <w:p w14:paraId="48ACD4FC">
            <w:pPr>
              <w:adjustRightInd w:val="0"/>
              <w:snapToGrid w:val="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溶解氧</w:t>
            </w:r>
          </w:p>
        </w:tc>
        <w:tc>
          <w:tcPr>
            <w:tcW w:w="4290" w:type="dxa"/>
            <w:noWrap w:val="0"/>
            <w:vAlign w:val="center"/>
          </w:tcPr>
          <w:p w14:paraId="3E536E28">
            <w:pPr>
              <w:topLinePunct/>
              <w:autoSpaceDE w:val="0"/>
              <w:autoSpaceDN w:val="0"/>
              <w:adjustRightInd w:val="0"/>
              <w:snapToGrid w:val="0"/>
              <w:jc w:val="center"/>
              <w:rPr>
                <w:rFonts w:hint="default" w:ascii="Times New Roman" w:hAnsi="Times New Roman" w:eastAsia="宋体" w:cs="Times New Roman"/>
                <w:color w:val="auto"/>
                <w:sz w:val="21"/>
                <w:szCs w:val="21"/>
                <w:highlight w:val="none"/>
                <w:u w:val="single"/>
                <w:lang w:val="en-US" w:eastAsia="zh-CN"/>
              </w:rPr>
            </w:pPr>
            <w:r>
              <w:rPr>
                <w:rFonts w:hint="eastAsia" w:ascii="Times New Roman" w:cs="Times New Roman"/>
                <w:color w:val="auto"/>
                <w:sz w:val="21"/>
                <w:szCs w:val="21"/>
                <w:highlight w:val="none"/>
                <w:u w:val="single"/>
                <w:lang w:val="en-US" w:eastAsia="zh-CN"/>
              </w:rPr>
              <w:t>＞3</w:t>
            </w:r>
          </w:p>
        </w:tc>
        <w:tc>
          <w:tcPr>
            <w:tcW w:w="1699" w:type="dxa"/>
            <w:vMerge w:val="continue"/>
            <w:noWrap w:val="0"/>
            <w:vAlign w:val="center"/>
          </w:tcPr>
          <w:p w14:paraId="3BB3F067">
            <w:pPr>
              <w:topLinePunct/>
              <w:autoSpaceDE w:val="0"/>
              <w:autoSpaceDN w:val="0"/>
              <w:adjustRightInd w:val="0"/>
              <w:snapToGrid w:val="0"/>
              <w:jc w:val="center"/>
              <w:rPr>
                <w:rFonts w:hint="default" w:ascii="Times New Roman" w:hAnsi="Times New Roman" w:cs="Times New Roman"/>
                <w:color w:val="auto"/>
                <w:sz w:val="21"/>
                <w:szCs w:val="21"/>
                <w:highlight w:val="none"/>
              </w:rPr>
            </w:pPr>
          </w:p>
        </w:tc>
      </w:tr>
      <w:tr w14:paraId="3B24E4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33" w:type="dxa"/>
            <w:noWrap w:val="0"/>
            <w:vAlign w:val="center"/>
          </w:tcPr>
          <w:p w14:paraId="1811D82C">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2306" w:type="dxa"/>
            <w:shd w:val="clear" w:color="auto" w:fill="auto"/>
            <w:noWrap w:val="0"/>
            <w:vAlign w:val="center"/>
          </w:tcPr>
          <w:p w14:paraId="4CDF85E4">
            <w:pPr>
              <w:adjustRightInd w:val="0"/>
              <w:snapToGrid w:val="0"/>
              <w:jc w:val="center"/>
              <w:rPr>
                <w:rFonts w:hint="default" w:ascii="Times New Roman" w:hAnsi="Times New Roman" w:eastAsia="宋体" w:cs="Times New Roman"/>
                <w:color w:val="auto"/>
                <w:sz w:val="21"/>
                <w:szCs w:val="21"/>
                <w:highlight w:val="none"/>
                <w:u w:val="single"/>
                <w:lang w:val="en-US" w:eastAsia="zh-CN" w:bidi="ar-SA"/>
              </w:rPr>
            </w:pPr>
            <w:r>
              <w:rPr>
                <w:rFonts w:hint="default" w:ascii="Times New Roman" w:hAnsi="Times New Roman" w:cs="Times New Roman"/>
                <w:color w:val="auto"/>
                <w:sz w:val="21"/>
                <w:szCs w:val="21"/>
                <w:highlight w:val="none"/>
                <w:u w:val="single"/>
              </w:rPr>
              <w:t>COD</w:t>
            </w:r>
          </w:p>
        </w:tc>
        <w:tc>
          <w:tcPr>
            <w:tcW w:w="4290" w:type="dxa"/>
            <w:shd w:val="clear" w:color="auto" w:fill="auto"/>
            <w:noWrap w:val="0"/>
            <w:vAlign w:val="center"/>
          </w:tcPr>
          <w:p w14:paraId="451F682F">
            <w:pPr>
              <w:topLinePunct/>
              <w:autoSpaceDE w:val="0"/>
              <w:autoSpaceDN w:val="0"/>
              <w:adjustRightInd w:val="0"/>
              <w:snapToGrid w:val="0"/>
              <w:jc w:val="center"/>
              <w:rPr>
                <w:rFonts w:hint="default" w:ascii="Times New Roman" w:hAnsi="Times New Roman" w:eastAsia="宋体" w:cs="Times New Roman"/>
                <w:color w:val="auto"/>
                <w:sz w:val="21"/>
                <w:szCs w:val="21"/>
                <w:highlight w:val="none"/>
                <w:u w:val="single"/>
                <w:lang w:val="en-US" w:eastAsia="zh-CN" w:bidi="ar-SA"/>
              </w:rPr>
            </w:pPr>
            <w:r>
              <w:rPr>
                <w:rFonts w:hint="default" w:ascii="Times New Roman" w:hAnsi="Times New Roman" w:cs="Times New Roman"/>
                <w:color w:val="auto"/>
                <w:sz w:val="21"/>
                <w:szCs w:val="21"/>
                <w:highlight w:val="none"/>
                <w:u w:val="single"/>
              </w:rPr>
              <w:t>≤</w:t>
            </w:r>
            <w:r>
              <w:rPr>
                <w:rFonts w:hint="eastAsia" w:ascii="Times New Roman" w:cs="Times New Roman"/>
                <w:color w:val="auto"/>
                <w:sz w:val="21"/>
                <w:szCs w:val="21"/>
                <w:highlight w:val="none"/>
                <w:u w:val="single"/>
                <w:lang w:val="en-US" w:eastAsia="zh-CN"/>
              </w:rPr>
              <w:t>5</w:t>
            </w:r>
          </w:p>
        </w:tc>
        <w:tc>
          <w:tcPr>
            <w:tcW w:w="1699" w:type="dxa"/>
            <w:vMerge w:val="continue"/>
            <w:noWrap w:val="0"/>
            <w:vAlign w:val="center"/>
          </w:tcPr>
          <w:p w14:paraId="2140C6F4">
            <w:pPr>
              <w:topLinePunct/>
              <w:autoSpaceDE w:val="0"/>
              <w:autoSpaceDN w:val="0"/>
              <w:adjustRightInd w:val="0"/>
              <w:snapToGrid w:val="0"/>
              <w:jc w:val="center"/>
              <w:rPr>
                <w:rFonts w:hint="default" w:ascii="Times New Roman" w:hAnsi="Times New Roman" w:cs="Times New Roman"/>
                <w:color w:val="auto"/>
                <w:sz w:val="21"/>
                <w:szCs w:val="21"/>
                <w:highlight w:val="none"/>
              </w:rPr>
            </w:pPr>
          </w:p>
        </w:tc>
      </w:tr>
      <w:tr w14:paraId="31E9FF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33" w:type="dxa"/>
            <w:noWrap w:val="0"/>
            <w:vAlign w:val="center"/>
          </w:tcPr>
          <w:p w14:paraId="28D703C5">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2306" w:type="dxa"/>
            <w:shd w:val="clear" w:color="auto" w:fill="auto"/>
            <w:noWrap w:val="0"/>
            <w:vAlign w:val="center"/>
          </w:tcPr>
          <w:p w14:paraId="62577D65">
            <w:pPr>
              <w:adjustRightInd w:val="0"/>
              <w:snapToGrid w:val="0"/>
              <w:jc w:val="center"/>
              <w:rPr>
                <w:rFonts w:hint="default" w:ascii="Times New Roman" w:hAnsi="Times New Roman" w:eastAsia="宋体" w:cs="Times New Roman"/>
                <w:color w:val="auto"/>
                <w:sz w:val="21"/>
                <w:szCs w:val="21"/>
                <w:highlight w:val="none"/>
                <w:u w:val="single"/>
                <w:lang w:val="en-US" w:eastAsia="zh-CN" w:bidi="ar-SA"/>
              </w:rPr>
            </w:pPr>
            <w:r>
              <w:rPr>
                <w:rFonts w:hint="default" w:ascii="Times New Roman" w:hAnsi="Times New Roman" w:cs="Times New Roman"/>
                <w:color w:val="auto"/>
                <w:sz w:val="21"/>
                <w:szCs w:val="21"/>
                <w:highlight w:val="none"/>
                <w:u w:val="single"/>
              </w:rPr>
              <w:t>BOD</w:t>
            </w:r>
            <w:r>
              <w:rPr>
                <w:rFonts w:hint="default" w:ascii="Times New Roman" w:hAnsi="Times New Roman" w:cs="Times New Roman"/>
                <w:color w:val="auto"/>
                <w:sz w:val="21"/>
                <w:szCs w:val="21"/>
                <w:highlight w:val="none"/>
                <w:u w:val="single"/>
                <w:vertAlign w:val="subscript"/>
              </w:rPr>
              <w:t>5</w:t>
            </w:r>
          </w:p>
        </w:tc>
        <w:tc>
          <w:tcPr>
            <w:tcW w:w="4290" w:type="dxa"/>
            <w:shd w:val="clear" w:color="auto" w:fill="auto"/>
            <w:noWrap w:val="0"/>
            <w:vAlign w:val="center"/>
          </w:tcPr>
          <w:p w14:paraId="16C76DF6">
            <w:pPr>
              <w:topLinePunct/>
              <w:autoSpaceDE w:val="0"/>
              <w:autoSpaceDN w:val="0"/>
              <w:adjustRightInd w:val="0"/>
              <w:snapToGrid w:val="0"/>
              <w:jc w:val="center"/>
              <w:rPr>
                <w:rFonts w:hint="default" w:ascii="Times New Roman" w:hAnsi="Times New Roman" w:eastAsia="宋体" w:cs="Times New Roman"/>
                <w:color w:val="auto"/>
                <w:sz w:val="21"/>
                <w:szCs w:val="21"/>
                <w:highlight w:val="none"/>
                <w:u w:val="single"/>
                <w:lang w:val="en-US" w:eastAsia="zh-CN" w:bidi="ar-SA"/>
              </w:rPr>
            </w:pPr>
            <w:r>
              <w:rPr>
                <w:rFonts w:hint="default" w:ascii="Times New Roman" w:hAnsi="Times New Roman" w:cs="Times New Roman"/>
                <w:color w:val="auto"/>
                <w:sz w:val="21"/>
                <w:szCs w:val="21"/>
                <w:highlight w:val="none"/>
                <w:u w:val="single"/>
              </w:rPr>
              <w:t>≤</w:t>
            </w:r>
            <w:r>
              <w:rPr>
                <w:rFonts w:hint="eastAsia" w:ascii="Times New Roman" w:cs="Times New Roman"/>
                <w:color w:val="auto"/>
                <w:sz w:val="21"/>
                <w:szCs w:val="21"/>
                <w:highlight w:val="none"/>
                <w:u w:val="single"/>
                <w:lang w:val="en-US" w:eastAsia="zh-CN"/>
              </w:rPr>
              <w:t>5</w:t>
            </w:r>
          </w:p>
        </w:tc>
        <w:tc>
          <w:tcPr>
            <w:tcW w:w="1699" w:type="dxa"/>
            <w:vMerge w:val="continue"/>
            <w:noWrap w:val="0"/>
            <w:vAlign w:val="center"/>
          </w:tcPr>
          <w:p w14:paraId="661A93EC">
            <w:pPr>
              <w:topLinePunct/>
              <w:autoSpaceDE w:val="0"/>
              <w:autoSpaceDN w:val="0"/>
              <w:adjustRightInd w:val="0"/>
              <w:snapToGrid w:val="0"/>
              <w:jc w:val="center"/>
              <w:rPr>
                <w:rFonts w:hint="default" w:ascii="Times New Roman" w:hAnsi="Times New Roman" w:cs="Times New Roman"/>
                <w:color w:val="auto"/>
                <w:sz w:val="21"/>
                <w:szCs w:val="21"/>
                <w:highlight w:val="none"/>
              </w:rPr>
            </w:pPr>
          </w:p>
        </w:tc>
      </w:tr>
      <w:tr w14:paraId="7B5188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33" w:type="dxa"/>
            <w:noWrap w:val="0"/>
            <w:vAlign w:val="center"/>
          </w:tcPr>
          <w:p w14:paraId="1D64FC8B">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2306" w:type="dxa"/>
            <w:shd w:val="clear" w:color="auto" w:fill="auto"/>
            <w:noWrap w:val="0"/>
            <w:vAlign w:val="center"/>
          </w:tcPr>
          <w:p w14:paraId="7F53BBB9">
            <w:pPr>
              <w:adjustRightInd w:val="0"/>
              <w:snapToGrid w:val="0"/>
              <w:jc w:val="center"/>
              <w:rPr>
                <w:rFonts w:hint="default" w:ascii="Times New Roman" w:hAnsi="Times New Roman" w:eastAsia="宋体" w:cs="Times New Roman"/>
                <w:color w:val="auto"/>
                <w:sz w:val="21"/>
                <w:szCs w:val="21"/>
                <w:highlight w:val="none"/>
                <w:u w:val="single"/>
                <w:lang w:val="en-US" w:eastAsia="zh-CN" w:bidi="ar-SA"/>
              </w:rPr>
            </w:pPr>
            <w:r>
              <w:rPr>
                <w:rFonts w:hint="eastAsia" w:ascii="Times New Roman" w:cs="Times New Roman"/>
                <w:color w:val="auto"/>
                <w:sz w:val="21"/>
                <w:szCs w:val="21"/>
                <w:highlight w:val="none"/>
                <w:u w:val="single"/>
                <w:lang w:val="en-US" w:eastAsia="zh-CN" w:bidi="ar-SA"/>
              </w:rPr>
              <w:t>无机氮（以N计）</w:t>
            </w:r>
          </w:p>
        </w:tc>
        <w:tc>
          <w:tcPr>
            <w:tcW w:w="4290" w:type="dxa"/>
            <w:shd w:val="clear" w:color="auto" w:fill="auto"/>
            <w:noWrap w:val="0"/>
            <w:vAlign w:val="center"/>
          </w:tcPr>
          <w:p w14:paraId="4C7FD86B">
            <w:pPr>
              <w:topLinePunct/>
              <w:autoSpaceDE w:val="0"/>
              <w:autoSpaceDN w:val="0"/>
              <w:adjustRightInd w:val="0"/>
              <w:snapToGrid w:val="0"/>
              <w:jc w:val="center"/>
              <w:rPr>
                <w:rFonts w:hint="default" w:ascii="Times New Roman" w:hAnsi="Times New Roman" w:eastAsia="宋体" w:cs="Times New Roman"/>
                <w:color w:val="auto"/>
                <w:sz w:val="21"/>
                <w:szCs w:val="21"/>
                <w:highlight w:val="none"/>
                <w:u w:val="single"/>
                <w:lang w:val="en-US" w:eastAsia="zh-CN" w:bidi="ar-SA"/>
              </w:rPr>
            </w:pPr>
            <w:r>
              <w:rPr>
                <w:rFonts w:hint="default" w:ascii="Times New Roman" w:hAnsi="Times New Roman" w:cs="Times New Roman"/>
                <w:color w:val="auto"/>
                <w:sz w:val="21"/>
                <w:szCs w:val="21"/>
                <w:highlight w:val="none"/>
                <w:u w:val="single"/>
              </w:rPr>
              <w:t>≤</w:t>
            </w:r>
            <w:r>
              <w:rPr>
                <w:rFonts w:hint="eastAsia" w:ascii="Times New Roman" w:cs="Times New Roman"/>
                <w:color w:val="auto"/>
                <w:sz w:val="21"/>
                <w:szCs w:val="21"/>
                <w:highlight w:val="none"/>
                <w:u w:val="single"/>
                <w:lang w:val="en-US" w:eastAsia="zh-CN"/>
              </w:rPr>
              <w:t>0.50</w:t>
            </w:r>
          </w:p>
        </w:tc>
        <w:tc>
          <w:tcPr>
            <w:tcW w:w="1699" w:type="dxa"/>
            <w:vMerge w:val="continue"/>
            <w:noWrap w:val="0"/>
            <w:vAlign w:val="center"/>
          </w:tcPr>
          <w:p w14:paraId="67AF3BFB">
            <w:pPr>
              <w:topLinePunct/>
              <w:autoSpaceDE w:val="0"/>
              <w:autoSpaceDN w:val="0"/>
              <w:adjustRightInd w:val="0"/>
              <w:snapToGrid w:val="0"/>
              <w:jc w:val="center"/>
              <w:rPr>
                <w:rFonts w:hint="default" w:ascii="Times New Roman" w:hAnsi="Times New Roman" w:cs="Times New Roman"/>
                <w:color w:val="auto"/>
                <w:sz w:val="21"/>
                <w:szCs w:val="21"/>
                <w:highlight w:val="none"/>
              </w:rPr>
            </w:pPr>
          </w:p>
        </w:tc>
      </w:tr>
      <w:tr w14:paraId="4BE549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33" w:type="dxa"/>
            <w:shd w:val="clear" w:color="auto" w:fill="auto"/>
            <w:noWrap w:val="0"/>
            <w:vAlign w:val="center"/>
          </w:tcPr>
          <w:p w14:paraId="543F6EEF">
            <w:pPr>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7</w:t>
            </w:r>
          </w:p>
        </w:tc>
        <w:tc>
          <w:tcPr>
            <w:tcW w:w="2306" w:type="dxa"/>
            <w:shd w:val="clear" w:color="auto" w:fill="auto"/>
            <w:noWrap w:val="0"/>
            <w:vAlign w:val="center"/>
          </w:tcPr>
          <w:p w14:paraId="0A7FF0FA">
            <w:pPr>
              <w:adjustRightInd w:val="0"/>
              <w:snapToGrid w:val="0"/>
              <w:jc w:val="center"/>
              <w:rPr>
                <w:rFonts w:hint="default" w:ascii="Times New Roman" w:cs="Times New Roman"/>
                <w:color w:val="auto"/>
                <w:sz w:val="21"/>
                <w:szCs w:val="21"/>
                <w:highlight w:val="none"/>
                <w:u w:val="single"/>
                <w:lang w:val="en-US" w:eastAsia="zh-CN" w:bidi="ar-SA"/>
              </w:rPr>
            </w:pPr>
            <w:r>
              <w:rPr>
                <w:rFonts w:hint="eastAsia" w:ascii="Times New Roman" w:cs="Times New Roman"/>
                <w:color w:val="auto"/>
                <w:sz w:val="21"/>
                <w:szCs w:val="21"/>
                <w:highlight w:val="none"/>
                <w:u w:val="single"/>
                <w:lang w:val="en-US" w:eastAsia="zh-CN" w:bidi="ar-SA"/>
              </w:rPr>
              <w:t>非离子氨（以N计）</w:t>
            </w:r>
          </w:p>
        </w:tc>
        <w:tc>
          <w:tcPr>
            <w:tcW w:w="4290" w:type="dxa"/>
            <w:shd w:val="clear" w:color="auto" w:fill="auto"/>
            <w:noWrap w:val="0"/>
            <w:vAlign w:val="center"/>
          </w:tcPr>
          <w:p w14:paraId="4FC9E149">
            <w:pPr>
              <w:topLinePunct/>
              <w:autoSpaceDE w:val="0"/>
              <w:autoSpaceDN w:val="0"/>
              <w:adjustRightInd w:val="0"/>
              <w:snapToGrid w:val="0"/>
              <w:jc w:val="center"/>
              <w:rPr>
                <w:rFonts w:hint="default" w:ascii="Times New Roman" w:hAnsi="Times New Roman" w:eastAsia="宋体" w:cs="Times New Roman"/>
                <w:color w:val="auto"/>
                <w:sz w:val="21"/>
                <w:szCs w:val="21"/>
                <w:highlight w:val="none"/>
                <w:u w:val="single"/>
                <w:lang w:val="en-US" w:eastAsia="zh-CN" w:bidi="ar-SA"/>
              </w:rPr>
            </w:pPr>
            <w:r>
              <w:rPr>
                <w:rFonts w:hint="default" w:ascii="Times New Roman" w:hAnsi="Times New Roman" w:cs="Times New Roman"/>
                <w:color w:val="auto"/>
                <w:sz w:val="21"/>
                <w:szCs w:val="21"/>
                <w:highlight w:val="none"/>
                <w:u w:val="single"/>
              </w:rPr>
              <w:t>≤</w:t>
            </w:r>
            <w:r>
              <w:rPr>
                <w:rFonts w:hint="eastAsia" w:ascii="Times New Roman" w:cs="Times New Roman"/>
                <w:color w:val="auto"/>
                <w:sz w:val="21"/>
                <w:szCs w:val="21"/>
                <w:highlight w:val="none"/>
                <w:u w:val="single"/>
                <w:lang w:val="en-US" w:eastAsia="zh-CN"/>
              </w:rPr>
              <w:t>0.020</w:t>
            </w:r>
          </w:p>
        </w:tc>
        <w:tc>
          <w:tcPr>
            <w:tcW w:w="1699" w:type="dxa"/>
            <w:vMerge w:val="continue"/>
            <w:noWrap w:val="0"/>
            <w:vAlign w:val="center"/>
          </w:tcPr>
          <w:p w14:paraId="31AF8A07">
            <w:pPr>
              <w:topLinePunct/>
              <w:autoSpaceDE w:val="0"/>
              <w:autoSpaceDN w:val="0"/>
              <w:adjustRightInd w:val="0"/>
              <w:snapToGrid w:val="0"/>
              <w:jc w:val="center"/>
              <w:rPr>
                <w:rFonts w:hint="default" w:ascii="Times New Roman" w:hAnsi="Times New Roman" w:cs="Times New Roman"/>
                <w:color w:val="auto"/>
                <w:sz w:val="21"/>
                <w:szCs w:val="21"/>
                <w:highlight w:val="none"/>
              </w:rPr>
            </w:pPr>
          </w:p>
        </w:tc>
      </w:tr>
      <w:tr w14:paraId="6B85EE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33" w:type="dxa"/>
            <w:shd w:val="clear" w:color="auto" w:fill="auto"/>
            <w:noWrap w:val="0"/>
            <w:vAlign w:val="center"/>
          </w:tcPr>
          <w:p w14:paraId="0F722585">
            <w:pPr>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8</w:t>
            </w:r>
          </w:p>
        </w:tc>
        <w:tc>
          <w:tcPr>
            <w:tcW w:w="2306" w:type="dxa"/>
            <w:shd w:val="clear" w:color="auto" w:fill="auto"/>
            <w:noWrap w:val="0"/>
            <w:vAlign w:val="center"/>
          </w:tcPr>
          <w:p w14:paraId="4DB575D8">
            <w:pPr>
              <w:adjustRightInd w:val="0"/>
              <w:snapToGrid w:val="0"/>
              <w:jc w:val="center"/>
              <w:rPr>
                <w:rFonts w:hint="default" w:ascii="Times New Roman" w:hAnsi="Times New Roman" w:eastAsia="宋体" w:cs="Times New Roman"/>
                <w:color w:val="auto"/>
                <w:sz w:val="21"/>
                <w:szCs w:val="21"/>
                <w:highlight w:val="none"/>
                <w:u w:val="single"/>
                <w:lang w:val="en-US" w:eastAsia="zh-CN" w:bidi="ar-SA"/>
              </w:rPr>
            </w:pPr>
            <w:r>
              <w:rPr>
                <w:rFonts w:hint="eastAsia" w:ascii="Times New Roman" w:cs="Times New Roman"/>
                <w:color w:val="auto"/>
                <w:sz w:val="21"/>
                <w:szCs w:val="21"/>
                <w:highlight w:val="none"/>
                <w:u w:val="single"/>
                <w:lang w:eastAsia="zh-CN"/>
              </w:rPr>
              <w:t>活性磷酸盐</w:t>
            </w:r>
            <w:r>
              <w:rPr>
                <w:rFonts w:hint="eastAsia" w:ascii="Times New Roman" w:cs="Times New Roman"/>
                <w:color w:val="auto"/>
                <w:sz w:val="21"/>
                <w:szCs w:val="21"/>
                <w:highlight w:val="none"/>
                <w:u w:val="single"/>
                <w:lang w:val="en-US" w:eastAsia="zh-CN" w:bidi="ar-SA"/>
              </w:rPr>
              <w:t>（以P计）</w:t>
            </w:r>
          </w:p>
        </w:tc>
        <w:tc>
          <w:tcPr>
            <w:tcW w:w="4290" w:type="dxa"/>
            <w:shd w:val="clear" w:color="auto" w:fill="auto"/>
            <w:noWrap w:val="0"/>
            <w:vAlign w:val="center"/>
          </w:tcPr>
          <w:p w14:paraId="46E0E8D4">
            <w:pPr>
              <w:topLinePunct/>
              <w:autoSpaceDE w:val="0"/>
              <w:autoSpaceDN w:val="0"/>
              <w:adjustRightInd w:val="0"/>
              <w:snapToGrid w:val="0"/>
              <w:jc w:val="center"/>
              <w:rPr>
                <w:rFonts w:hint="default" w:ascii="Times New Roman" w:hAnsi="Times New Roman" w:eastAsia="宋体" w:cs="Times New Roman"/>
                <w:color w:val="auto"/>
                <w:sz w:val="21"/>
                <w:szCs w:val="21"/>
                <w:highlight w:val="none"/>
                <w:u w:val="single"/>
                <w:lang w:val="en-US" w:eastAsia="zh-CN" w:bidi="ar-SA"/>
              </w:rPr>
            </w:pPr>
            <w:r>
              <w:rPr>
                <w:rFonts w:hint="default" w:ascii="Times New Roman" w:hAnsi="Times New Roman" w:cs="Times New Roman"/>
                <w:color w:val="auto"/>
                <w:sz w:val="21"/>
                <w:szCs w:val="21"/>
                <w:highlight w:val="none"/>
                <w:u w:val="single"/>
              </w:rPr>
              <w:t>≤</w:t>
            </w:r>
            <w:r>
              <w:rPr>
                <w:rFonts w:hint="eastAsia" w:ascii="Times New Roman" w:cs="Times New Roman"/>
                <w:color w:val="auto"/>
                <w:sz w:val="21"/>
                <w:szCs w:val="21"/>
                <w:highlight w:val="none"/>
                <w:u w:val="single"/>
                <w:lang w:val="en-US" w:eastAsia="zh-CN"/>
              </w:rPr>
              <w:t>0.045</w:t>
            </w:r>
          </w:p>
        </w:tc>
        <w:tc>
          <w:tcPr>
            <w:tcW w:w="1699" w:type="dxa"/>
            <w:vMerge w:val="continue"/>
            <w:noWrap w:val="0"/>
            <w:vAlign w:val="center"/>
          </w:tcPr>
          <w:p w14:paraId="43950B12">
            <w:pPr>
              <w:topLinePunct/>
              <w:autoSpaceDE w:val="0"/>
              <w:autoSpaceDN w:val="0"/>
              <w:adjustRightInd w:val="0"/>
              <w:snapToGrid w:val="0"/>
              <w:jc w:val="center"/>
              <w:rPr>
                <w:rFonts w:hint="default" w:ascii="Times New Roman" w:hAnsi="Times New Roman" w:cs="Times New Roman"/>
                <w:color w:val="auto"/>
                <w:sz w:val="21"/>
                <w:szCs w:val="21"/>
                <w:highlight w:val="none"/>
              </w:rPr>
            </w:pPr>
          </w:p>
        </w:tc>
      </w:tr>
      <w:tr w14:paraId="6B5DD5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33" w:type="dxa"/>
            <w:shd w:val="clear" w:color="auto" w:fill="auto"/>
            <w:noWrap w:val="0"/>
            <w:vAlign w:val="center"/>
          </w:tcPr>
          <w:p w14:paraId="6970FCE4">
            <w:pPr>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9</w:t>
            </w:r>
          </w:p>
        </w:tc>
        <w:tc>
          <w:tcPr>
            <w:tcW w:w="2306" w:type="dxa"/>
            <w:shd w:val="clear" w:color="auto" w:fill="auto"/>
            <w:noWrap w:val="0"/>
            <w:vAlign w:val="center"/>
          </w:tcPr>
          <w:p w14:paraId="4CDFC73D">
            <w:pPr>
              <w:adjustRightInd w:val="0"/>
              <w:snapToGrid w:val="0"/>
              <w:jc w:val="center"/>
              <w:rPr>
                <w:rFonts w:hint="eastAsia" w:ascii="Times New Roman" w:hAnsi="Times New Roman" w:eastAsia="宋体" w:cs="Times New Roman"/>
                <w:color w:val="auto"/>
                <w:sz w:val="21"/>
                <w:szCs w:val="21"/>
                <w:highlight w:val="none"/>
                <w:u w:val="single"/>
                <w:lang w:val="en-US" w:eastAsia="zh-CN" w:bidi="ar-SA"/>
              </w:rPr>
            </w:pPr>
            <w:r>
              <w:rPr>
                <w:rFonts w:hint="eastAsia" w:ascii="Times New Roman" w:cs="Times New Roman"/>
                <w:color w:val="auto"/>
                <w:sz w:val="21"/>
                <w:szCs w:val="21"/>
                <w:highlight w:val="none"/>
                <w:u w:val="single"/>
                <w:lang w:eastAsia="zh-CN"/>
              </w:rPr>
              <w:t>石油类</w:t>
            </w:r>
          </w:p>
        </w:tc>
        <w:tc>
          <w:tcPr>
            <w:tcW w:w="4290" w:type="dxa"/>
            <w:shd w:val="clear" w:color="auto" w:fill="auto"/>
            <w:noWrap w:val="0"/>
            <w:vAlign w:val="center"/>
          </w:tcPr>
          <w:p w14:paraId="3469235F">
            <w:pPr>
              <w:topLinePunct/>
              <w:autoSpaceDE w:val="0"/>
              <w:autoSpaceDN w:val="0"/>
              <w:adjustRightInd w:val="0"/>
              <w:snapToGrid w:val="0"/>
              <w:jc w:val="center"/>
              <w:rPr>
                <w:rFonts w:hint="default" w:ascii="Times New Roman" w:hAnsi="Times New Roman" w:eastAsia="宋体" w:cs="Times New Roman"/>
                <w:color w:val="auto"/>
                <w:sz w:val="21"/>
                <w:szCs w:val="21"/>
                <w:highlight w:val="none"/>
                <w:u w:val="single"/>
                <w:lang w:val="en-US" w:eastAsia="zh-CN" w:bidi="ar-SA"/>
              </w:rPr>
            </w:pPr>
            <w:r>
              <w:rPr>
                <w:rFonts w:hint="default" w:ascii="Times New Roman" w:hAnsi="Times New Roman" w:cs="Times New Roman"/>
                <w:color w:val="auto"/>
                <w:sz w:val="21"/>
                <w:szCs w:val="21"/>
                <w:highlight w:val="none"/>
                <w:u w:val="single"/>
              </w:rPr>
              <w:t>≤</w:t>
            </w:r>
            <w:r>
              <w:rPr>
                <w:rFonts w:hint="eastAsia" w:ascii="Times New Roman" w:cs="Times New Roman"/>
                <w:color w:val="auto"/>
                <w:sz w:val="21"/>
                <w:szCs w:val="21"/>
                <w:highlight w:val="none"/>
                <w:u w:val="single"/>
                <w:lang w:val="en-US" w:eastAsia="zh-CN"/>
              </w:rPr>
              <w:t>0.50</w:t>
            </w:r>
          </w:p>
        </w:tc>
        <w:tc>
          <w:tcPr>
            <w:tcW w:w="1699" w:type="dxa"/>
            <w:vMerge w:val="continue"/>
            <w:noWrap w:val="0"/>
            <w:vAlign w:val="center"/>
          </w:tcPr>
          <w:p w14:paraId="79017E37">
            <w:pPr>
              <w:topLinePunct/>
              <w:autoSpaceDE w:val="0"/>
              <w:autoSpaceDN w:val="0"/>
              <w:adjustRightInd w:val="0"/>
              <w:snapToGrid w:val="0"/>
              <w:jc w:val="center"/>
              <w:rPr>
                <w:rFonts w:hint="default" w:ascii="Times New Roman" w:hAnsi="Times New Roman" w:cs="Times New Roman"/>
                <w:color w:val="auto"/>
                <w:sz w:val="21"/>
                <w:szCs w:val="21"/>
                <w:highlight w:val="none"/>
              </w:rPr>
            </w:pPr>
          </w:p>
        </w:tc>
      </w:tr>
    </w:tbl>
    <w:p w14:paraId="1EC4452D">
      <w:pPr>
        <w:pStyle w:val="6"/>
        <w:bidi w:val="0"/>
        <w:ind w:left="0" w:leftChars="0" w:firstLine="0" w:firstLineChars="0"/>
        <w:rPr>
          <w:rFonts w:hint="default"/>
          <w:color w:val="auto"/>
          <w:highlight w:val="none"/>
        </w:rPr>
      </w:pPr>
      <w:r>
        <w:rPr>
          <w:rFonts w:hint="default"/>
          <w:color w:val="auto"/>
          <w:highlight w:val="none"/>
        </w:rPr>
        <w:t>声环境质量标准</w:t>
      </w:r>
    </w:p>
    <w:p w14:paraId="4E56ABF5">
      <w:pPr>
        <w:ind w:firstLine="429" w:firstLineChars="196"/>
        <w:rPr>
          <w:rFonts w:hint="default" w:ascii="Times New Roman" w:hAnsi="Times New Roman" w:cs="Times New Roman"/>
          <w:color w:val="auto"/>
          <w:spacing w:val="-4"/>
          <w:highlight w:val="none"/>
        </w:rPr>
      </w:pPr>
      <w:r>
        <w:rPr>
          <w:rFonts w:hint="default" w:ascii="Times New Roman" w:hAnsi="Times New Roman" w:cs="Times New Roman"/>
          <w:color w:val="auto"/>
          <w:spacing w:val="-4"/>
          <w:highlight w:val="none"/>
        </w:rPr>
        <w:t>项目所在地属于</w:t>
      </w:r>
      <w:r>
        <w:rPr>
          <w:rFonts w:hint="default" w:ascii="Times New Roman" w:hAnsi="Times New Roman" w:cs="Times New Roman"/>
          <w:color w:val="auto"/>
          <w:spacing w:val="-4"/>
          <w:highlight w:val="none"/>
          <w:lang w:val="en-US" w:eastAsia="zh-CN"/>
        </w:rPr>
        <w:t>2</w:t>
      </w:r>
      <w:r>
        <w:rPr>
          <w:rFonts w:hint="default" w:ascii="Times New Roman" w:hAnsi="Times New Roman" w:cs="Times New Roman"/>
          <w:color w:val="auto"/>
          <w:spacing w:val="-4"/>
          <w:highlight w:val="none"/>
        </w:rPr>
        <w:t>类声环境功能区、4a类声环境功能区，</w:t>
      </w:r>
      <w:r>
        <w:rPr>
          <w:rFonts w:hint="default" w:ascii="Times New Roman" w:hAnsi="Times New Roman" w:cs="Times New Roman"/>
          <w:color w:val="auto"/>
          <w:spacing w:val="-4"/>
          <w:highlight w:val="none"/>
          <w:lang w:eastAsia="zh-CN"/>
        </w:rPr>
        <w:t>区域</w:t>
      </w:r>
      <w:r>
        <w:rPr>
          <w:rFonts w:hint="default" w:ascii="Times New Roman" w:hAnsi="Times New Roman" w:cs="Times New Roman"/>
          <w:color w:val="auto"/>
          <w:spacing w:val="-4"/>
          <w:highlight w:val="none"/>
        </w:rPr>
        <w:t>执行《声环境质量标准》（GB3096-2008）</w:t>
      </w:r>
      <w:r>
        <w:rPr>
          <w:rFonts w:hint="default" w:ascii="Times New Roman" w:hAnsi="Times New Roman" w:cs="Times New Roman"/>
          <w:color w:val="auto"/>
          <w:spacing w:val="-4"/>
          <w:highlight w:val="none"/>
          <w:lang w:val="en-US" w:eastAsia="zh-CN"/>
        </w:rPr>
        <w:t>2</w:t>
      </w:r>
      <w:r>
        <w:rPr>
          <w:rFonts w:hint="default" w:ascii="Times New Roman" w:hAnsi="Times New Roman" w:cs="Times New Roman"/>
          <w:color w:val="auto"/>
          <w:spacing w:val="-4"/>
          <w:highlight w:val="none"/>
        </w:rPr>
        <w:t>类标准限值，</w:t>
      </w:r>
      <w:r>
        <w:rPr>
          <w:rFonts w:hint="default" w:ascii="Times New Roman" w:hAnsi="Times New Roman" w:cs="Times New Roman"/>
          <w:color w:val="auto"/>
          <w:spacing w:val="-4"/>
          <w:highlight w:val="none"/>
          <w:lang w:eastAsia="zh-CN"/>
        </w:rPr>
        <w:t>交通干线</w:t>
      </w:r>
      <w:r>
        <w:rPr>
          <w:rFonts w:hint="default" w:ascii="Times New Roman" w:hAnsi="Times New Roman" w:cs="Times New Roman"/>
          <w:color w:val="auto"/>
          <w:spacing w:val="-4"/>
          <w:highlight w:val="none"/>
          <w:lang w:val="en-US" w:eastAsia="zh-CN"/>
        </w:rPr>
        <w:t>35米</w:t>
      </w:r>
      <w:r>
        <w:rPr>
          <w:rFonts w:hint="eastAsia" w:ascii="Times New Roman" w:hAnsi="Times New Roman" w:cs="Times New Roman"/>
          <w:color w:val="auto"/>
          <w:spacing w:val="-4"/>
          <w:highlight w:val="none"/>
          <w:lang w:eastAsia="zh-CN"/>
        </w:rPr>
        <w:t>内</w:t>
      </w:r>
      <w:r>
        <w:rPr>
          <w:rFonts w:hint="default" w:ascii="Times New Roman" w:hAnsi="Times New Roman" w:cs="Times New Roman"/>
          <w:color w:val="auto"/>
          <w:spacing w:val="-4"/>
          <w:highlight w:val="none"/>
        </w:rPr>
        <w:t>执行《声环境质量标准》（GB3096-2008）4a类标准限值，具体标准限值见</w:t>
      </w:r>
      <w:r>
        <w:rPr>
          <w:rFonts w:hint="default" w:ascii="Times New Roman" w:hAnsi="Times New Roman" w:cs="Times New Roman"/>
          <w:color w:val="auto"/>
          <w:spacing w:val="-4"/>
          <w:highlight w:val="none"/>
        </w:rPr>
        <w:fldChar w:fldCharType="begin"/>
      </w:r>
      <w:r>
        <w:rPr>
          <w:rFonts w:hint="default" w:ascii="Times New Roman" w:hAnsi="Times New Roman" w:cs="Times New Roman"/>
          <w:color w:val="auto"/>
          <w:spacing w:val="-4"/>
          <w:highlight w:val="none"/>
        </w:rPr>
        <w:instrText xml:space="preserve"> REF _Ref95300406 \r \h  \* MERGEFORMAT </w:instrText>
      </w:r>
      <w:r>
        <w:rPr>
          <w:rFonts w:hint="default" w:ascii="Times New Roman" w:hAnsi="Times New Roman" w:cs="Times New Roman"/>
          <w:color w:val="auto"/>
          <w:spacing w:val="-4"/>
          <w:highlight w:val="none"/>
        </w:rPr>
        <w:fldChar w:fldCharType="separate"/>
      </w:r>
      <w:r>
        <w:rPr>
          <w:rFonts w:hint="default" w:ascii="Times New Roman" w:hAnsi="Times New Roman" w:cs="Times New Roman"/>
          <w:color w:val="auto"/>
          <w:spacing w:val="-4"/>
          <w:highlight w:val="none"/>
        </w:rPr>
        <w:t>表1.3-3</w:t>
      </w:r>
      <w:r>
        <w:rPr>
          <w:rFonts w:hint="default" w:ascii="Times New Roman" w:hAnsi="Times New Roman" w:cs="Times New Roman"/>
          <w:color w:val="auto"/>
          <w:spacing w:val="-4"/>
          <w:highlight w:val="none"/>
        </w:rPr>
        <w:fldChar w:fldCharType="end"/>
      </w:r>
      <w:r>
        <w:rPr>
          <w:rFonts w:hint="default" w:ascii="Times New Roman" w:hAnsi="Times New Roman" w:cs="Times New Roman"/>
          <w:color w:val="auto"/>
          <w:spacing w:val="-4"/>
          <w:highlight w:val="none"/>
        </w:rPr>
        <w:t>。</w:t>
      </w:r>
    </w:p>
    <w:p w14:paraId="117E0E6E">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bookmarkStart w:id="14" w:name="_Ref95300406"/>
      <w:r>
        <w:rPr>
          <w:rFonts w:hint="default"/>
          <w:color w:val="auto"/>
          <w:highlight w:val="none"/>
        </w:rPr>
        <w:t>声环境质量标准  单位：dB（A）</w:t>
      </w:r>
      <w:bookmarkEnd w:id="14"/>
    </w:p>
    <w:tbl>
      <w:tblPr>
        <w:tblStyle w:val="8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43"/>
        <w:gridCol w:w="2942"/>
        <w:gridCol w:w="2943"/>
      </w:tblGrid>
      <w:tr w14:paraId="425D49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27" w:hRule="atLeast"/>
          <w:tblHeader/>
          <w:jc w:val="center"/>
        </w:trPr>
        <w:tc>
          <w:tcPr>
            <w:tcW w:w="2943" w:type="dxa"/>
            <w:noWrap w:val="0"/>
            <w:vAlign w:val="center"/>
          </w:tcPr>
          <w:p w14:paraId="1A2DE55F">
            <w:pPr>
              <w:pStyle w:val="69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类别</w:t>
            </w:r>
          </w:p>
        </w:tc>
        <w:tc>
          <w:tcPr>
            <w:tcW w:w="2942" w:type="dxa"/>
            <w:noWrap w:val="0"/>
            <w:vAlign w:val="center"/>
          </w:tcPr>
          <w:p w14:paraId="67EFC5A6">
            <w:pPr>
              <w:pStyle w:val="69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昼间</w:t>
            </w:r>
          </w:p>
        </w:tc>
        <w:tc>
          <w:tcPr>
            <w:tcW w:w="2943" w:type="dxa"/>
            <w:noWrap w:val="0"/>
            <w:vAlign w:val="center"/>
          </w:tcPr>
          <w:p w14:paraId="565809D8">
            <w:pPr>
              <w:pStyle w:val="69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夜间</w:t>
            </w:r>
          </w:p>
        </w:tc>
      </w:tr>
      <w:tr w14:paraId="43548D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2943" w:type="dxa"/>
            <w:noWrap w:val="0"/>
            <w:vAlign w:val="center"/>
          </w:tcPr>
          <w:p w14:paraId="22E09D46">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类</w:t>
            </w:r>
          </w:p>
        </w:tc>
        <w:tc>
          <w:tcPr>
            <w:tcW w:w="2942" w:type="dxa"/>
            <w:noWrap w:val="0"/>
            <w:vAlign w:val="center"/>
          </w:tcPr>
          <w:p w14:paraId="6A2E9F97">
            <w:pPr>
              <w:pStyle w:val="698"/>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60</w:t>
            </w:r>
          </w:p>
        </w:tc>
        <w:tc>
          <w:tcPr>
            <w:tcW w:w="2943" w:type="dxa"/>
            <w:noWrap w:val="0"/>
            <w:vAlign w:val="center"/>
          </w:tcPr>
          <w:p w14:paraId="7558167B">
            <w:pPr>
              <w:pStyle w:val="698"/>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50</w:t>
            </w:r>
          </w:p>
        </w:tc>
      </w:tr>
      <w:tr w14:paraId="37437C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943" w:type="dxa"/>
            <w:noWrap w:val="0"/>
            <w:vAlign w:val="center"/>
          </w:tcPr>
          <w:p w14:paraId="2D744B6D">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4a类</w:t>
            </w:r>
          </w:p>
        </w:tc>
        <w:tc>
          <w:tcPr>
            <w:tcW w:w="2942" w:type="dxa"/>
            <w:noWrap w:val="0"/>
            <w:vAlign w:val="center"/>
          </w:tcPr>
          <w:p w14:paraId="1D6FCCD9">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70</w:t>
            </w:r>
          </w:p>
        </w:tc>
        <w:tc>
          <w:tcPr>
            <w:tcW w:w="2943" w:type="dxa"/>
            <w:noWrap w:val="0"/>
            <w:vAlign w:val="center"/>
          </w:tcPr>
          <w:p w14:paraId="5340E6A0">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55</w:t>
            </w:r>
          </w:p>
        </w:tc>
      </w:tr>
    </w:tbl>
    <w:p w14:paraId="31F081F0">
      <w:pPr>
        <w:pStyle w:val="6"/>
        <w:bidi w:val="0"/>
        <w:ind w:left="0" w:leftChars="0" w:firstLine="0" w:firstLineChars="0"/>
        <w:rPr>
          <w:rFonts w:hint="default"/>
          <w:color w:val="auto"/>
          <w:highlight w:val="none"/>
        </w:rPr>
      </w:pPr>
      <w:r>
        <w:rPr>
          <w:rFonts w:hint="default"/>
          <w:color w:val="auto"/>
          <w:highlight w:val="none"/>
          <w:lang w:eastAsia="zh-CN"/>
        </w:rPr>
        <w:t>地下水环境质量标准</w:t>
      </w:r>
    </w:p>
    <w:p w14:paraId="58AE78FA">
      <w:pPr>
        <w:widowControl/>
        <w:adjustRightInd w:val="0"/>
        <w:snapToGrid w:val="0"/>
        <w:spacing w:line="360" w:lineRule="auto"/>
        <w:ind w:firstLine="454"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评价范围内地下水环境质量现状评价执行《地下水质量标准》（GB/T14848-2017）Ⅲ类标准。</w:t>
      </w:r>
    </w:p>
    <w:p w14:paraId="344D4CAA">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r>
        <w:rPr>
          <w:rFonts w:hint="default"/>
          <w:color w:val="auto"/>
          <w:highlight w:val="none"/>
          <w:lang w:eastAsia="zh-CN"/>
        </w:rPr>
        <w:t>地下水环境质量标准</w:t>
      </w:r>
    </w:p>
    <w:tbl>
      <w:tblPr>
        <w:tblStyle w:val="1679"/>
        <w:tblW w:w="0" w:type="auto"/>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881"/>
        <w:gridCol w:w="2876"/>
        <w:gridCol w:w="2882"/>
      </w:tblGrid>
      <w:tr w14:paraId="2AF648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2881" w:type="dxa"/>
            <w:tcBorders>
              <w:tl2br w:val="nil"/>
              <w:tr2bl w:val="nil"/>
            </w:tcBorders>
            <w:noWrap w:val="0"/>
            <w:vAlign w:val="top"/>
          </w:tcPr>
          <w:p w14:paraId="5B9A14CC">
            <w:pPr>
              <w:pStyle w:val="1647"/>
              <w:keepNext w:val="0"/>
              <w:keepLines w:val="0"/>
              <w:pageBreakBefore w:val="0"/>
              <w:widowControl w:val="0"/>
              <w:kinsoku/>
              <w:wordWrap/>
              <w:overflowPunct/>
              <w:topLinePunct w:val="0"/>
              <w:autoSpaceDE/>
              <w:autoSpaceDN/>
              <w:bidi w:val="0"/>
              <w:adjustRightInd/>
              <w:snapToGrid/>
              <w:spacing w:before="40" w:line="213" w:lineRule="auto"/>
              <w:ind w:left="0" w:leftChars="0"/>
              <w:jc w:val="center"/>
              <w:textAlignment w:val="auto"/>
              <w:rPr>
                <w:rFonts w:hint="default" w:ascii="Times New Roman" w:hAnsi="Times New Roman" w:cs="Times New Roman"/>
                <w:color w:val="auto"/>
                <w:sz w:val="21"/>
                <w:szCs w:val="21"/>
                <w:highlight w:val="none"/>
              </w:rPr>
            </w:pPr>
            <w:r>
              <w:rPr>
                <w:color w:val="auto"/>
                <w:spacing w:val="-2"/>
                <w:highlight w:val="none"/>
              </w:rPr>
              <w:t>序号</w:t>
            </w:r>
          </w:p>
        </w:tc>
        <w:tc>
          <w:tcPr>
            <w:tcW w:w="2876" w:type="dxa"/>
            <w:tcBorders>
              <w:tl2br w:val="nil"/>
              <w:tr2bl w:val="nil"/>
            </w:tcBorders>
            <w:noWrap w:val="0"/>
            <w:vAlign w:val="top"/>
          </w:tcPr>
          <w:p w14:paraId="4B8BA8F8">
            <w:pPr>
              <w:pStyle w:val="1647"/>
              <w:keepNext w:val="0"/>
              <w:keepLines w:val="0"/>
              <w:pageBreakBefore w:val="0"/>
              <w:widowControl w:val="0"/>
              <w:kinsoku/>
              <w:wordWrap/>
              <w:overflowPunct/>
              <w:topLinePunct w:val="0"/>
              <w:autoSpaceDE/>
              <w:autoSpaceDN/>
              <w:bidi w:val="0"/>
              <w:adjustRightInd/>
              <w:snapToGrid/>
              <w:spacing w:before="40" w:line="213" w:lineRule="auto"/>
              <w:ind w:left="0" w:leftChars="0"/>
              <w:jc w:val="center"/>
              <w:textAlignment w:val="auto"/>
              <w:rPr>
                <w:rFonts w:hint="default" w:ascii="Times New Roman" w:hAnsi="Times New Roman" w:cs="Times New Roman"/>
                <w:color w:val="auto"/>
                <w:sz w:val="21"/>
                <w:szCs w:val="21"/>
                <w:highlight w:val="none"/>
              </w:rPr>
            </w:pPr>
            <w:r>
              <w:rPr>
                <w:color w:val="auto"/>
                <w:spacing w:val="-2"/>
                <w:highlight w:val="none"/>
              </w:rPr>
              <w:t>水质指标</w:t>
            </w:r>
          </w:p>
        </w:tc>
        <w:tc>
          <w:tcPr>
            <w:tcW w:w="2882" w:type="dxa"/>
            <w:tcBorders>
              <w:tl2br w:val="nil"/>
              <w:tr2bl w:val="nil"/>
            </w:tcBorders>
            <w:noWrap w:val="0"/>
            <w:vAlign w:val="top"/>
          </w:tcPr>
          <w:p w14:paraId="55CD10FF">
            <w:pPr>
              <w:pStyle w:val="1647"/>
              <w:keepNext w:val="0"/>
              <w:keepLines w:val="0"/>
              <w:pageBreakBefore w:val="0"/>
              <w:widowControl w:val="0"/>
              <w:kinsoku/>
              <w:wordWrap/>
              <w:overflowPunct/>
              <w:topLinePunct w:val="0"/>
              <w:autoSpaceDE/>
              <w:autoSpaceDN/>
              <w:bidi w:val="0"/>
              <w:adjustRightInd/>
              <w:snapToGrid/>
              <w:spacing w:before="40" w:line="213" w:lineRule="auto"/>
              <w:ind w:left="0" w:leftChars="0"/>
              <w:jc w:val="center"/>
              <w:textAlignment w:val="auto"/>
              <w:rPr>
                <w:rFonts w:hint="default" w:ascii="Times New Roman" w:hAnsi="Times New Roman" w:cs="Times New Roman"/>
                <w:color w:val="auto"/>
                <w:sz w:val="21"/>
                <w:szCs w:val="21"/>
                <w:highlight w:val="none"/>
              </w:rPr>
            </w:pPr>
            <w:r>
              <w:rPr>
                <w:color w:val="auto"/>
                <w:spacing w:val="-1"/>
                <w:highlight w:val="none"/>
              </w:rPr>
              <w:t>Ⅲ类标准</w:t>
            </w:r>
          </w:p>
        </w:tc>
      </w:tr>
      <w:tr w14:paraId="79162E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2881" w:type="dxa"/>
            <w:tcBorders>
              <w:tl2br w:val="nil"/>
              <w:tr2bl w:val="nil"/>
            </w:tcBorders>
            <w:noWrap w:val="0"/>
            <w:vAlign w:val="top"/>
          </w:tcPr>
          <w:p w14:paraId="3C2E05D6">
            <w:pPr>
              <w:keepNext w:val="0"/>
              <w:keepLines w:val="0"/>
              <w:pageBreakBefore w:val="0"/>
              <w:widowControl w:val="0"/>
              <w:numPr>
                <w:ilvl w:val="0"/>
                <w:numId w:val="17"/>
              </w:numPr>
              <w:kinsoku/>
              <w:wordWrap/>
              <w:overflowPunct/>
              <w:topLinePunct w:val="0"/>
              <w:autoSpaceDE/>
              <w:autoSpaceDN/>
              <w:bidi w:val="0"/>
              <w:adjustRightInd/>
              <w:snapToGrid/>
              <w:spacing w:line="236" w:lineRule="auto"/>
              <w:ind w:left="0" w:leftChars="0" w:hanging="425" w:firstLineChars="0"/>
              <w:jc w:val="center"/>
              <w:textAlignment w:val="auto"/>
              <w:rPr>
                <w:rFonts w:hint="default" w:ascii="Times New Roman" w:hAnsi="Times New Roman" w:eastAsia="Times New Roman" w:cs="Times New Roman"/>
                <w:color w:val="auto"/>
                <w:szCs w:val="21"/>
                <w:highlight w:val="none"/>
                <w:lang w:eastAsia="en-US"/>
              </w:rPr>
            </w:pPr>
          </w:p>
        </w:tc>
        <w:tc>
          <w:tcPr>
            <w:tcW w:w="2876" w:type="dxa"/>
            <w:tcBorders>
              <w:tl2br w:val="nil"/>
              <w:tr2bl w:val="nil"/>
            </w:tcBorders>
            <w:noWrap w:val="0"/>
            <w:vAlign w:val="top"/>
          </w:tcPr>
          <w:p w14:paraId="0E2DBE8C">
            <w:pPr>
              <w:pStyle w:val="698"/>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highlight w:val="none"/>
                <w:lang w:val="en-US" w:eastAsia="zh-CN"/>
              </w:rPr>
              <w:t>pH 值（无量纲）</w:t>
            </w:r>
          </w:p>
        </w:tc>
        <w:tc>
          <w:tcPr>
            <w:tcW w:w="2882" w:type="dxa"/>
            <w:tcBorders>
              <w:tl2br w:val="nil"/>
              <w:tr2bl w:val="nil"/>
            </w:tcBorders>
            <w:noWrap w:val="0"/>
            <w:vAlign w:val="top"/>
          </w:tcPr>
          <w:p w14:paraId="0C5E323C">
            <w:pPr>
              <w:pStyle w:val="698"/>
              <w:rPr>
                <w:rFonts w:hint="default" w:ascii="Times New Roman" w:hAnsi="Times New Roman" w:eastAsia="Times New Roman" w:cs="Times New Roman"/>
                <w:color w:val="auto"/>
                <w:szCs w:val="21"/>
                <w:highlight w:val="none"/>
                <w:lang w:eastAsia="en-US"/>
              </w:rPr>
            </w:pPr>
            <w:r>
              <w:rPr>
                <w:rFonts w:hint="default" w:ascii="Times New Roman" w:hAnsi="Times New Roman" w:eastAsia="宋体" w:cs="Times New Roman"/>
                <w:color w:val="auto"/>
                <w:highlight w:val="none"/>
              </w:rPr>
              <w:t>6.5~8.5</w:t>
            </w:r>
          </w:p>
        </w:tc>
      </w:tr>
      <w:tr w14:paraId="61DA0A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2881" w:type="dxa"/>
            <w:tcBorders>
              <w:tl2br w:val="nil"/>
              <w:tr2bl w:val="nil"/>
            </w:tcBorders>
            <w:noWrap w:val="0"/>
            <w:vAlign w:val="top"/>
          </w:tcPr>
          <w:p w14:paraId="7C1E817F">
            <w:pPr>
              <w:keepNext w:val="0"/>
              <w:keepLines w:val="0"/>
              <w:pageBreakBefore w:val="0"/>
              <w:widowControl w:val="0"/>
              <w:numPr>
                <w:ilvl w:val="0"/>
                <w:numId w:val="17"/>
              </w:numPr>
              <w:kinsoku/>
              <w:wordWrap/>
              <w:overflowPunct/>
              <w:topLinePunct w:val="0"/>
              <w:autoSpaceDE/>
              <w:autoSpaceDN/>
              <w:bidi w:val="0"/>
              <w:adjustRightInd/>
              <w:snapToGrid/>
              <w:spacing w:line="236" w:lineRule="auto"/>
              <w:ind w:left="0" w:leftChars="0" w:hanging="425" w:firstLineChars="0"/>
              <w:jc w:val="center"/>
              <w:textAlignment w:val="auto"/>
              <w:rPr>
                <w:rFonts w:hint="default" w:ascii="Times New Roman" w:hAnsi="Times New Roman" w:cs="Times New Roman"/>
                <w:color w:val="auto"/>
                <w:sz w:val="21"/>
                <w:szCs w:val="21"/>
                <w:highlight w:val="none"/>
                <w:lang w:eastAsia="zh-CN"/>
              </w:rPr>
            </w:pPr>
          </w:p>
        </w:tc>
        <w:tc>
          <w:tcPr>
            <w:tcW w:w="2876" w:type="dxa"/>
            <w:tcBorders>
              <w:tl2br w:val="nil"/>
              <w:tr2bl w:val="nil"/>
            </w:tcBorders>
            <w:noWrap w:val="0"/>
            <w:vAlign w:val="top"/>
          </w:tcPr>
          <w:p w14:paraId="29DE41E7">
            <w:pPr>
              <w:pStyle w:val="698"/>
              <w:rPr>
                <w:rFonts w:hint="default" w:ascii="Times New Roman" w:hAnsi="Times New Roman" w:eastAsia="Times New Roman" w:cs="Times New Roman"/>
                <w:color w:val="auto"/>
                <w:szCs w:val="21"/>
                <w:highlight w:val="none"/>
                <w:lang w:eastAsia="en-US"/>
              </w:rPr>
            </w:pPr>
            <w:r>
              <w:rPr>
                <w:rFonts w:hint="default" w:ascii="Times New Roman" w:hAnsi="Times New Roman" w:eastAsia="宋体" w:cs="Times New Roman"/>
                <w:color w:val="auto"/>
                <w:highlight w:val="none"/>
                <w:lang w:val="en-US" w:eastAsia="zh-CN"/>
              </w:rPr>
              <w:t>耗氧量</w:t>
            </w:r>
          </w:p>
        </w:tc>
        <w:tc>
          <w:tcPr>
            <w:tcW w:w="2882" w:type="dxa"/>
            <w:tcBorders>
              <w:tl2br w:val="nil"/>
              <w:tr2bl w:val="nil"/>
            </w:tcBorders>
            <w:noWrap w:val="0"/>
            <w:vAlign w:val="top"/>
          </w:tcPr>
          <w:p w14:paraId="4494C9B5">
            <w:pPr>
              <w:pStyle w:val="698"/>
              <w:rPr>
                <w:rFonts w:hint="default" w:ascii="Times New Roman" w:hAnsi="Times New Roman" w:eastAsia="Times New Roman" w:cs="Times New Roman"/>
                <w:color w:val="auto"/>
                <w:szCs w:val="21"/>
                <w:highlight w:val="none"/>
                <w:lang w:eastAsia="en-US"/>
              </w:rPr>
            </w:pPr>
            <w:r>
              <w:rPr>
                <w:rFonts w:hint="default" w:ascii="Times New Roman" w:hAnsi="Times New Roman" w:eastAsia="宋体" w:cs="Times New Roman"/>
                <w:color w:val="auto"/>
                <w:highlight w:val="none"/>
              </w:rPr>
              <w:t>≤3.0</w:t>
            </w:r>
          </w:p>
        </w:tc>
      </w:tr>
      <w:tr w14:paraId="43C7F9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2881" w:type="dxa"/>
            <w:tcBorders>
              <w:tl2br w:val="nil"/>
              <w:tr2bl w:val="nil"/>
            </w:tcBorders>
            <w:noWrap w:val="0"/>
            <w:vAlign w:val="top"/>
          </w:tcPr>
          <w:p w14:paraId="48B2E1AB">
            <w:pPr>
              <w:keepNext w:val="0"/>
              <w:keepLines w:val="0"/>
              <w:pageBreakBefore w:val="0"/>
              <w:widowControl w:val="0"/>
              <w:numPr>
                <w:ilvl w:val="0"/>
                <w:numId w:val="17"/>
              </w:numPr>
              <w:kinsoku/>
              <w:wordWrap/>
              <w:overflowPunct/>
              <w:topLinePunct w:val="0"/>
              <w:autoSpaceDE/>
              <w:autoSpaceDN/>
              <w:bidi w:val="0"/>
              <w:adjustRightInd/>
              <w:snapToGrid/>
              <w:spacing w:line="236" w:lineRule="auto"/>
              <w:ind w:left="0" w:leftChars="0" w:hanging="425" w:firstLineChars="0"/>
              <w:jc w:val="center"/>
              <w:textAlignment w:val="auto"/>
              <w:rPr>
                <w:rFonts w:hint="default" w:ascii="Times New Roman" w:hAnsi="Times New Roman" w:cs="Times New Roman"/>
                <w:color w:val="auto"/>
                <w:sz w:val="21"/>
                <w:szCs w:val="21"/>
                <w:highlight w:val="none"/>
              </w:rPr>
            </w:pPr>
          </w:p>
        </w:tc>
        <w:tc>
          <w:tcPr>
            <w:tcW w:w="2876" w:type="dxa"/>
            <w:tcBorders>
              <w:tl2br w:val="nil"/>
              <w:tr2bl w:val="nil"/>
            </w:tcBorders>
            <w:noWrap w:val="0"/>
            <w:vAlign w:val="top"/>
          </w:tcPr>
          <w:p w14:paraId="6CAA300B">
            <w:pPr>
              <w:pStyle w:val="698"/>
              <w:rPr>
                <w:rFonts w:hint="default" w:ascii="Times New Roman" w:hAnsi="Times New Roman" w:eastAsia="Times New Roman" w:cs="Times New Roman"/>
                <w:color w:val="auto"/>
                <w:szCs w:val="21"/>
                <w:highlight w:val="none"/>
                <w:lang w:eastAsia="en-US"/>
              </w:rPr>
            </w:pPr>
            <w:r>
              <w:rPr>
                <w:rFonts w:hint="default" w:ascii="Times New Roman" w:hAnsi="Times New Roman" w:eastAsia="宋体" w:cs="Times New Roman"/>
                <w:color w:val="auto"/>
                <w:highlight w:val="none"/>
                <w:lang w:val="en-US" w:eastAsia="zh-CN"/>
              </w:rPr>
              <w:t>亚硝酸盐</w:t>
            </w:r>
          </w:p>
        </w:tc>
        <w:tc>
          <w:tcPr>
            <w:tcW w:w="2882" w:type="dxa"/>
            <w:tcBorders>
              <w:tl2br w:val="nil"/>
              <w:tr2bl w:val="nil"/>
            </w:tcBorders>
            <w:noWrap w:val="0"/>
            <w:vAlign w:val="top"/>
          </w:tcPr>
          <w:p w14:paraId="3D65C5F0">
            <w:pPr>
              <w:pStyle w:val="698"/>
              <w:rPr>
                <w:rFonts w:hint="default" w:ascii="Times New Roman" w:hAnsi="Times New Roman" w:eastAsia="Times New Roman" w:cs="Times New Roman"/>
                <w:color w:val="auto"/>
                <w:szCs w:val="21"/>
                <w:highlight w:val="none"/>
                <w:lang w:eastAsia="en-US"/>
              </w:rPr>
            </w:pPr>
            <w:r>
              <w:rPr>
                <w:rFonts w:hint="default" w:ascii="Times New Roman" w:hAnsi="Times New Roman" w:eastAsia="宋体" w:cs="Times New Roman"/>
                <w:color w:val="auto"/>
                <w:highlight w:val="none"/>
              </w:rPr>
              <w:t>≤1.00</w:t>
            </w:r>
          </w:p>
        </w:tc>
      </w:tr>
      <w:tr w14:paraId="1E54BB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2881" w:type="dxa"/>
            <w:tcBorders>
              <w:tl2br w:val="nil"/>
              <w:tr2bl w:val="nil"/>
            </w:tcBorders>
            <w:noWrap w:val="0"/>
            <w:vAlign w:val="top"/>
          </w:tcPr>
          <w:p w14:paraId="481C7082">
            <w:pPr>
              <w:keepNext w:val="0"/>
              <w:keepLines w:val="0"/>
              <w:pageBreakBefore w:val="0"/>
              <w:widowControl w:val="0"/>
              <w:numPr>
                <w:ilvl w:val="0"/>
                <w:numId w:val="17"/>
              </w:numPr>
              <w:kinsoku/>
              <w:wordWrap/>
              <w:overflowPunct/>
              <w:topLinePunct w:val="0"/>
              <w:autoSpaceDE/>
              <w:autoSpaceDN/>
              <w:bidi w:val="0"/>
              <w:adjustRightInd/>
              <w:snapToGrid/>
              <w:spacing w:line="236" w:lineRule="auto"/>
              <w:ind w:left="0" w:leftChars="0" w:hanging="425" w:firstLineChars="0"/>
              <w:jc w:val="center"/>
              <w:textAlignment w:val="auto"/>
              <w:rPr>
                <w:rFonts w:hint="default" w:ascii="Times New Roman" w:hAnsi="Times New Roman" w:cs="Times New Roman"/>
                <w:color w:val="auto"/>
                <w:sz w:val="21"/>
                <w:szCs w:val="21"/>
                <w:highlight w:val="none"/>
              </w:rPr>
            </w:pPr>
          </w:p>
        </w:tc>
        <w:tc>
          <w:tcPr>
            <w:tcW w:w="2876" w:type="dxa"/>
            <w:tcBorders>
              <w:tl2br w:val="nil"/>
              <w:tr2bl w:val="nil"/>
            </w:tcBorders>
            <w:noWrap w:val="0"/>
            <w:vAlign w:val="top"/>
          </w:tcPr>
          <w:p w14:paraId="6C0D6BAA">
            <w:pPr>
              <w:pStyle w:val="698"/>
              <w:rPr>
                <w:rFonts w:hint="default" w:ascii="Times New Roman" w:hAnsi="Times New Roman" w:eastAsia="Times New Roman" w:cs="Times New Roman"/>
                <w:color w:val="auto"/>
                <w:szCs w:val="21"/>
                <w:highlight w:val="none"/>
                <w:lang w:eastAsia="en-US"/>
              </w:rPr>
            </w:pPr>
            <w:r>
              <w:rPr>
                <w:rFonts w:hint="default" w:ascii="Times New Roman" w:hAnsi="Times New Roman" w:eastAsia="宋体" w:cs="Times New Roman"/>
                <w:color w:val="auto"/>
                <w:highlight w:val="none"/>
                <w:lang w:val="en-US" w:eastAsia="zh-CN"/>
              </w:rPr>
              <w:t>硝酸盐</w:t>
            </w:r>
          </w:p>
        </w:tc>
        <w:tc>
          <w:tcPr>
            <w:tcW w:w="2882" w:type="dxa"/>
            <w:tcBorders>
              <w:tl2br w:val="nil"/>
              <w:tr2bl w:val="nil"/>
            </w:tcBorders>
            <w:noWrap w:val="0"/>
            <w:vAlign w:val="top"/>
          </w:tcPr>
          <w:p w14:paraId="64BF1D3D">
            <w:pPr>
              <w:pStyle w:val="698"/>
              <w:rPr>
                <w:rFonts w:hint="default" w:ascii="Times New Roman" w:hAnsi="Times New Roman" w:eastAsia="Times New Roman" w:cs="Times New Roman"/>
                <w:color w:val="auto"/>
                <w:szCs w:val="21"/>
                <w:highlight w:val="none"/>
                <w:lang w:eastAsia="en-US"/>
              </w:rPr>
            </w:pPr>
            <w:r>
              <w:rPr>
                <w:rFonts w:hint="default" w:ascii="Times New Roman" w:hAnsi="Times New Roman" w:eastAsia="宋体" w:cs="Times New Roman"/>
                <w:color w:val="auto"/>
                <w:highlight w:val="none"/>
              </w:rPr>
              <w:t>≤20.0</w:t>
            </w:r>
          </w:p>
        </w:tc>
      </w:tr>
      <w:tr w14:paraId="0BA749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2881" w:type="dxa"/>
            <w:tcBorders>
              <w:tl2br w:val="nil"/>
              <w:tr2bl w:val="nil"/>
            </w:tcBorders>
            <w:noWrap w:val="0"/>
            <w:vAlign w:val="top"/>
          </w:tcPr>
          <w:p w14:paraId="3950A098">
            <w:pPr>
              <w:keepNext w:val="0"/>
              <w:keepLines w:val="0"/>
              <w:pageBreakBefore w:val="0"/>
              <w:widowControl w:val="0"/>
              <w:numPr>
                <w:ilvl w:val="0"/>
                <w:numId w:val="17"/>
              </w:numPr>
              <w:kinsoku/>
              <w:wordWrap/>
              <w:overflowPunct/>
              <w:topLinePunct w:val="0"/>
              <w:autoSpaceDE/>
              <w:autoSpaceDN/>
              <w:bidi w:val="0"/>
              <w:adjustRightInd/>
              <w:snapToGrid/>
              <w:spacing w:line="236" w:lineRule="auto"/>
              <w:ind w:left="0" w:leftChars="0" w:hanging="425" w:firstLineChars="0"/>
              <w:jc w:val="center"/>
              <w:textAlignment w:val="auto"/>
              <w:rPr>
                <w:rFonts w:hint="default" w:ascii="Times New Roman" w:hAnsi="Times New Roman" w:cs="Times New Roman"/>
                <w:color w:val="auto"/>
                <w:sz w:val="21"/>
                <w:szCs w:val="21"/>
                <w:highlight w:val="none"/>
              </w:rPr>
            </w:pPr>
          </w:p>
        </w:tc>
        <w:tc>
          <w:tcPr>
            <w:tcW w:w="2876" w:type="dxa"/>
            <w:tcBorders>
              <w:tl2br w:val="nil"/>
              <w:tr2bl w:val="nil"/>
            </w:tcBorders>
            <w:noWrap w:val="0"/>
            <w:vAlign w:val="top"/>
          </w:tcPr>
          <w:p w14:paraId="439599FA">
            <w:pPr>
              <w:pStyle w:val="698"/>
              <w:rPr>
                <w:rFonts w:hint="default" w:ascii="Times New Roman" w:hAnsi="Times New Roman" w:eastAsia="Times New Roman" w:cs="Times New Roman"/>
                <w:color w:val="auto"/>
                <w:szCs w:val="21"/>
                <w:highlight w:val="none"/>
                <w:lang w:eastAsia="en-US"/>
              </w:rPr>
            </w:pPr>
            <w:r>
              <w:rPr>
                <w:rFonts w:hint="default" w:ascii="Times New Roman" w:hAnsi="Times New Roman" w:eastAsia="宋体" w:cs="Times New Roman"/>
                <w:color w:val="auto"/>
                <w:highlight w:val="none"/>
                <w:lang w:val="en-US" w:eastAsia="zh-CN"/>
              </w:rPr>
              <w:t>氨氮</w:t>
            </w:r>
          </w:p>
        </w:tc>
        <w:tc>
          <w:tcPr>
            <w:tcW w:w="2882" w:type="dxa"/>
            <w:tcBorders>
              <w:tl2br w:val="nil"/>
              <w:tr2bl w:val="nil"/>
            </w:tcBorders>
            <w:noWrap w:val="0"/>
            <w:vAlign w:val="top"/>
          </w:tcPr>
          <w:p w14:paraId="56322E1E">
            <w:pPr>
              <w:pStyle w:val="698"/>
              <w:rPr>
                <w:rFonts w:hint="default" w:ascii="Times New Roman" w:hAnsi="Times New Roman" w:eastAsia="Times New Roman" w:cs="Times New Roman"/>
                <w:color w:val="auto"/>
                <w:szCs w:val="21"/>
                <w:highlight w:val="none"/>
                <w:lang w:eastAsia="en-US"/>
              </w:rPr>
            </w:pPr>
            <w:r>
              <w:rPr>
                <w:rFonts w:hint="default" w:ascii="Times New Roman" w:hAnsi="Times New Roman" w:eastAsia="宋体" w:cs="Times New Roman"/>
                <w:color w:val="auto"/>
                <w:highlight w:val="none"/>
              </w:rPr>
              <w:t>≤0.5</w:t>
            </w:r>
          </w:p>
        </w:tc>
      </w:tr>
      <w:tr w14:paraId="24634A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2881" w:type="dxa"/>
            <w:tcBorders>
              <w:tl2br w:val="nil"/>
              <w:tr2bl w:val="nil"/>
            </w:tcBorders>
            <w:noWrap w:val="0"/>
            <w:vAlign w:val="top"/>
          </w:tcPr>
          <w:p w14:paraId="1D1B9AC6">
            <w:pPr>
              <w:keepNext w:val="0"/>
              <w:keepLines w:val="0"/>
              <w:pageBreakBefore w:val="0"/>
              <w:widowControl w:val="0"/>
              <w:numPr>
                <w:ilvl w:val="0"/>
                <w:numId w:val="17"/>
              </w:numPr>
              <w:kinsoku/>
              <w:wordWrap/>
              <w:overflowPunct/>
              <w:topLinePunct w:val="0"/>
              <w:autoSpaceDE/>
              <w:autoSpaceDN/>
              <w:bidi w:val="0"/>
              <w:adjustRightInd/>
              <w:snapToGrid/>
              <w:spacing w:line="236" w:lineRule="auto"/>
              <w:ind w:left="0" w:leftChars="0" w:hanging="425" w:firstLineChars="0"/>
              <w:jc w:val="center"/>
              <w:textAlignment w:val="auto"/>
              <w:rPr>
                <w:rFonts w:hint="default" w:ascii="Times New Roman" w:hAnsi="Times New Roman" w:cs="Times New Roman"/>
                <w:color w:val="auto"/>
                <w:sz w:val="21"/>
                <w:szCs w:val="21"/>
                <w:highlight w:val="none"/>
              </w:rPr>
            </w:pPr>
          </w:p>
        </w:tc>
        <w:tc>
          <w:tcPr>
            <w:tcW w:w="2876" w:type="dxa"/>
            <w:tcBorders>
              <w:tl2br w:val="nil"/>
              <w:tr2bl w:val="nil"/>
            </w:tcBorders>
            <w:noWrap w:val="0"/>
            <w:vAlign w:val="top"/>
          </w:tcPr>
          <w:p w14:paraId="38BC4B94">
            <w:pPr>
              <w:pStyle w:val="698"/>
              <w:rPr>
                <w:rFonts w:hint="default" w:ascii="Times New Roman" w:hAnsi="Times New Roman" w:eastAsia="Times New Roman" w:cs="Times New Roman"/>
                <w:color w:val="auto"/>
                <w:szCs w:val="21"/>
                <w:highlight w:val="none"/>
                <w:lang w:eastAsia="en-US"/>
              </w:rPr>
            </w:pPr>
            <w:r>
              <w:rPr>
                <w:rFonts w:hint="default" w:ascii="Times New Roman" w:hAnsi="Times New Roman" w:eastAsia="宋体" w:cs="Times New Roman"/>
                <w:color w:val="auto"/>
                <w:highlight w:val="none"/>
                <w:lang w:val="en-US" w:eastAsia="zh-CN"/>
              </w:rPr>
              <w:t>挥发性酚类</w:t>
            </w:r>
          </w:p>
        </w:tc>
        <w:tc>
          <w:tcPr>
            <w:tcW w:w="2882" w:type="dxa"/>
            <w:tcBorders>
              <w:tl2br w:val="nil"/>
              <w:tr2bl w:val="nil"/>
            </w:tcBorders>
            <w:noWrap w:val="0"/>
            <w:vAlign w:val="top"/>
          </w:tcPr>
          <w:p w14:paraId="05945A7B">
            <w:pPr>
              <w:pStyle w:val="698"/>
              <w:rPr>
                <w:rFonts w:hint="default" w:ascii="Times New Roman" w:hAnsi="Times New Roman" w:eastAsia="Times New Roman" w:cs="Times New Roman"/>
                <w:color w:val="auto"/>
                <w:szCs w:val="21"/>
                <w:highlight w:val="none"/>
                <w:lang w:eastAsia="en-US"/>
              </w:rPr>
            </w:pPr>
            <w:r>
              <w:rPr>
                <w:rFonts w:hint="default" w:ascii="Times New Roman" w:hAnsi="Times New Roman" w:eastAsia="宋体" w:cs="Times New Roman"/>
                <w:color w:val="auto"/>
                <w:highlight w:val="none"/>
              </w:rPr>
              <w:t>≤0.002</w:t>
            </w:r>
          </w:p>
        </w:tc>
      </w:tr>
      <w:tr w14:paraId="1E3552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2881" w:type="dxa"/>
            <w:tcBorders>
              <w:tl2br w:val="nil"/>
              <w:tr2bl w:val="nil"/>
            </w:tcBorders>
            <w:noWrap w:val="0"/>
            <w:vAlign w:val="top"/>
          </w:tcPr>
          <w:p w14:paraId="6EB36628">
            <w:pPr>
              <w:keepNext w:val="0"/>
              <w:keepLines w:val="0"/>
              <w:pageBreakBefore w:val="0"/>
              <w:widowControl w:val="0"/>
              <w:numPr>
                <w:ilvl w:val="0"/>
                <w:numId w:val="17"/>
              </w:numPr>
              <w:kinsoku/>
              <w:wordWrap/>
              <w:overflowPunct/>
              <w:topLinePunct w:val="0"/>
              <w:autoSpaceDE/>
              <w:autoSpaceDN/>
              <w:bidi w:val="0"/>
              <w:adjustRightInd/>
              <w:snapToGrid/>
              <w:spacing w:line="236" w:lineRule="auto"/>
              <w:ind w:left="0" w:leftChars="0" w:hanging="425" w:firstLineChars="0"/>
              <w:jc w:val="center"/>
              <w:textAlignment w:val="auto"/>
              <w:rPr>
                <w:rFonts w:hint="default" w:ascii="Times New Roman" w:hAnsi="Times New Roman" w:cs="Times New Roman"/>
                <w:color w:val="auto"/>
                <w:sz w:val="21"/>
                <w:szCs w:val="21"/>
                <w:highlight w:val="none"/>
              </w:rPr>
            </w:pPr>
          </w:p>
        </w:tc>
        <w:tc>
          <w:tcPr>
            <w:tcW w:w="2876" w:type="dxa"/>
            <w:tcBorders>
              <w:tl2br w:val="nil"/>
              <w:tr2bl w:val="nil"/>
            </w:tcBorders>
            <w:noWrap w:val="0"/>
            <w:vAlign w:val="top"/>
          </w:tcPr>
          <w:p w14:paraId="7791D049">
            <w:pPr>
              <w:pStyle w:val="698"/>
              <w:rPr>
                <w:rFonts w:hint="default" w:ascii="Times New Roman" w:hAnsi="Times New Roman" w:eastAsia="Times New Roman" w:cs="Times New Roman"/>
                <w:color w:val="auto"/>
                <w:szCs w:val="21"/>
                <w:highlight w:val="none"/>
                <w:lang w:eastAsia="en-US"/>
              </w:rPr>
            </w:pPr>
            <w:r>
              <w:rPr>
                <w:rFonts w:hint="default" w:ascii="Times New Roman" w:hAnsi="Times New Roman" w:eastAsia="宋体" w:cs="Times New Roman"/>
                <w:color w:val="auto"/>
                <w:highlight w:val="none"/>
                <w:lang w:val="en-US" w:eastAsia="zh-CN"/>
              </w:rPr>
              <w:t>总大肠菌群（MPN/100mL）</w:t>
            </w:r>
          </w:p>
        </w:tc>
        <w:tc>
          <w:tcPr>
            <w:tcW w:w="2882" w:type="dxa"/>
            <w:tcBorders>
              <w:tl2br w:val="nil"/>
              <w:tr2bl w:val="nil"/>
            </w:tcBorders>
            <w:noWrap w:val="0"/>
            <w:vAlign w:val="top"/>
          </w:tcPr>
          <w:p w14:paraId="2C22C1D2">
            <w:pPr>
              <w:pStyle w:val="698"/>
              <w:rPr>
                <w:rFonts w:hint="default" w:ascii="Times New Roman" w:hAnsi="Times New Roman" w:eastAsia="Times New Roman" w:cs="Times New Roman"/>
                <w:color w:val="auto"/>
                <w:szCs w:val="21"/>
                <w:highlight w:val="none"/>
                <w:lang w:eastAsia="en-US"/>
              </w:rPr>
            </w:pPr>
            <w:r>
              <w:rPr>
                <w:rFonts w:hint="default" w:ascii="Times New Roman" w:hAnsi="Times New Roman" w:eastAsia="宋体" w:cs="Times New Roman"/>
                <w:color w:val="auto"/>
                <w:highlight w:val="none"/>
              </w:rPr>
              <w:t>≤3.0</w:t>
            </w:r>
          </w:p>
        </w:tc>
      </w:tr>
      <w:tr w14:paraId="76D6DB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2881" w:type="dxa"/>
            <w:tcBorders>
              <w:tl2br w:val="nil"/>
              <w:tr2bl w:val="nil"/>
            </w:tcBorders>
            <w:noWrap w:val="0"/>
            <w:vAlign w:val="top"/>
          </w:tcPr>
          <w:p w14:paraId="451F88B5">
            <w:pPr>
              <w:keepNext w:val="0"/>
              <w:keepLines w:val="0"/>
              <w:pageBreakBefore w:val="0"/>
              <w:widowControl w:val="0"/>
              <w:numPr>
                <w:ilvl w:val="0"/>
                <w:numId w:val="17"/>
              </w:numPr>
              <w:kinsoku/>
              <w:wordWrap/>
              <w:overflowPunct/>
              <w:topLinePunct w:val="0"/>
              <w:autoSpaceDE/>
              <w:autoSpaceDN/>
              <w:bidi w:val="0"/>
              <w:adjustRightInd/>
              <w:snapToGrid/>
              <w:spacing w:line="236" w:lineRule="auto"/>
              <w:ind w:left="0" w:leftChars="0" w:hanging="425" w:firstLineChars="0"/>
              <w:jc w:val="center"/>
              <w:textAlignment w:val="auto"/>
              <w:rPr>
                <w:rFonts w:hint="default" w:ascii="Times New Roman" w:hAnsi="Times New Roman" w:cs="Times New Roman"/>
                <w:color w:val="auto"/>
                <w:sz w:val="21"/>
                <w:szCs w:val="21"/>
                <w:highlight w:val="none"/>
              </w:rPr>
            </w:pPr>
          </w:p>
        </w:tc>
        <w:tc>
          <w:tcPr>
            <w:tcW w:w="2876" w:type="dxa"/>
            <w:tcBorders>
              <w:tl2br w:val="nil"/>
              <w:tr2bl w:val="nil"/>
            </w:tcBorders>
            <w:noWrap w:val="0"/>
            <w:vAlign w:val="top"/>
          </w:tcPr>
          <w:p w14:paraId="29179332">
            <w:pPr>
              <w:pStyle w:val="698"/>
              <w:rPr>
                <w:rFonts w:hint="default" w:ascii="Times New Roman" w:hAnsi="Times New Roman" w:eastAsia="Times New Roman" w:cs="Times New Roman"/>
                <w:color w:val="auto"/>
                <w:szCs w:val="21"/>
                <w:highlight w:val="none"/>
                <w:lang w:eastAsia="en-US"/>
              </w:rPr>
            </w:pPr>
            <w:r>
              <w:rPr>
                <w:rFonts w:hint="default" w:ascii="Times New Roman" w:hAnsi="Times New Roman" w:eastAsia="宋体" w:cs="Times New Roman"/>
                <w:color w:val="auto"/>
                <w:highlight w:val="none"/>
                <w:lang w:val="en-US" w:eastAsia="zh-CN"/>
              </w:rPr>
              <w:t>总硬度</w:t>
            </w:r>
          </w:p>
        </w:tc>
        <w:tc>
          <w:tcPr>
            <w:tcW w:w="2882" w:type="dxa"/>
            <w:tcBorders>
              <w:tl2br w:val="nil"/>
              <w:tr2bl w:val="nil"/>
            </w:tcBorders>
            <w:noWrap w:val="0"/>
            <w:vAlign w:val="top"/>
          </w:tcPr>
          <w:p w14:paraId="0B982929">
            <w:pPr>
              <w:pStyle w:val="698"/>
              <w:rPr>
                <w:rFonts w:hint="default" w:ascii="Times New Roman" w:hAnsi="Times New Roman" w:eastAsia="Times New Roman" w:cs="Times New Roman"/>
                <w:color w:val="auto"/>
                <w:szCs w:val="21"/>
                <w:highlight w:val="none"/>
                <w:lang w:eastAsia="en-US"/>
              </w:rPr>
            </w:pPr>
            <w:r>
              <w:rPr>
                <w:rFonts w:hint="default" w:ascii="Times New Roman" w:hAnsi="Times New Roman" w:eastAsia="宋体" w:cs="Times New Roman"/>
                <w:color w:val="auto"/>
                <w:highlight w:val="none"/>
              </w:rPr>
              <w:t>≤450</w:t>
            </w:r>
          </w:p>
        </w:tc>
      </w:tr>
      <w:tr w14:paraId="0BFB59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2881" w:type="dxa"/>
            <w:tcBorders>
              <w:tl2br w:val="nil"/>
              <w:tr2bl w:val="nil"/>
            </w:tcBorders>
            <w:noWrap w:val="0"/>
            <w:vAlign w:val="top"/>
          </w:tcPr>
          <w:p w14:paraId="3DDAFFD6">
            <w:pPr>
              <w:keepNext w:val="0"/>
              <w:keepLines w:val="0"/>
              <w:pageBreakBefore w:val="0"/>
              <w:widowControl w:val="0"/>
              <w:numPr>
                <w:ilvl w:val="0"/>
                <w:numId w:val="17"/>
              </w:numPr>
              <w:kinsoku/>
              <w:wordWrap/>
              <w:overflowPunct/>
              <w:topLinePunct w:val="0"/>
              <w:autoSpaceDE/>
              <w:autoSpaceDN/>
              <w:bidi w:val="0"/>
              <w:adjustRightInd/>
              <w:snapToGrid/>
              <w:spacing w:line="236" w:lineRule="auto"/>
              <w:ind w:left="0" w:leftChars="0" w:hanging="425" w:firstLineChars="0"/>
              <w:jc w:val="center"/>
              <w:textAlignment w:val="auto"/>
              <w:rPr>
                <w:rFonts w:hint="default" w:ascii="Times New Roman" w:hAnsi="Times New Roman" w:cs="Times New Roman"/>
                <w:color w:val="auto"/>
                <w:sz w:val="21"/>
                <w:szCs w:val="21"/>
                <w:highlight w:val="none"/>
              </w:rPr>
            </w:pPr>
          </w:p>
        </w:tc>
        <w:tc>
          <w:tcPr>
            <w:tcW w:w="2876" w:type="dxa"/>
            <w:tcBorders>
              <w:tl2br w:val="nil"/>
              <w:tr2bl w:val="nil"/>
            </w:tcBorders>
            <w:noWrap w:val="0"/>
            <w:vAlign w:val="top"/>
          </w:tcPr>
          <w:p w14:paraId="479F4BE7">
            <w:pPr>
              <w:pStyle w:val="698"/>
              <w:rPr>
                <w:rFonts w:hint="default" w:ascii="Times New Roman" w:hAnsi="Times New Roman" w:eastAsia="Times New Roman" w:cs="Times New Roman"/>
                <w:color w:val="auto"/>
                <w:szCs w:val="21"/>
                <w:highlight w:val="none"/>
                <w:lang w:eastAsia="en-US"/>
              </w:rPr>
            </w:pPr>
            <w:r>
              <w:rPr>
                <w:rFonts w:hint="default" w:ascii="Times New Roman" w:hAnsi="Times New Roman" w:eastAsia="宋体" w:cs="Times New Roman"/>
                <w:color w:val="auto"/>
                <w:highlight w:val="none"/>
                <w:lang w:val="en-US" w:eastAsia="zh-CN"/>
              </w:rPr>
              <w:t>溶解性总固体</w:t>
            </w:r>
          </w:p>
        </w:tc>
        <w:tc>
          <w:tcPr>
            <w:tcW w:w="2882" w:type="dxa"/>
            <w:tcBorders>
              <w:tl2br w:val="nil"/>
              <w:tr2bl w:val="nil"/>
            </w:tcBorders>
            <w:noWrap w:val="0"/>
            <w:vAlign w:val="top"/>
          </w:tcPr>
          <w:p w14:paraId="4761275F">
            <w:pPr>
              <w:pStyle w:val="698"/>
              <w:rPr>
                <w:rFonts w:hint="default" w:ascii="Times New Roman" w:hAnsi="Times New Roman" w:eastAsia="Times New Roman" w:cs="Times New Roman"/>
                <w:color w:val="auto"/>
                <w:szCs w:val="21"/>
                <w:highlight w:val="none"/>
                <w:lang w:eastAsia="en-US"/>
              </w:rPr>
            </w:pPr>
            <w:r>
              <w:rPr>
                <w:rFonts w:hint="default" w:ascii="Times New Roman" w:hAnsi="Times New Roman" w:eastAsia="宋体" w:cs="Times New Roman"/>
                <w:color w:val="auto"/>
                <w:highlight w:val="none"/>
              </w:rPr>
              <w:t>≤1000</w:t>
            </w:r>
          </w:p>
        </w:tc>
      </w:tr>
      <w:tr w14:paraId="0DC494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881" w:type="dxa"/>
            <w:tcBorders>
              <w:tl2br w:val="nil"/>
              <w:tr2bl w:val="nil"/>
            </w:tcBorders>
            <w:noWrap w:val="0"/>
            <w:vAlign w:val="top"/>
          </w:tcPr>
          <w:p w14:paraId="05D9A43D">
            <w:pPr>
              <w:keepNext w:val="0"/>
              <w:keepLines w:val="0"/>
              <w:pageBreakBefore w:val="0"/>
              <w:widowControl w:val="0"/>
              <w:numPr>
                <w:ilvl w:val="0"/>
                <w:numId w:val="17"/>
              </w:numPr>
              <w:kinsoku/>
              <w:wordWrap/>
              <w:overflowPunct/>
              <w:topLinePunct w:val="0"/>
              <w:autoSpaceDE/>
              <w:autoSpaceDN/>
              <w:bidi w:val="0"/>
              <w:adjustRightInd/>
              <w:snapToGrid/>
              <w:spacing w:line="236" w:lineRule="auto"/>
              <w:ind w:left="0" w:leftChars="0" w:hanging="425" w:firstLineChars="0"/>
              <w:jc w:val="center"/>
              <w:textAlignment w:val="auto"/>
              <w:rPr>
                <w:rFonts w:hint="default" w:ascii="Times New Roman" w:hAnsi="Times New Roman" w:cs="Times New Roman"/>
                <w:color w:val="auto"/>
                <w:sz w:val="21"/>
                <w:szCs w:val="21"/>
                <w:highlight w:val="none"/>
              </w:rPr>
            </w:pPr>
          </w:p>
        </w:tc>
        <w:tc>
          <w:tcPr>
            <w:tcW w:w="2876" w:type="dxa"/>
            <w:tcBorders>
              <w:tl2br w:val="nil"/>
              <w:tr2bl w:val="nil"/>
            </w:tcBorders>
            <w:noWrap w:val="0"/>
            <w:vAlign w:val="top"/>
          </w:tcPr>
          <w:p w14:paraId="4F52C68C">
            <w:pPr>
              <w:pStyle w:val="698"/>
              <w:rPr>
                <w:rFonts w:hint="default" w:ascii="Times New Roman" w:hAnsi="Times New Roman" w:eastAsia="Times New Roman" w:cs="Times New Roman"/>
                <w:color w:val="auto"/>
                <w:szCs w:val="21"/>
                <w:highlight w:val="none"/>
                <w:lang w:eastAsia="en-US"/>
              </w:rPr>
            </w:pPr>
            <w:r>
              <w:rPr>
                <w:rFonts w:hint="default" w:ascii="Times New Roman" w:hAnsi="Times New Roman" w:eastAsia="宋体" w:cs="Times New Roman"/>
                <w:color w:val="auto"/>
                <w:highlight w:val="none"/>
                <w:lang w:val="en-US" w:eastAsia="zh-CN"/>
              </w:rPr>
              <w:t>砷</w:t>
            </w:r>
          </w:p>
        </w:tc>
        <w:tc>
          <w:tcPr>
            <w:tcW w:w="2882" w:type="dxa"/>
            <w:tcBorders>
              <w:tl2br w:val="nil"/>
              <w:tr2bl w:val="nil"/>
            </w:tcBorders>
            <w:noWrap w:val="0"/>
            <w:vAlign w:val="top"/>
          </w:tcPr>
          <w:p w14:paraId="75CF92DB">
            <w:pPr>
              <w:pStyle w:val="698"/>
              <w:rPr>
                <w:rFonts w:hint="default" w:ascii="Times New Roman" w:hAnsi="Times New Roman" w:eastAsia="Times New Roman" w:cs="Times New Roman"/>
                <w:color w:val="auto"/>
                <w:szCs w:val="21"/>
                <w:highlight w:val="none"/>
                <w:lang w:eastAsia="en-US"/>
              </w:rPr>
            </w:pPr>
            <w:r>
              <w:rPr>
                <w:rFonts w:hint="default" w:ascii="Times New Roman" w:hAnsi="Times New Roman" w:eastAsia="宋体" w:cs="Times New Roman"/>
                <w:color w:val="auto"/>
                <w:highlight w:val="none"/>
              </w:rPr>
              <w:t>≤0.01</w:t>
            </w:r>
          </w:p>
        </w:tc>
      </w:tr>
      <w:tr w14:paraId="5A79A3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2881" w:type="dxa"/>
            <w:tcBorders>
              <w:tl2br w:val="nil"/>
              <w:tr2bl w:val="nil"/>
            </w:tcBorders>
            <w:noWrap w:val="0"/>
            <w:vAlign w:val="top"/>
          </w:tcPr>
          <w:p w14:paraId="6E2CDBDD">
            <w:pPr>
              <w:keepNext w:val="0"/>
              <w:keepLines w:val="0"/>
              <w:pageBreakBefore w:val="0"/>
              <w:widowControl w:val="0"/>
              <w:numPr>
                <w:ilvl w:val="0"/>
                <w:numId w:val="17"/>
              </w:numPr>
              <w:kinsoku/>
              <w:wordWrap/>
              <w:overflowPunct/>
              <w:topLinePunct w:val="0"/>
              <w:autoSpaceDE/>
              <w:autoSpaceDN/>
              <w:bidi w:val="0"/>
              <w:adjustRightInd/>
              <w:snapToGrid/>
              <w:spacing w:line="236" w:lineRule="auto"/>
              <w:ind w:left="0" w:leftChars="0" w:hanging="425" w:firstLineChars="0"/>
              <w:jc w:val="center"/>
              <w:textAlignment w:val="auto"/>
              <w:rPr>
                <w:rFonts w:hint="default" w:ascii="Times New Roman" w:hAnsi="Times New Roman" w:cs="Times New Roman"/>
                <w:color w:val="auto"/>
                <w:sz w:val="21"/>
                <w:szCs w:val="21"/>
                <w:highlight w:val="none"/>
              </w:rPr>
            </w:pPr>
          </w:p>
        </w:tc>
        <w:tc>
          <w:tcPr>
            <w:tcW w:w="2876" w:type="dxa"/>
            <w:tcBorders>
              <w:tl2br w:val="nil"/>
              <w:tr2bl w:val="nil"/>
            </w:tcBorders>
            <w:noWrap w:val="0"/>
            <w:vAlign w:val="top"/>
          </w:tcPr>
          <w:p w14:paraId="60337C88">
            <w:pPr>
              <w:pStyle w:val="698"/>
              <w:rPr>
                <w:rFonts w:hint="default" w:ascii="Times New Roman" w:hAnsi="Times New Roman" w:eastAsia="Times New Roman" w:cs="Times New Roman"/>
                <w:color w:val="auto"/>
                <w:szCs w:val="21"/>
                <w:highlight w:val="none"/>
                <w:lang w:eastAsia="en-US"/>
              </w:rPr>
            </w:pPr>
            <w:r>
              <w:rPr>
                <w:rFonts w:hint="default" w:ascii="Times New Roman" w:hAnsi="Times New Roman" w:eastAsia="宋体" w:cs="Times New Roman"/>
                <w:color w:val="auto"/>
                <w:highlight w:val="none"/>
                <w:lang w:val="en-US" w:eastAsia="zh-CN"/>
              </w:rPr>
              <w:t>镉</w:t>
            </w:r>
          </w:p>
        </w:tc>
        <w:tc>
          <w:tcPr>
            <w:tcW w:w="2882" w:type="dxa"/>
            <w:tcBorders>
              <w:tl2br w:val="nil"/>
              <w:tr2bl w:val="nil"/>
            </w:tcBorders>
            <w:noWrap w:val="0"/>
            <w:vAlign w:val="top"/>
          </w:tcPr>
          <w:p w14:paraId="47C04318">
            <w:pPr>
              <w:pStyle w:val="698"/>
              <w:rPr>
                <w:rFonts w:hint="default" w:ascii="Times New Roman" w:hAnsi="Times New Roman" w:cs="Times New Roman"/>
                <w:color w:val="auto"/>
                <w:szCs w:val="21"/>
                <w:highlight w:val="none"/>
                <w:lang w:eastAsia="en-US"/>
              </w:rPr>
            </w:pPr>
            <w:r>
              <w:rPr>
                <w:rFonts w:hint="default" w:ascii="Times New Roman" w:hAnsi="Times New Roman" w:eastAsia="宋体" w:cs="Times New Roman"/>
                <w:color w:val="auto"/>
                <w:highlight w:val="none"/>
              </w:rPr>
              <w:t>≤0.005</w:t>
            </w:r>
          </w:p>
        </w:tc>
      </w:tr>
      <w:tr w14:paraId="743692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2881" w:type="dxa"/>
            <w:tcBorders>
              <w:tl2br w:val="nil"/>
              <w:tr2bl w:val="nil"/>
            </w:tcBorders>
            <w:noWrap w:val="0"/>
            <w:vAlign w:val="top"/>
          </w:tcPr>
          <w:p w14:paraId="75B169AF">
            <w:pPr>
              <w:keepNext w:val="0"/>
              <w:keepLines w:val="0"/>
              <w:pageBreakBefore w:val="0"/>
              <w:widowControl w:val="0"/>
              <w:numPr>
                <w:ilvl w:val="0"/>
                <w:numId w:val="17"/>
              </w:numPr>
              <w:kinsoku/>
              <w:wordWrap/>
              <w:overflowPunct/>
              <w:topLinePunct w:val="0"/>
              <w:autoSpaceDE/>
              <w:autoSpaceDN/>
              <w:bidi w:val="0"/>
              <w:adjustRightInd/>
              <w:snapToGrid/>
              <w:spacing w:line="236" w:lineRule="auto"/>
              <w:ind w:left="0" w:leftChars="0" w:hanging="425" w:firstLineChars="0"/>
              <w:jc w:val="center"/>
              <w:textAlignment w:val="auto"/>
              <w:rPr>
                <w:rFonts w:hint="default" w:ascii="Times New Roman" w:hAnsi="Times New Roman" w:cs="Times New Roman"/>
                <w:color w:val="auto"/>
                <w:sz w:val="21"/>
                <w:szCs w:val="21"/>
                <w:highlight w:val="none"/>
              </w:rPr>
            </w:pPr>
          </w:p>
        </w:tc>
        <w:tc>
          <w:tcPr>
            <w:tcW w:w="2876" w:type="dxa"/>
            <w:tcBorders>
              <w:tl2br w:val="nil"/>
              <w:tr2bl w:val="nil"/>
            </w:tcBorders>
            <w:noWrap w:val="0"/>
            <w:vAlign w:val="top"/>
          </w:tcPr>
          <w:p w14:paraId="30DAF081">
            <w:pPr>
              <w:pStyle w:val="698"/>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highlight w:val="none"/>
                <w:lang w:val="en-US" w:eastAsia="zh-CN"/>
              </w:rPr>
              <w:t>铬（六价）</w:t>
            </w:r>
          </w:p>
        </w:tc>
        <w:tc>
          <w:tcPr>
            <w:tcW w:w="2882" w:type="dxa"/>
            <w:tcBorders>
              <w:tl2br w:val="nil"/>
              <w:tr2bl w:val="nil"/>
            </w:tcBorders>
            <w:noWrap w:val="0"/>
            <w:vAlign w:val="top"/>
          </w:tcPr>
          <w:p w14:paraId="78169850">
            <w:pPr>
              <w:pStyle w:val="698"/>
              <w:rPr>
                <w:rFonts w:hint="default" w:ascii="Times New Roman" w:hAnsi="Times New Roman" w:eastAsia="Times New Roman" w:cs="Times New Roman"/>
                <w:color w:val="auto"/>
                <w:szCs w:val="21"/>
                <w:highlight w:val="none"/>
                <w:lang w:eastAsia="en-US"/>
              </w:rPr>
            </w:pPr>
            <w:r>
              <w:rPr>
                <w:rFonts w:hint="default" w:ascii="Times New Roman" w:hAnsi="Times New Roman" w:eastAsia="宋体" w:cs="Times New Roman"/>
                <w:color w:val="auto"/>
                <w:highlight w:val="none"/>
              </w:rPr>
              <w:t>≤0.05</w:t>
            </w:r>
          </w:p>
        </w:tc>
      </w:tr>
      <w:tr w14:paraId="5358FB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2881" w:type="dxa"/>
            <w:tcBorders>
              <w:tl2br w:val="nil"/>
              <w:tr2bl w:val="nil"/>
            </w:tcBorders>
            <w:noWrap w:val="0"/>
            <w:vAlign w:val="top"/>
          </w:tcPr>
          <w:p w14:paraId="7926EEB3">
            <w:pPr>
              <w:keepNext w:val="0"/>
              <w:keepLines w:val="0"/>
              <w:pageBreakBefore w:val="0"/>
              <w:widowControl w:val="0"/>
              <w:numPr>
                <w:ilvl w:val="0"/>
                <w:numId w:val="17"/>
              </w:numPr>
              <w:kinsoku/>
              <w:wordWrap/>
              <w:overflowPunct/>
              <w:topLinePunct w:val="0"/>
              <w:autoSpaceDE/>
              <w:autoSpaceDN/>
              <w:bidi w:val="0"/>
              <w:adjustRightInd/>
              <w:snapToGrid/>
              <w:spacing w:line="236" w:lineRule="auto"/>
              <w:ind w:left="0" w:leftChars="0" w:hanging="425" w:firstLineChars="0"/>
              <w:jc w:val="center"/>
              <w:textAlignment w:val="auto"/>
              <w:rPr>
                <w:rFonts w:hint="default" w:ascii="Times New Roman" w:hAnsi="Times New Roman" w:cs="Times New Roman"/>
                <w:color w:val="auto"/>
                <w:sz w:val="21"/>
                <w:szCs w:val="21"/>
                <w:highlight w:val="none"/>
              </w:rPr>
            </w:pPr>
          </w:p>
        </w:tc>
        <w:tc>
          <w:tcPr>
            <w:tcW w:w="2876" w:type="dxa"/>
            <w:tcBorders>
              <w:tl2br w:val="nil"/>
              <w:tr2bl w:val="nil"/>
            </w:tcBorders>
            <w:noWrap w:val="0"/>
            <w:vAlign w:val="top"/>
          </w:tcPr>
          <w:p w14:paraId="596BB18C">
            <w:pPr>
              <w:pStyle w:val="698"/>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highlight w:val="none"/>
                <w:lang w:val="en-US" w:eastAsia="zh-CN"/>
              </w:rPr>
              <w:t>汞</w:t>
            </w:r>
          </w:p>
        </w:tc>
        <w:tc>
          <w:tcPr>
            <w:tcW w:w="2882" w:type="dxa"/>
            <w:tcBorders>
              <w:tl2br w:val="nil"/>
              <w:tr2bl w:val="nil"/>
            </w:tcBorders>
            <w:noWrap w:val="0"/>
            <w:vAlign w:val="top"/>
          </w:tcPr>
          <w:p w14:paraId="60DC272D">
            <w:pPr>
              <w:pStyle w:val="698"/>
              <w:rPr>
                <w:rFonts w:hint="default" w:ascii="Times New Roman" w:hAnsi="Times New Roman" w:eastAsia="Times New Roman" w:cs="Times New Roman"/>
                <w:color w:val="auto"/>
                <w:szCs w:val="21"/>
                <w:highlight w:val="none"/>
                <w:lang w:eastAsia="en-US"/>
              </w:rPr>
            </w:pPr>
            <w:r>
              <w:rPr>
                <w:rFonts w:hint="default" w:ascii="Times New Roman" w:hAnsi="Times New Roman" w:eastAsia="宋体" w:cs="Times New Roman"/>
                <w:color w:val="auto"/>
                <w:highlight w:val="none"/>
              </w:rPr>
              <w:t>≤0.001</w:t>
            </w:r>
          </w:p>
        </w:tc>
      </w:tr>
      <w:tr w14:paraId="6C3371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2881" w:type="dxa"/>
            <w:tcBorders>
              <w:tl2br w:val="nil"/>
              <w:tr2bl w:val="nil"/>
            </w:tcBorders>
            <w:noWrap w:val="0"/>
            <w:vAlign w:val="top"/>
          </w:tcPr>
          <w:p w14:paraId="5914917C">
            <w:pPr>
              <w:keepNext w:val="0"/>
              <w:keepLines w:val="0"/>
              <w:pageBreakBefore w:val="0"/>
              <w:widowControl w:val="0"/>
              <w:numPr>
                <w:ilvl w:val="0"/>
                <w:numId w:val="17"/>
              </w:numPr>
              <w:kinsoku/>
              <w:wordWrap/>
              <w:overflowPunct/>
              <w:topLinePunct w:val="0"/>
              <w:autoSpaceDE/>
              <w:autoSpaceDN/>
              <w:bidi w:val="0"/>
              <w:adjustRightInd/>
              <w:snapToGrid/>
              <w:spacing w:line="236" w:lineRule="auto"/>
              <w:ind w:left="0" w:leftChars="0" w:hanging="425" w:firstLineChars="0"/>
              <w:jc w:val="center"/>
              <w:textAlignment w:val="auto"/>
              <w:rPr>
                <w:rFonts w:hint="default" w:ascii="Times New Roman" w:hAnsi="Times New Roman" w:cs="Times New Roman"/>
                <w:color w:val="auto"/>
                <w:sz w:val="21"/>
                <w:szCs w:val="21"/>
                <w:highlight w:val="none"/>
              </w:rPr>
            </w:pPr>
          </w:p>
        </w:tc>
        <w:tc>
          <w:tcPr>
            <w:tcW w:w="2876" w:type="dxa"/>
            <w:tcBorders>
              <w:tl2br w:val="nil"/>
              <w:tr2bl w:val="nil"/>
            </w:tcBorders>
            <w:noWrap w:val="0"/>
            <w:vAlign w:val="top"/>
          </w:tcPr>
          <w:p w14:paraId="784244C2">
            <w:pPr>
              <w:pStyle w:val="698"/>
              <w:rPr>
                <w:rFonts w:hint="default" w:ascii="Times New Roman" w:hAnsi="Times New Roman" w:eastAsia="Times New Roman" w:cs="Times New Roman"/>
                <w:color w:val="auto"/>
                <w:szCs w:val="21"/>
                <w:highlight w:val="none"/>
                <w:lang w:eastAsia="en-US"/>
              </w:rPr>
            </w:pPr>
            <w:r>
              <w:rPr>
                <w:rFonts w:hint="default" w:ascii="Times New Roman" w:hAnsi="Times New Roman" w:eastAsia="宋体" w:cs="Times New Roman"/>
                <w:color w:val="auto"/>
                <w:highlight w:val="none"/>
                <w:lang w:val="en-US" w:eastAsia="zh-CN"/>
              </w:rPr>
              <w:t>铁</w:t>
            </w:r>
          </w:p>
        </w:tc>
        <w:tc>
          <w:tcPr>
            <w:tcW w:w="2882" w:type="dxa"/>
            <w:tcBorders>
              <w:tl2br w:val="nil"/>
              <w:tr2bl w:val="nil"/>
            </w:tcBorders>
            <w:noWrap w:val="0"/>
            <w:vAlign w:val="top"/>
          </w:tcPr>
          <w:p w14:paraId="16FD6CAE">
            <w:pPr>
              <w:pStyle w:val="698"/>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highlight w:val="none"/>
              </w:rPr>
              <w:t>≤0.3</w:t>
            </w:r>
          </w:p>
        </w:tc>
      </w:tr>
      <w:tr w14:paraId="0AC05A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2881" w:type="dxa"/>
            <w:tcBorders>
              <w:tl2br w:val="nil"/>
              <w:tr2bl w:val="nil"/>
            </w:tcBorders>
            <w:noWrap w:val="0"/>
            <w:vAlign w:val="top"/>
          </w:tcPr>
          <w:p w14:paraId="7B6D430E">
            <w:pPr>
              <w:keepNext w:val="0"/>
              <w:keepLines w:val="0"/>
              <w:pageBreakBefore w:val="0"/>
              <w:widowControl w:val="0"/>
              <w:numPr>
                <w:ilvl w:val="0"/>
                <w:numId w:val="17"/>
              </w:numPr>
              <w:kinsoku/>
              <w:wordWrap/>
              <w:overflowPunct/>
              <w:topLinePunct w:val="0"/>
              <w:autoSpaceDE/>
              <w:autoSpaceDN/>
              <w:bidi w:val="0"/>
              <w:adjustRightInd/>
              <w:snapToGrid/>
              <w:spacing w:line="236" w:lineRule="auto"/>
              <w:ind w:left="0" w:leftChars="0" w:hanging="425" w:firstLineChars="0"/>
              <w:jc w:val="center"/>
              <w:textAlignment w:val="auto"/>
              <w:rPr>
                <w:rFonts w:hint="default" w:ascii="Times New Roman" w:hAnsi="Times New Roman" w:cs="Times New Roman"/>
                <w:color w:val="auto"/>
                <w:sz w:val="21"/>
                <w:szCs w:val="21"/>
                <w:highlight w:val="none"/>
              </w:rPr>
            </w:pPr>
          </w:p>
        </w:tc>
        <w:tc>
          <w:tcPr>
            <w:tcW w:w="2876" w:type="dxa"/>
            <w:tcBorders>
              <w:tl2br w:val="nil"/>
              <w:tr2bl w:val="nil"/>
            </w:tcBorders>
            <w:noWrap w:val="0"/>
            <w:vAlign w:val="top"/>
          </w:tcPr>
          <w:p w14:paraId="61B26CB7">
            <w:pPr>
              <w:pStyle w:val="698"/>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锰</w:t>
            </w:r>
          </w:p>
        </w:tc>
        <w:tc>
          <w:tcPr>
            <w:tcW w:w="2882" w:type="dxa"/>
            <w:tcBorders>
              <w:tl2br w:val="nil"/>
              <w:tr2bl w:val="nil"/>
            </w:tcBorders>
            <w:noWrap w:val="0"/>
            <w:vAlign w:val="top"/>
          </w:tcPr>
          <w:p w14:paraId="20A3BF4E">
            <w:pPr>
              <w:pStyle w:val="69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≤0.10</w:t>
            </w:r>
          </w:p>
        </w:tc>
      </w:tr>
      <w:tr w14:paraId="756BAD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2881" w:type="dxa"/>
            <w:tcBorders>
              <w:tl2br w:val="nil"/>
              <w:tr2bl w:val="nil"/>
            </w:tcBorders>
            <w:noWrap w:val="0"/>
            <w:vAlign w:val="top"/>
          </w:tcPr>
          <w:p w14:paraId="22A2BFF5">
            <w:pPr>
              <w:keepNext w:val="0"/>
              <w:keepLines w:val="0"/>
              <w:pageBreakBefore w:val="0"/>
              <w:widowControl w:val="0"/>
              <w:numPr>
                <w:ilvl w:val="0"/>
                <w:numId w:val="17"/>
              </w:numPr>
              <w:kinsoku/>
              <w:wordWrap/>
              <w:overflowPunct/>
              <w:topLinePunct w:val="0"/>
              <w:autoSpaceDE/>
              <w:autoSpaceDN/>
              <w:bidi w:val="0"/>
              <w:adjustRightInd/>
              <w:snapToGrid/>
              <w:spacing w:line="236" w:lineRule="auto"/>
              <w:ind w:left="0" w:leftChars="0" w:hanging="425" w:firstLineChars="0"/>
              <w:jc w:val="center"/>
              <w:textAlignment w:val="auto"/>
              <w:rPr>
                <w:rFonts w:hint="default" w:ascii="Times New Roman" w:hAnsi="Times New Roman" w:cs="Times New Roman"/>
                <w:color w:val="auto"/>
                <w:sz w:val="21"/>
                <w:szCs w:val="21"/>
                <w:highlight w:val="none"/>
              </w:rPr>
            </w:pPr>
          </w:p>
        </w:tc>
        <w:tc>
          <w:tcPr>
            <w:tcW w:w="2876" w:type="dxa"/>
            <w:tcBorders>
              <w:tl2br w:val="nil"/>
              <w:tr2bl w:val="nil"/>
            </w:tcBorders>
            <w:noWrap w:val="0"/>
            <w:vAlign w:val="top"/>
          </w:tcPr>
          <w:p w14:paraId="09068647">
            <w:pPr>
              <w:pStyle w:val="698"/>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铅</w:t>
            </w:r>
          </w:p>
        </w:tc>
        <w:tc>
          <w:tcPr>
            <w:tcW w:w="2882" w:type="dxa"/>
            <w:tcBorders>
              <w:tl2br w:val="nil"/>
              <w:tr2bl w:val="nil"/>
            </w:tcBorders>
            <w:noWrap w:val="0"/>
            <w:vAlign w:val="top"/>
          </w:tcPr>
          <w:p w14:paraId="7C4D8015">
            <w:pPr>
              <w:pStyle w:val="69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≤0.01</w:t>
            </w:r>
          </w:p>
        </w:tc>
      </w:tr>
    </w:tbl>
    <w:p w14:paraId="08A40590">
      <w:pPr>
        <w:pStyle w:val="6"/>
        <w:bidi w:val="0"/>
        <w:ind w:left="0" w:leftChars="0" w:firstLine="0" w:firstLineChars="0"/>
        <w:rPr>
          <w:rFonts w:hint="default"/>
          <w:color w:val="auto"/>
          <w:highlight w:val="none"/>
        </w:rPr>
      </w:pPr>
      <w:r>
        <w:rPr>
          <w:rFonts w:hint="default"/>
          <w:color w:val="auto"/>
          <w:highlight w:val="none"/>
          <w:lang w:eastAsia="zh-CN"/>
        </w:rPr>
        <w:t>土壤环境质量标准</w:t>
      </w:r>
    </w:p>
    <w:p w14:paraId="59490CDC">
      <w:pPr>
        <w:ind w:firstLine="480"/>
        <w:rPr>
          <w:rFonts w:hint="default" w:ascii="Times New Roman" w:hAnsi="Times New Roman" w:eastAsia="宋体" w:cs="Times New Roman"/>
          <w:color w:val="auto"/>
          <w:szCs w:val="24"/>
          <w:highlight w:val="none"/>
          <w:u w:val="none" w:color="auto"/>
        </w:rPr>
      </w:pPr>
      <w:r>
        <w:rPr>
          <w:rFonts w:hint="default" w:ascii="Times New Roman" w:hAnsi="Times New Roman" w:cs="Times New Roman"/>
          <w:color w:val="auto"/>
          <w:highlight w:val="none"/>
          <w:lang w:eastAsia="zh-CN"/>
        </w:rPr>
        <w:t>周边农用地土壤</w:t>
      </w:r>
      <w:r>
        <w:rPr>
          <w:rFonts w:hint="eastAsia" w:ascii="Times New Roman" w:hAnsi="Times New Roman" w:cs="Times New Roman"/>
          <w:color w:val="auto"/>
          <w:highlight w:val="none"/>
          <w:lang w:eastAsia="zh-CN"/>
        </w:rPr>
        <w:t>及</w:t>
      </w:r>
      <w:r>
        <w:rPr>
          <w:rFonts w:hint="default" w:ascii="Times New Roman" w:hAnsi="Times New Roman" w:cs="Times New Roman"/>
          <w:color w:val="auto"/>
          <w:highlight w:val="none"/>
          <w:lang w:eastAsia="zh-CN"/>
        </w:rPr>
        <w:t>执行</w:t>
      </w:r>
      <w:r>
        <w:rPr>
          <w:rFonts w:hint="default" w:ascii="Times New Roman" w:hAnsi="Times New Roman" w:eastAsia="宋体" w:cs="Times New Roman"/>
          <w:color w:val="auto"/>
          <w:szCs w:val="24"/>
          <w:highlight w:val="none"/>
          <w:u w:val="none" w:color="auto"/>
        </w:rPr>
        <w:t>《土壤环境质量 农用地土壤污染风险管控标准（试行）》（GB 15618-2018）</w:t>
      </w:r>
      <w:r>
        <w:rPr>
          <w:rFonts w:hint="eastAsia" w:ascii="Times New Roman" w:hAnsi="Times New Roman" w:eastAsia="宋体" w:cs="Times New Roman"/>
          <w:color w:val="auto"/>
          <w:szCs w:val="24"/>
          <w:highlight w:val="none"/>
          <w:u w:val="none" w:color="auto"/>
          <w:lang w:eastAsia="zh-CN"/>
        </w:rPr>
        <w:t>；底泥参照执行</w:t>
      </w:r>
      <w:r>
        <w:rPr>
          <w:rFonts w:hint="eastAsia" w:ascii="Times New Roman" w:cs="Times New Roman"/>
          <w:color w:val="auto"/>
          <w:szCs w:val="24"/>
          <w:highlight w:val="none"/>
          <w:u w:val="none" w:color="auto"/>
          <w:lang w:eastAsia="zh-CN"/>
        </w:rPr>
        <w:t>《</w:t>
      </w:r>
      <w:r>
        <w:rPr>
          <w:rFonts w:hint="eastAsia" w:ascii="Times New Roman" w:hAnsi="Times New Roman" w:eastAsia="宋体" w:cs="Times New Roman"/>
          <w:color w:val="auto"/>
          <w:szCs w:val="24"/>
          <w:highlight w:val="none"/>
          <w:u w:val="none" w:color="auto"/>
          <w:lang w:eastAsia="zh-CN"/>
        </w:rPr>
        <w:t>土壤环境质量 农用地土壤污染风险管控标准（试行）》（GB 15618-2018）</w:t>
      </w:r>
      <w:r>
        <w:rPr>
          <w:rFonts w:hint="default" w:ascii="Times New Roman" w:hAnsi="Times New Roman" w:eastAsia="宋体" w:cs="Times New Roman"/>
          <w:color w:val="auto"/>
          <w:szCs w:val="24"/>
          <w:highlight w:val="none"/>
          <w:u w:val="none" w:color="auto"/>
        </w:rPr>
        <w:t>，具体见</w:t>
      </w:r>
      <w:r>
        <w:rPr>
          <w:rFonts w:hint="default" w:ascii="Times New Roman" w:hAnsi="Times New Roman" w:eastAsia="宋体" w:cs="Times New Roman"/>
          <w:color w:val="auto"/>
          <w:szCs w:val="24"/>
          <w:highlight w:val="none"/>
          <w:u w:val="none" w:color="auto"/>
          <w:lang w:val="en-US"/>
        </w:rPr>
        <w:fldChar w:fldCharType="begin"/>
      </w:r>
      <w:r>
        <w:rPr>
          <w:rFonts w:hint="default" w:ascii="Times New Roman" w:hAnsi="Times New Roman" w:eastAsia="宋体" w:cs="Times New Roman"/>
          <w:color w:val="auto"/>
          <w:szCs w:val="24"/>
          <w:highlight w:val="none"/>
          <w:u w:val="none" w:color="auto"/>
          <w:lang w:val="en-US"/>
        </w:rPr>
        <w:instrText xml:space="preserve"> REF _Ref8011 \r \h </w:instrText>
      </w:r>
      <w:r>
        <w:rPr>
          <w:rFonts w:hint="default" w:ascii="Times New Roman" w:hAnsi="Times New Roman" w:eastAsia="宋体" w:cs="Times New Roman"/>
          <w:color w:val="auto"/>
          <w:szCs w:val="24"/>
          <w:highlight w:val="none"/>
          <w:u w:val="none" w:color="auto"/>
          <w:lang w:val="en-US"/>
        </w:rPr>
        <w:fldChar w:fldCharType="separate"/>
      </w:r>
      <w:r>
        <w:rPr>
          <w:rFonts w:hint="default" w:ascii="Times New Roman" w:hAnsi="Times New Roman" w:eastAsia="宋体" w:cs="Times New Roman"/>
          <w:color w:val="auto"/>
          <w:szCs w:val="24"/>
          <w:highlight w:val="none"/>
          <w:u w:val="none" w:color="auto"/>
          <w:lang w:val="en-US"/>
        </w:rPr>
        <w:t>表1.3-5</w:t>
      </w:r>
      <w:r>
        <w:rPr>
          <w:rFonts w:hint="default" w:ascii="Times New Roman" w:hAnsi="Times New Roman" w:eastAsia="宋体" w:cs="Times New Roman"/>
          <w:color w:val="auto"/>
          <w:szCs w:val="24"/>
          <w:highlight w:val="none"/>
          <w:u w:val="none" w:color="auto"/>
          <w:lang w:val="en-US"/>
        </w:rPr>
        <w:fldChar w:fldCharType="end"/>
      </w:r>
      <w:r>
        <w:rPr>
          <w:rFonts w:hint="default" w:ascii="Times New Roman" w:hAnsi="Times New Roman" w:eastAsia="宋体" w:cs="Times New Roman"/>
          <w:color w:val="auto"/>
          <w:szCs w:val="24"/>
          <w:highlight w:val="none"/>
          <w:u w:val="none" w:color="auto"/>
        </w:rPr>
        <w:t>。</w:t>
      </w:r>
    </w:p>
    <w:p w14:paraId="70AE1C2D">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bookmarkStart w:id="15" w:name="_Ref8011"/>
      <w:r>
        <w:rPr>
          <w:rFonts w:hint="default"/>
          <w:color w:val="auto"/>
          <w:highlight w:val="none"/>
        </w:rPr>
        <w:t>《土壤环境质量农用地土壤污染风险管控标准（试行）》  单位：mg/kg</w:t>
      </w:r>
      <w:bookmarkEnd w:id="15"/>
    </w:p>
    <w:tbl>
      <w:tblPr>
        <w:tblStyle w:val="8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690"/>
        <w:gridCol w:w="1305"/>
        <w:gridCol w:w="1222"/>
        <w:gridCol w:w="1834"/>
        <w:gridCol w:w="1834"/>
        <w:gridCol w:w="1086"/>
      </w:tblGrid>
      <w:tr w14:paraId="6E909C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855" w:type="dxa"/>
            <w:vMerge w:val="restart"/>
            <w:noWrap w:val="0"/>
            <w:vAlign w:val="center"/>
          </w:tcPr>
          <w:p w14:paraId="6EC34BB4">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color w:val="auto"/>
                <w:kern w:val="2"/>
                <w:sz w:val="21"/>
                <w:szCs w:val="21"/>
                <w:highlight w:val="none"/>
                <w:u w:val="none" w:color="auto"/>
                <w:lang w:val="zh-CN" w:eastAsia="zh-CN" w:bidi="ar-SA"/>
              </w:rPr>
            </w:pPr>
            <w:r>
              <w:rPr>
                <w:rFonts w:hint="default" w:ascii="Times New Roman" w:hAnsi="Times New Roman" w:eastAsia="宋体" w:cs="Times New Roman"/>
                <w:b/>
                <w:bCs w:val="0"/>
                <w:color w:val="auto"/>
                <w:kern w:val="2"/>
                <w:sz w:val="21"/>
                <w:szCs w:val="21"/>
                <w:highlight w:val="none"/>
                <w:u w:val="none" w:color="auto"/>
                <w:lang w:val="zh-CN" w:eastAsia="zh-CN" w:bidi="ar-SA"/>
              </w:rPr>
              <w:t>序号</w:t>
            </w:r>
          </w:p>
        </w:tc>
        <w:tc>
          <w:tcPr>
            <w:tcW w:w="1995" w:type="dxa"/>
            <w:gridSpan w:val="2"/>
            <w:vMerge w:val="restart"/>
            <w:noWrap w:val="0"/>
            <w:vAlign w:val="center"/>
          </w:tcPr>
          <w:p w14:paraId="7C2A3133">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color w:val="auto"/>
                <w:kern w:val="2"/>
                <w:sz w:val="21"/>
                <w:szCs w:val="21"/>
                <w:highlight w:val="none"/>
                <w:u w:val="none" w:color="auto"/>
                <w:lang w:val="zh-CN" w:eastAsia="zh-CN" w:bidi="ar-SA"/>
              </w:rPr>
            </w:pPr>
            <w:r>
              <w:rPr>
                <w:rFonts w:hint="default" w:ascii="Times New Roman" w:hAnsi="Times New Roman" w:eastAsia="宋体" w:cs="Times New Roman"/>
                <w:b/>
                <w:bCs w:val="0"/>
                <w:color w:val="auto"/>
                <w:kern w:val="2"/>
                <w:sz w:val="21"/>
                <w:szCs w:val="21"/>
                <w:highlight w:val="none"/>
                <w:u w:val="none" w:color="auto"/>
                <w:lang w:val="zh-CN" w:eastAsia="zh-CN" w:bidi="ar-SA"/>
              </w:rPr>
              <w:t>污染物项目</w:t>
            </w:r>
          </w:p>
        </w:tc>
        <w:tc>
          <w:tcPr>
            <w:tcW w:w="5976" w:type="dxa"/>
            <w:gridSpan w:val="4"/>
            <w:noWrap w:val="0"/>
            <w:vAlign w:val="center"/>
          </w:tcPr>
          <w:p w14:paraId="0AB0D7F0">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color w:val="auto"/>
                <w:kern w:val="2"/>
                <w:sz w:val="21"/>
                <w:szCs w:val="21"/>
                <w:highlight w:val="none"/>
                <w:u w:val="none" w:color="auto"/>
                <w:lang w:val="zh-CN" w:eastAsia="zh-CN" w:bidi="ar-SA"/>
              </w:rPr>
            </w:pPr>
            <w:r>
              <w:rPr>
                <w:rFonts w:hint="default" w:ascii="Times New Roman" w:hAnsi="Times New Roman" w:eastAsia="宋体" w:cs="Times New Roman"/>
                <w:b/>
                <w:bCs w:val="0"/>
                <w:color w:val="auto"/>
                <w:kern w:val="2"/>
                <w:sz w:val="21"/>
                <w:szCs w:val="21"/>
                <w:highlight w:val="none"/>
                <w:u w:val="none" w:color="auto"/>
                <w:lang w:val="zh-CN" w:eastAsia="zh-CN" w:bidi="ar-SA"/>
              </w:rPr>
              <w:t>风险筛选值</w:t>
            </w:r>
          </w:p>
        </w:tc>
      </w:tr>
      <w:tr w14:paraId="0C2A6C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855" w:type="dxa"/>
            <w:vMerge w:val="continue"/>
            <w:noWrap w:val="0"/>
            <w:vAlign w:val="center"/>
          </w:tcPr>
          <w:p w14:paraId="21AE41F9">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color w:val="auto"/>
                <w:kern w:val="2"/>
                <w:sz w:val="21"/>
                <w:szCs w:val="21"/>
                <w:highlight w:val="none"/>
                <w:u w:val="none" w:color="auto"/>
                <w:lang w:val="en-US" w:eastAsia="zh-CN" w:bidi="ar-SA"/>
              </w:rPr>
            </w:pPr>
          </w:p>
        </w:tc>
        <w:tc>
          <w:tcPr>
            <w:tcW w:w="1995" w:type="dxa"/>
            <w:gridSpan w:val="2"/>
            <w:vMerge w:val="continue"/>
            <w:noWrap w:val="0"/>
            <w:vAlign w:val="center"/>
          </w:tcPr>
          <w:p w14:paraId="2B4D2A54">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color w:val="auto"/>
                <w:kern w:val="2"/>
                <w:sz w:val="21"/>
                <w:szCs w:val="21"/>
                <w:highlight w:val="none"/>
                <w:u w:val="none" w:color="auto"/>
                <w:lang w:val="en-US" w:eastAsia="zh-CN" w:bidi="ar-SA"/>
              </w:rPr>
            </w:pPr>
          </w:p>
        </w:tc>
        <w:tc>
          <w:tcPr>
            <w:tcW w:w="1222" w:type="dxa"/>
            <w:noWrap w:val="0"/>
            <w:vAlign w:val="center"/>
          </w:tcPr>
          <w:p w14:paraId="5D5549DB">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color w:val="auto"/>
                <w:kern w:val="2"/>
                <w:sz w:val="21"/>
                <w:szCs w:val="21"/>
                <w:highlight w:val="none"/>
                <w:u w:val="none" w:color="auto"/>
                <w:lang w:val="zh-CN" w:eastAsia="zh-CN" w:bidi="ar-SA"/>
              </w:rPr>
            </w:pPr>
            <w:r>
              <w:rPr>
                <w:rFonts w:hint="default" w:ascii="Times New Roman" w:hAnsi="Times New Roman" w:eastAsia="宋体" w:cs="Times New Roman"/>
                <w:b/>
                <w:bCs w:val="0"/>
                <w:color w:val="auto"/>
                <w:kern w:val="2"/>
                <w:sz w:val="21"/>
                <w:szCs w:val="21"/>
                <w:highlight w:val="none"/>
                <w:u w:val="none" w:color="auto"/>
                <w:lang w:val="zh-CN" w:eastAsia="zh-CN" w:bidi="ar-SA"/>
              </w:rPr>
              <w:t>pH≤5.5</w:t>
            </w:r>
          </w:p>
        </w:tc>
        <w:tc>
          <w:tcPr>
            <w:tcW w:w="1834" w:type="dxa"/>
            <w:noWrap w:val="0"/>
            <w:vAlign w:val="center"/>
          </w:tcPr>
          <w:p w14:paraId="273C5ED5">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color w:val="auto"/>
                <w:kern w:val="2"/>
                <w:sz w:val="21"/>
                <w:szCs w:val="21"/>
                <w:highlight w:val="none"/>
                <w:u w:val="none" w:color="auto"/>
                <w:lang w:val="zh-CN" w:eastAsia="zh-CN" w:bidi="ar-SA"/>
              </w:rPr>
            </w:pPr>
            <w:r>
              <w:rPr>
                <w:rFonts w:hint="default" w:ascii="Times New Roman" w:hAnsi="Times New Roman" w:eastAsia="宋体" w:cs="Times New Roman"/>
                <w:b/>
                <w:bCs w:val="0"/>
                <w:color w:val="auto"/>
                <w:kern w:val="2"/>
                <w:sz w:val="21"/>
                <w:szCs w:val="21"/>
                <w:highlight w:val="none"/>
                <w:u w:val="none" w:color="auto"/>
                <w:lang w:val="zh-CN" w:eastAsia="zh-CN" w:bidi="ar-SA"/>
              </w:rPr>
              <w:t>5.5&lt;pH≤6.5</w:t>
            </w:r>
          </w:p>
        </w:tc>
        <w:tc>
          <w:tcPr>
            <w:tcW w:w="1834" w:type="dxa"/>
            <w:noWrap w:val="0"/>
            <w:vAlign w:val="center"/>
          </w:tcPr>
          <w:p w14:paraId="6CFEF07B">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color w:val="auto"/>
                <w:kern w:val="2"/>
                <w:sz w:val="21"/>
                <w:szCs w:val="21"/>
                <w:highlight w:val="none"/>
                <w:u w:val="none" w:color="auto"/>
                <w:lang w:val="zh-CN" w:eastAsia="zh-CN" w:bidi="ar-SA"/>
              </w:rPr>
            </w:pPr>
            <w:r>
              <w:rPr>
                <w:rFonts w:hint="default" w:ascii="Times New Roman" w:hAnsi="Times New Roman" w:eastAsia="宋体" w:cs="Times New Roman"/>
                <w:b/>
                <w:bCs w:val="0"/>
                <w:color w:val="auto"/>
                <w:kern w:val="2"/>
                <w:sz w:val="21"/>
                <w:szCs w:val="21"/>
                <w:highlight w:val="none"/>
                <w:u w:val="none" w:color="auto"/>
                <w:lang w:val="zh-CN" w:eastAsia="zh-CN" w:bidi="ar-SA"/>
              </w:rPr>
              <w:t>6.5&lt;pH≤7.5</w:t>
            </w:r>
          </w:p>
        </w:tc>
        <w:tc>
          <w:tcPr>
            <w:tcW w:w="1086" w:type="dxa"/>
            <w:noWrap w:val="0"/>
            <w:vAlign w:val="center"/>
          </w:tcPr>
          <w:p w14:paraId="05102361">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val="0"/>
                <w:color w:val="auto"/>
                <w:kern w:val="2"/>
                <w:sz w:val="21"/>
                <w:szCs w:val="21"/>
                <w:highlight w:val="none"/>
                <w:u w:val="none" w:color="auto"/>
                <w:lang w:val="zh-CN" w:eastAsia="zh-CN" w:bidi="ar-SA"/>
              </w:rPr>
            </w:pPr>
            <w:r>
              <w:rPr>
                <w:rFonts w:hint="default" w:ascii="Times New Roman" w:hAnsi="Times New Roman" w:eastAsia="宋体" w:cs="Times New Roman"/>
                <w:b/>
                <w:bCs w:val="0"/>
                <w:color w:val="auto"/>
                <w:kern w:val="2"/>
                <w:sz w:val="21"/>
                <w:szCs w:val="21"/>
                <w:highlight w:val="none"/>
                <w:u w:val="none" w:color="auto"/>
                <w:lang w:val="zh-CN" w:eastAsia="zh-CN" w:bidi="ar-SA"/>
              </w:rPr>
              <w:t>pH&gt;7.5</w:t>
            </w:r>
          </w:p>
        </w:tc>
      </w:tr>
      <w:tr w14:paraId="34F5F9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55" w:type="dxa"/>
            <w:vMerge w:val="restart"/>
            <w:noWrap w:val="0"/>
            <w:vAlign w:val="center"/>
          </w:tcPr>
          <w:p w14:paraId="5DCA9746">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1</w:t>
            </w:r>
          </w:p>
        </w:tc>
        <w:tc>
          <w:tcPr>
            <w:tcW w:w="690" w:type="dxa"/>
            <w:vMerge w:val="restart"/>
            <w:noWrap w:val="0"/>
            <w:vAlign w:val="center"/>
          </w:tcPr>
          <w:p w14:paraId="16642675">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镉</w:t>
            </w:r>
          </w:p>
        </w:tc>
        <w:tc>
          <w:tcPr>
            <w:tcW w:w="1305" w:type="dxa"/>
            <w:noWrap w:val="0"/>
            <w:vAlign w:val="center"/>
          </w:tcPr>
          <w:p w14:paraId="5F1A0A68">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水田</w:t>
            </w:r>
          </w:p>
        </w:tc>
        <w:tc>
          <w:tcPr>
            <w:tcW w:w="1222" w:type="dxa"/>
            <w:noWrap w:val="0"/>
            <w:vAlign w:val="center"/>
          </w:tcPr>
          <w:p w14:paraId="4B26258C">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0.3</w:t>
            </w:r>
          </w:p>
        </w:tc>
        <w:tc>
          <w:tcPr>
            <w:tcW w:w="1834" w:type="dxa"/>
            <w:noWrap w:val="0"/>
            <w:vAlign w:val="center"/>
          </w:tcPr>
          <w:p w14:paraId="65C056BF">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0.4</w:t>
            </w:r>
          </w:p>
        </w:tc>
        <w:tc>
          <w:tcPr>
            <w:tcW w:w="1834" w:type="dxa"/>
            <w:noWrap w:val="0"/>
            <w:vAlign w:val="center"/>
          </w:tcPr>
          <w:p w14:paraId="77CEBAA1">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0.6</w:t>
            </w:r>
          </w:p>
        </w:tc>
        <w:tc>
          <w:tcPr>
            <w:tcW w:w="1086" w:type="dxa"/>
            <w:noWrap w:val="0"/>
            <w:vAlign w:val="center"/>
          </w:tcPr>
          <w:p w14:paraId="4A5E9C44">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0.8</w:t>
            </w:r>
          </w:p>
        </w:tc>
      </w:tr>
      <w:tr w14:paraId="2B69DD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55" w:type="dxa"/>
            <w:vMerge w:val="continue"/>
            <w:noWrap w:val="0"/>
            <w:vAlign w:val="center"/>
          </w:tcPr>
          <w:p w14:paraId="7ECA256F">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en-US" w:eastAsia="zh-CN" w:bidi="ar-SA"/>
              </w:rPr>
            </w:pPr>
          </w:p>
        </w:tc>
        <w:tc>
          <w:tcPr>
            <w:tcW w:w="690" w:type="dxa"/>
            <w:vMerge w:val="continue"/>
            <w:noWrap w:val="0"/>
            <w:vAlign w:val="center"/>
          </w:tcPr>
          <w:p w14:paraId="6B63198B">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en-US" w:eastAsia="zh-CN" w:bidi="ar-SA"/>
              </w:rPr>
            </w:pPr>
          </w:p>
        </w:tc>
        <w:tc>
          <w:tcPr>
            <w:tcW w:w="1305" w:type="dxa"/>
            <w:noWrap w:val="0"/>
            <w:vAlign w:val="center"/>
          </w:tcPr>
          <w:p w14:paraId="33653BF5">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其他</w:t>
            </w:r>
          </w:p>
        </w:tc>
        <w:tc>
          <w:tcPr>
            <w:tcW w:w="1222" w:type="dxa"/>
            <w:noWrap w:val="0"/>
            <w:vAlign w:val="center"/>
          </w:tcPr>
          <w:p w14:paraId="2C16E888">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0.3</w:t>
            </w:r>
          </w:p>
        </w:tc>
        <w:tc>
          <w:tcPr>
            <w:tcW w:w="1834" w:type="dxa"/>
            <w:noWrap w:val="0"/>
            <w:vAlign w:val="center"/>
          </w:tcPr>
          <w:p w14:paraId="414C24DB">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0.3</w:t>
            </w:r>
          </w:p>
        </w:tc>
        <w:tc>
          <w:tcPr>
            <w:tcW w:w="1834" w:type="dxa"/>
            <w:noWrap w:val="0"/>
            <w:vAlign w:val="center"/>
          </w:tcPr>
          <w:p w14:paraId="72A56163">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0.3</w:t>
            </w:r>
          </w:p>
        </w:tc>
        <w:tc>
          <w:tcPr>
            <w:tcW w:w="1086" w:type="dxa"/>
            <w:noWrap w:val="0"/>
            <w:vAlign w:val="center"/>
          </w:tcPr>
          <w:p w14:paraId="7A78617A">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0.6</w:t>
            </w:r>
          </w:p>
        </w:tc>
      </w:tr>
      <w:tr w14:paraId="2D8B4B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55" w:type="dxa"/>
            <w:vMerge w:val="restart"/>
            <w:noWrap w:val="0"/>
            <w:vAlign w:val="center"/>
          </w:tcPr>
          <w:p w14:paraId="47B29D84">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2</w:t>
            </w:r>
          </w:p>
        </w:tc>
        <w:tc>
          <w:tcPr>
            <w:tcW w:w="690" w:type="dxa"/>
            <w:vMerge w:val="restart"/>
            <w:noWrap w:val="0"/>
            <w:vAlign w:val="center"/>
          </w:tcPr>
          <w:p w14:paraId="4226E4D3">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汞</w:t>
            </w:r>
          </w:p>
        </w:tc>
        <w:tc>
          <w:tcPr>
            <w:tcW w:w="1305" w:type="dxa"/>
            <w:noWrap w:val="0"/>
            <w:vAlign w:val="center"/>
          </w:tcPr>
          <w:p w14:paraId="6817181C">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水田</w:t>
            </w:r>
          </w:p>
        </w:tc>
        <w:tc>
          <w:tcPr>
            <w:tcW w:w="1222" w:type="dxa"/>
            <w:noWrap w:val="0"/>
            <w:vAlign w:val="center"/>
          </w:tcPr>
          <w:p w14:paraId="3BB435A6">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0.5</w:t>
            </w:r>
          </w:p>
        </w:tc>
        <w:tc>
          <w:tcPr>
            <w:tcW w:w="1834" w:type="dxa"/>
            <w:noWrap w:val="0"/>
            <w:vAlign w:val="center"/>
          </w:tcPr>
          <w:p w14:paraId="217A951E">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0.5</w:t>
            </w:r>
          </w:p>
        </w:tc>
        <w:tc>
          <w:tcPr>
            <w:tcW w:w="1834" w:type="dxa"/>
            <w:noWrap w:val="0"/>
            <w:vAlign w:val="center"/>
          </w:tcPr>
          <w:p w14:paraId="7FA2EE6A">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0.6</w:t>
            </w:r>
          </w:p>
        </w:tc>
        <w:tc>
          <w:tcPr>
            <w:tcW w:w="1086" w:type="dxa"/>
            <w:noWrap w:val="0"/>
            <w:vAlign w:val="center"/>
          </w:tcPr>
          <w:p w14:paraId="2FC40827">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1.0</w:t>
            </w:r>
          </w:p>
        </w:tc>
      </w:tr>
      <w:tr w14:paraId="3512A6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55" w:type="dxa"/>
            <w:vMerge w:val="continue"/>
            <w:noWrap w:val="0"/>
            <w:vAlign w:val="center"/>
          </w:tcPr>
          <w:p w14:paraId="4F159D37">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en-US" w:eastAsia="zh-CN" w:bidi="ar-SA"/>
              </w:rPr>
            </w:pPr>
          </w:p>
        </w:tc>
        <w:tc>
          <w:tcPr>
            <w:tcW w:w="690" w:type="dxa"/>
            <w:vMerge w:val="continue"/>
            <w:noWrap w:val="0"/>
            <w:vAlign w:val="center"/>
          </w:tcPr>
          <w:p w14:paraId="2D1B57B6">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en-US" w:eastAsia="zh-CN" w:bidi="ar-SA"/>
              </w:rPr>
            </w:pPr>
          </w:p>
        </w:tc>
        <w:tc>
          <w:tcPr>
            <w:tcW w:w="1305" w:type="dxa"/>
            <w:noWrap w:val="0"/>
            <w:vAlign w:val="center"/>
          </w:tcPr>
          <w:p w14:paraId="3AD20C9B">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其他</w:t>
            </w:r>
          </w:p>
        </w:tc>
        <w:tc>
          <w:tcPr>
            <w:tcW w:w="1222" w:type="dxa"/>
            <w:noWrap w:val="0"/>
            <w:vAlign w:val="center"/>
          </w:tcPr>
          <w:p w14:paraId="3EBE03EC">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1.3</w:t>
            </w:r>
          </w:p>
        </w:tc>
        <w:tc>
          <w:tcPr>
            <w:tcW w:w="1834" w:type="dxa"/>
            <w:noWrap w:val="0"/>
            <w:vAlign w:val="center"/>
          </w:tcPr>
          <w:p w14:paraId="4F76A92E">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1.8</w:t>
            </w:r>
          </w:p>
        </w:tc>
        <w:tc>
          <w:tcPr>
            <w:tcW w:w="1834" w:type="dxa"/>
            <w:noWrap w:val="0"/>
            <w:vAlign w:val="center"/>
          </w:tcPr>
          <w:p w14:paraId="792DF907">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2.4</w:t>
            </w:r>
          </w:p>
        </w:tc>
        <w:tc>
          <w:tcPr>
            <w:tcW w:w="1086" w:type="dxa"/>
            <w:noWrap w:val="0"/>
            <w:vAlign w:val="center"/>
          </w:tcPr>
          <w:p w14:paraId="65893E4A">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3.4</w:t>
            </w:r>
          </w:p>
        </w:tc>
      </w:tr>
      <w:tr w14:paraId="2FFC86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55" w:type="dxa"/>
            <w:vMerge w:val="restart"/>
            <w:noWrap w:val="0"/>
            <w:vAlign w:val="center"/>
          </w:tcPr>
          <w:p w14:paraId="273CF8E6">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3</w:t>
            </w:r>
          </w:p>
        </w:tc>
        <w:tc>
          <w:tcPr>
            <w:tcW w:w="690" w:type="dxa"/>
            <w:vMerge w:val="restart"/>
            <w:noWrap w:val="0"/>
            <w:vAlign w:val="center"/>
          </w:tcPr>
          <w:p w14:paraId="58D00107">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砷</w:t>
            </w:r>
          </w:p>
        </w:tc>
        <w:tc>
          <w:tcPr>
            <w:tcW w:w="1305" w:type="dxa"/>
            <w:noWrap w:val="0"/>
            <w:vAlign w:val="center"/>
          </w:tcPr>
          <w:p w14:paraId="2ADC53F8">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水田</w:t>
            </w:r>
          </w:p>
        </w:tc>
        <w:tc>
          <w:tcPr>
            <w:tcW w:w="1222" w:type="dxa"/>
            <w:noWrap w:val="0"/>
            <w:vAlign w:val="center"/>
          </w:tcPr>
          <w:p w14:paraId="719082F8">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30</w:t>
            </w:r>
          </w:p>
        </w:tc>
        <w:tc>
          <w:tcPr>
            <w:tcW w:w="1834" w:type="dxa"/>
            <w:noWrap w:val="0"/>
            <w:vAlign w:val="center"/>
          </w:tcPr>
          <w:p w14:paraId="342D2CFD">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30</w:t>
            </w:r>
          </w:p>
        </w:tc>
        <w:tc>
          <w:tcPr>
            <w:tcW w:w="1834" w:type="dxa"/>
            <w:noWrap w:val="0"/>
            <w:vAlign w:val="center"/>
          </w:tcPr>
          <w:p w14:paraId="05F43BC8">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25</w:t>
            </w:r>
          </w:p>
        </w:tc>
        <w:tc>
          <w:tcPr>
            <w:tcW w:w="1086" w:type="dxa"/>
            <w:noWrap w:val="0"/>
            <w:vAlign w:val="center"/>
          </w:tcPr>
          <w:p w14:paraId="362F62D3">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20</w:t>
            </w:r>
          </w:p>
        </w:tc>
      </w:tr>
      <w:tr w14:paraId="0ABD88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55" w:type="dxa"/>
            <w:vMerge w:val="continue"/>
            <w:noWrap w:val="0"/>
            <w:vAlign w:val="center"/>
          </w:tcPr>
          <w:p w14:paraId="130545E1">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en-US" w:eastAsia="zh-CN" w:bidi="ar-SA"/>
              </w:rPr>
            </w:pPr>
          </w:p>
        </w:tc>
        <w:tc>
          <w:tcPr>
            <w:tcW w:w="690" w:type="dxa"/>
            <w:vMerge w:val="continue"/>
            <w:noWrap w:val="0"/>
            <w:vAlign w:val="center"/>
          </w:tcPr>
          <w:p w14:paraId="5069D57E">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en-US" w:eastAsia="zh-CN" w:bidi="ar-SA"/>
              </w:rPr>
            </w:pPr>
          </w:p>
        </w:tc>
        <w:tc>
          <w:tcPr>
            <w:tcW w:w="1305" w:type="dxa"/>
            <w:noWrap w:val="0"/>
            <w:vAlign w:val="center"/>
          </w:tcPr>
          <w:p w14:paraId="1E9E1A7F">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其他</w:t>
            </w:r>
          </w:p>
        </w:tc>
        <w:tc>
          <w:tcPr>
            <w:tcW w:w="1222" w:type="dxa"/>
            <w:noWrap w:val="0"/>
            <w:vAlign w:val="center"/>
          </w:tcPr>
          <w:p w14:paraId="689F2D3B">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40</w:t>
            </w:r>
          </w:p>
        </w:tc>
        <w:tc>
          <w:tcPr>
            <w:tcW w:w="1834" w:type="dxa"/>
            <w:noWrap w:val="0"/>
            <w:vAlign w:val="center"/>
          </w:tcPr>
          <w:p w14:paraId="11A686FF">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40</w:t>
            </w:r>
          </w:p>
        </w:tc>
        <w:tc>
          <w:tcPr>
            <w:tcW w:w="1834" w:type="dxa"/>
            <w:noWrap w:val="0"/>
            <w:vAlign w:val="center"/>
          </w:tcPr>
          <w:p w14:paraId="10772353">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30</w:t>
            </w:r>
          </w:p>
        </w:tc>
        <w:tc>
          <w:tcPr>
            <w:tcW w:w="1086" w:type="dxa"/>
            <w:noWrap w:val="0"/>
            <w:vAlign w:val="center"/>
          </w:tcPr>
          <w:p w14:paraId="6AB52CF7">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25</w:t>
            </w:r>
          </w:p>
        </w:tc>
      </w:tr>
      <w:tr w14:paraId="173375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55" w:type="dxa"/>
            <w:vMerge w:val="restart"/>
            <w:noWrap w:val="0"/>
            <w:vAlign w:val="center"/>
          </w:tcPr>
          <w:p w14:paraId="6AA44E63">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4</w:t>
            </w:r>
          </w:p>
        </w:tc>
        <w:tc>
          <w:tcPr>
            <w:tcW w:w="690" w:type="dxa"/>
            <w:vMerge w:val="restart"/>
            <w:noWrap w:val="0"/>
            <w:vAlign w:val="center"/>
          </w:tcPr>
          <w:p w14:paraId="1B07B94E">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铅</w:t>
            </w:r>
          </w:p>
        </w:tc>
        <w:tc>
          <w:tcPr>
            <w:tcW w:w="1305" w:type="dxa"/>
            <w:noWrap w:val="0"/>
            <w:vAlign w:val="center"/>
          </w:tcPr>
          <w:p w14:paraId="256110EE">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水田</w:t>
            </w:r>
          </w:p>
        </w:tc>
        <w:tc>
          <w:tcPr>
            <w:tcW w:w="1222" w:type="dxa"/>
            <w:noWrap w:val="0"/>
            <w:vAlign w:val="center"/>
          </w:tcPr>
          <w:p w14:paraId="7ADA24D2">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80</w:t>
            </w:r>
          </w:p>
        </w:tc>
        <w:tc>
          <w:tcPr>
            <w:tcW w:w="1834" w:type="dxa"/>
            <w:noWrap w:val="0"/>
            <w:vAlign w:val="center"/>
          </w:tcPr>
          <w:p w14:paraId="4A883047">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100</w:t>
            </w:r>
          </w:p>
        </w:tc>
        <w:tc>
          <w:tcPr>
            <w:tcW w:w="1834" w:type="dxa"/>
            <w:noWrap w:val="0"/>
            <w:vAlign w:val="center"/>
          </w:tcPr>
          <w:p w14:paraId="73929AF6">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140</w:t>
            </w:r>
          </w:p>
        </w:tc>
        <w:tc>
          <w:tcPr>
            <w:tcW w:w="1086" w:type="dxa"/>
            <w:noWrap w:val="0"/>
            <w:vAlign w:val="center"/>
          </w:tcPr>
          <w:p w14:paraId="27E10BD3">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240</w:t>
            </w:r>
          </w:p>
        </w:tc>
      </w:tr>
      <w:tr w14:paraId="0594BB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55" w:type="dxa"/>
            <w:vMerge w:val="continue"/>
            <w:noWrap w:val="0"/>
            <w:vAlign w:val="center"/>
          </w:tcPr>
          <w:p w14:paraId="4258AD70">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en-US" w:eastAsia="zh-CN" w:bidi="ar-SA"/>
              </w:rPr>
            </w:pPr>
          </w:p>
        </w:tc>
        <w:tc>
          <w:tcPr>
            <w:tcW w:w="690" w:type="dxa"/>
            <w:vMerge w:val="continue"/>
            <w:noWrap w:val="0"/>
            <w:vAlign w:val="center"/>
          </w:tcPr>
          <w:p w14:paraId="6F1B566C">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en-US" w:eastAsia="zh-CN" w:bidi="ar-SA"/>
              </w:rPr>
            </w:pPr>
          </w:p>
        </w:tc>
        <w:tc>
          <w:tcPr>
            <w:tcW w:w="1305" w:type="dxa"/>
            <w:noWrap w:val="0"/>
            <w:vAlign w:val="center"/>
          </w:tcPr>
          <w:p w14:paraId="47F2033B">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其他</w:t>
            </w:r>
          </w:p>
        </w:tc>
        <w:tc>
          <w:tcPr>
            <w:tcW w:w="1222" w:type="dxa"/>
            <w:noWrap w:val="0"/>
            <w:vAlign w:val="center"/>
          </w:tcPr>
          <w:p w14:paraId="326E0814">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70</w:t>
            </w:r>
          </w:p>
        </w:tc>
        <w:tc>
          <w:tcPr>
            <w:tcW w:w="1834" w:type="dxa"/>
            <w:noWrap w:val="0"/>
            <w:vAlign w:val="center"/>
          </w:tcPr>
          <w:p w14:paraId="7504B6AC">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90</w:t>
            </w:r>
          </w:p>
        </w:tc>
        <w:tc>
          <w:tcPr>
            <w:tcW w:w="1834" w:type="dxa"/>
            <w:noWrap w:val="0"/>
            <w:vAlign w:val="center"/>
          </w:tcPr>
          <w:p w14:paraId="7DAE680F">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120</w:t>
            </w:r>
          </w:p>
        </w:tc>
        <w:tc>
          <w:tcPr>
            <w:tcW w:w="1086" w:type="dxa"/>
            <w:noWrap w:val="0"/>
            <w:vAlign w:val="center"/>
          </w:tcPr>
          <w:p w14:paraId="0C1DE81B">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170</w:t>
            </w:r>
          </w:p>
        </w:tc>
      </w:tr>
      <w:tr w14:paraId="0E74C1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55" w:type="dxa"/>
            <w:vMerge w:val="restart"/>
            <w:noWrap w:val="0"/>
            <w:vAlign w:val="center"/>
          </w:tcPr>
          <w:p w14:paraId="14B10F0B">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5</w:t>
            </w:r>
          </w:p>
        </w:tc>
        <w:tc>
          <w:tcPr>
            <w:tcW w:w="690" w:type="dxa"/>
            <w:vMerge w:val="restart"/>
            <w:noWrap w:val="0"/>
            <w:vAlign w:val="center"/>
          </w:tcPr>
          <w:p w14:paraId="07E96CB8">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铬</w:t>
            </w:r>
          </w:p>
        </w:tc>
        <w:tc>
          <w:tcPr>
            <w:tcW w:w="1305" w:type="dxa"/>
            <w:noWrap w:val="0"/>
            <w:vAlign w:val="center"/>
          </w:tcPr>
          <w:p w14:paraId="76D34169">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水田</w:t>
            </w:r>
          </w:p>
        </w:tc>
        <w:tc>
          <w:tcPr>
            <w:tcW w:w="1222" w:type="dxa"/>
            <w:noWrap w:val="0"/>
            <w:vAlign w:val="center"/>
          </w:tcPr>
          <w:p w14:paraId="23A91321">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250</w:t>
            </w:r>
          </w:p>
        </w:tc>
        <w:tc>
          <w:tcPr>
            <w:tcW w:w="1834" w:type="dxa"/>
            <w:noWrap w:val="0"/>
            <w:vAlign w:val="center"/>
          </w:tcPr>
          <w:p w14:paraId="2C2C6E8D">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250</w:t>
            </w:r>
          </w:p>
        </w:tc>
        <w:tc>
          <w:tcPr>
            <w:tcW w:w="1834" w:type="dxa"/>
            <w:noWrap w:val="0"/>
            <w:vAlign w:val="center"/>
          </w:tcPr>
          <w:p w14:paraId="7009AFC0">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300</w:t>
            </w:r>
          </w:p>
        </w:tc>
        <w:tc>
          <w:tcPr>
            <w:tcW w:w="1086" w:type="dxa"/>
            <w:noWrap w:val="0"/>
            <w:vAlign w:val="center"/>
          </w:tcPr>
          <w:p w14:paraId="21C8027A">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350</w:t>
            </w:r>
          </w:p>
        </w:tc>
      </w:tr>
      <w:tr w14:paraId="73D358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55" w:type="dxa"/>
            <w:vMerge w:val="continue"/>
            <w:noWrap w:val="0"/>
            <w:vAlign w:val="center"/>
          </w:tcPr>
          <w:p w14:paraId="0D208AFA">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en-US" w:eastAsia="zh-CN" w:bidi="ar-SA"/>
              </w:rPr>
            </w:pPr>
          </w:p>
        </w:tc>
        <w:tc>
          <w:tcPr>
            <w:tcW w:w="690" w:type="dxa"/>
            <w:vMerge w:val="continue"/>
            <w:noWrap w:val="0"/>
            <w:vAlign w:val="center"/>
          </w:tcPr>
          <w:p w14:paraId="54BA709A">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en-US" w:eastAsia="zh-CN" w:bidi="ar-SA"/>
              </w:rPr>
            </w:pPr>
          </w:p>
        </w:tc>
        <w:tc>
          <w:tcPr>
            <w:tcW w:w="1305" w:type="dxa"/>
            <w:noWrap w:val="0"/>
            <w:vAlign w:val="center"/>
          </w:tcPr>
          <w:p w14:paraId="563E34EB">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其他</w:t>
            </w:r>
          </w:p>
        </w:tc>
        <w:tc>
          <w:tcPr>
            <w:tcW w:w="1222" w:type="dxa"/>
            <w:noWrap w:val="0"/>
            <w:vAlign w:val="center"/>
          </w:tcPr>
          <w:p w14:paraId="0CAC3DB0">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150</w:t>
            </w:r>
          </w:p>
        </w:tc>
        <w:tc>
          <w:tcPr>
            <w:tcW w:w="1834" w:type="dxa"/>
            <w:noWrap w:val="0"/>
            <w:vAlign w:val="center"/>
          </w:tcPr>
          <w:p w14:paraId="149CDAC3">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150</w:t>
            </w:r>
          </w:p>
        </w:tc>
        <w:tc>
          <w:tcPr>
            <w:tcW w:w="1834" w:type="dxa"/>
            <w:noWrap w:val="0"/>
            <w:vAlign w:val="center"/>
          </w:tcPr>
          <w:p w14:paraId="37F9177C">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200</w:t>
            </w:r>
          </w:p>
        </w:tc>
        <w:tc>
          <w:tcPr>
            <w:tcW w:w="1086" w:type="dxa"/>
            <w:noWrap w:val="0"/>
            <w:vAlign w:val="center"/>
          </w:tcPr>
          <w:p w14:paraId="077D05D8">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250</w:t>
            </w:r>
          </w:p>
        </w:tc>
      </w:tr>
      <w:tr w14:paraId="0E640D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55" w:type="dxa"/>
            <w:vMerge w:val="restart"/>
            <w:noWrap w:val="0"/>
            <w:vAlign w:val="center"/>
          </w:tcPr>
          <w:p w14:paraId="244AAABA">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6</w:t>
            </w:r>
          </w:p>
        </w:tc>
        <w:tc>
          <w:tcPr>
            <w:tcW w:w="690" w:type="dxa"/>
            <w:vMerge w:val="restart"/>
            <w:noWrap w:val="0"/>
            <w:vAlign w:val="center"/>
          </w:tcPr>
          <w:p w14:paraId="3D4BE462">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铜</w:t>
            </w:r>
          </w:p>
        </w:tc>
        <w:tc>
          <w:tcPr>
            <w:tcW w:w="1305" w:type="dxa"/>
            <w:noWrap w:val="0"/>
            <w:vAlign w:val="center"/>
          </w:tcPr>
          <w:p w14:paraId="1FCA5CA7">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果园</w:t>
            </w:r>
          </w:p>
        </w:tc>
        <w:tc>
          <w:tcPr>
            <w:tcW w:w="1222" w:type="dxa"/>
            <w:noWrap w:val="0"/>
            <w:vAlign w:val="center"/>
          </w:tcPr>
          <w:p w14:paraId="3E5DB61B">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150</w:t>
            </w:r>
          </w:p>
        </w:tc>
        <w:tc>
          <w:tcPr>
            <w:tcW w:w="1834" w:type="dxa"/>
            <w:noWrap w:val="0"/>
            <w:vAlign w:val="center"/>
          </w:tcPr>
          <w:p w14:paraId="1B5BAB82">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150</w:t>
            </w:r>
          </w:p>
        </w:tc>
        <w:tc>
          <w:tcPr>
            <w:tcW w:w="1834" w:type="dxa"/>
            <w:noWrap w:val="0"/>
            <w:vAlign w:val="center"/>
          </w:tcPr>
          <w:p w14:paraId="64FC14D0">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200</w:t>
            </w:r>
          </w:p>
        </w:tc>
        <w:tc>
          <w:tcPr>
            <w:tcW w:w="1086" w:type="dxa"/>
            <w:noWrap w:val="0"/>
            <w:vAlign w:val="center"/>
          </w:tcPr>
          <w:p w14:paraId="64F0AB98">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200</w:t>
            </w:r>
          </w:p>
        </w:tc>
      </w:tr>
      <w:tr w14:paraId="7BE66C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55" w:type="dxa"/>
            <w:vMerge w:val="continue"/>
            <w:noWrap w:val="0"/>
            <w:vAlign w:val="center"/>
          </w:tcPr>
          <w:p w14:paraId="4F1A1227">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en-US" w:eastAsia="zh-CN" w:bidi="ar-SA"/>
              </w:rPr>
            </w:pPr>
          </w:p>
        </w:tc>
        <w:tc>
          <w:tcPr>
            <w:tcW w:w="690" w:type="dxa"/>
            <w:vMerge w:val="continue"/>
            <w:noWrap w:val="0"/>
            <w:vAlign w:val="center"/>
          </w:tcPr>
          <w:p w14:paraId="78DCA9BE">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en-US" w:eastAsia="zh-CN" w:bidi="ar-SA"/>
              </w:rPr>
            </w:pPr>
          </w:p>
        </w:tc>
        <w:tc>
          <w:tcPr>
            <w:tcW w:w="1305" w:type="dxa"/>
            <w:noWrap w:val="0"/>
            <w:vAlign w:val="center"/>
          </w:tcPr>
          <w:p w14:paraId="6258CF9A">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其他</w:t>
            </w:r>
          </w:p>
        </w:tc>
        <w:tc>
          <w:tcPr>
            <w:tcW w:w="1222" w:type="dxa"/>
            <w:noWrap w:val="0"/>
            <w:vAlign w:val="center"/>
          </w:tcPr>
          <w:p w14:paraId="5899A2EE">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50</w:t>
            </w:r>
          </w:p>
        </w:tc>
        <w:tc>
          <w:tcPr>
            <w:tcW w:w="1834" w:type="dxa"/>
            <w:noWrap w:val="0"/>
            <w:vAlign w:val="center"/>
          </w:tcPr>
          <w:p w14:paraId="0F40E765">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50</w:t>
            </w:r>
          </w:p>
        </w:tc>
        <w:tc>
          <w:tcPr>
            <w:tcW w:w="1834" w:type="dxa"/>
            <w:noWrap w:val="0"/>
            <w:vAlign w:val="center"/>
          </w:tcPr>
          <w:p w14:paraId="09B46100">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100</w:t>
            </w:r>
          </w:p>
        </w:tc>
        <w:tc>
          <w:tcPr>
            <w:tcW w:w="1086" w:type="dxa"/>
            <w:noWrap w:val="0"/>
            <w:vAlign w:val="center"/>
          </w:tcPr>
          <w:p w14:paraId="2159C4BF">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100</w:t>
            </w:r>
          </w:p>
        </w:tc>
      </w:tr>
      <w:tr w14:paraId="3B4707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55" w:type="dxa"/>
            <w:noWrap w:val="0"/>
            <w:vAlign w:val="center"/>
          </w:tcPr>
          <w:p w14:paraId="148CF0FB">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7</w:t>
            </w:r>
          </w:p>
        </w:tc>
        <w:tc>
          <w:tcPr>
            <w:tcW w:w="1995" w:type="dxa"/>
            <w:gridSpan w:val="2"/>
            <w:noWrap w:val="0"/>
            <w:vAlign w:val="center"/>
          </w:tcPr>
          <w:p w14:paraId="5F8D5FFC">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镍</w:t>
            </w:r>
          </w:p>
        </w:tc>
        <w:tc>
          <w:tcPr>
            <w:tcW w:w="1222" w:type="dxa"/>
            <w:noWrap w:val="0"/>
            <w:vAlign w:val="center"/>
          </w:tcPr>
          <w:p w14:paraId="12498C57">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60</w:t>
            </w:r>
          </w:p>
        </w:tc>
        <w:tc>
          <w:tcPr>
            <w:tcW w:w="1834" w:type="dxa"/>
            <w:noWrap w:val="0"/>
            <w:vAlign w:val="center"/>
          </w:tcPr>
          <w:p w14:paraId="212D7FDE">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70</w:t>
            </w:r>
          </w:p>
        </w:tc>
        <w:tc>
          <w:tcPr>
            <w:tcW w:w="1834" w:type="dxa"/>
            <w:noWrap w:val="0"/>
            <w:vAlign w:val="center"/>
          </w:tcPr>
          <w:p w14:paraId="75FAD448">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100</w:t>
            </w:r>
          </w:p>
        </w:tc>
        <w:tc>
          <w:tcPr>
            <w:tcW w:w="1086" w:type="dxa"/>
            <w:noWrap w:val="0"/>
            <w:vAlign w:val="center"/>
          </w:tcPr>
          <w:p w14:paraId="0D42D718">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190</w:t>
            </w:r>
          </w:p>
        </w:tc>
      </w:tr>
      <w:tr w14:paraId="56112F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55" w:type="dxa"/>
            <w:noWrap w:val="0"/>
            <w:vAlign w:val="center"/>
          </w:tcPr>
          <w:p w14:paraId="4AF3C005">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8</w:t>
            </w:r>
          </w:p>
        </w:tc>
        <w:tc>
          <w:tcPr>
            <w:tcW w:w="1995" w:type="dxa"/>
            <w:gridSpan w:val="2"/>
            <w:noWrap w:val="0"/>
            <w:vAlign w:val="center"/>
          </w:tcPr>
          <w:p w14:paraId="5DEE8652">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锌</w:t>
            </w:r>
          </w:p>
        </w:tc>
        <w:tc>
          <w:tcPr>
            <w:tcW w:w="1222" w:type="dxa"/>
            <w:noWrap w:val="0"/>
            <w:vAlign w:val="center"/>
          </w:tcPr>
          <w:p w14:paraId="30F9C568">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200</w:t>
            </w:r>
          </w:p>
        </w:tc>
        <w:tc>
          <w:tcPr>
            <w:tcW w:w="1834" w:type="dxa"/>
            <w:noWrap w:val="0"/>
            <w:vAlign w:val="center"/>
          </w:tcPr>
          <w:p w14:paraId="3D5C9144">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200</w:t>
            </w:r>
          </w:p>
        </w:tc>
        <w:tc>
          <w:tcPr>
            <w:tcW w:w="1834" w:type="dxa"/>
            <w:noWrap w:val="0"/>
            <w:vAlign w:val="center"/>
          </w:tcPr>
          <w:p w14:paraId="05BB3F1F">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250</w:t>
            </w:r>
          </w:p>
        </w:tc>
        <w:tc>
          <w:tcPr>
            <w:tcW w:w="1086" w:type="dxa"/>
            <w:noWrap w:val="0"/>
            <w:vAlign w:val="center"/>
          </w:tcPr>
          <w:p w14:paraId="2FCDB609">
            <w:pPr>
              <w:keepNext w:val="0"/>
              <w:keepLines w:val="0"/>
              <w:pageBreakBefore w:val="0"/>
              <w:widowControl w:val="0"/>
              <w:kinsoku/>
              <w:wordWrap/>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color w:val="auto"/>
                <w:kern w:val="2"/>
                <w:sz w:val="21"/>
                <w:szCs w:val="21"/>
                <w:highlight w:val="none"/>
                <w:u w:val="none" w:color="auto"/>
                <w:lang w:val="zh-CN" w:eastAsia="zh-CN" w:bidi="ar-SA"/>
              </w:rPr>
            </w:pPr>
            <w:r>
              <w:rPr>
                <w:rFonts w:hint="default" w:ascii="Times New Roman" w:hAnsi="Times New Roman" w:eastAsia="宋体" w:cs="Times New Roman"/>
                <w:b w:val="0"/>
                <w:bCs/>
                <w:color w:val="auto"/>
                <w:kern w:val="2"/>
                <w:sz w:val="21"/>
                <w:szCs w:val="21"/>
                <w:highlight w:val="none"/>
                <w:u w:val="none" w:color="auto"/>
                <w:lang w:val="zh-CN" w:eastAsia="zh-CN" w:bidi="ar-SA"/>
              </w:rPr>
              <w:t>300</w:t>
            </w:r>
          </w:p>
        </w:tc>
      </w:tr>
    </w:tbl>
    <w:p w14:paraId="1190D519">
      <w:pPr>
        <w:pStyle w:val="5"/>
        <w:bidi w:val="0"/>
        <w:ind w:left="452" w:leftChars="0" w:firstLine="0" w:firstLineChars="0"/>
        <w:rPr>
          <w:rFonts w:hint="default"/>
          <w:color w:val="auto"/>
          <w:highlight w:val="none"/>
        </w:rPr>
      </w:pPr>
      <w:r>
        <w:rPr>
          <w:rFonts w:hint="default"/>
          <w:color w:val="auto"/>
          <w:highlight w:val="none"/>
        </w:rPr>
        <w:t>污染物排放标准</w:t>
      </w:r>
    </w:p>
    <w:p w14:paraId="0B269097">
      <w:pPr>
        <w:pStyle w:val="6"/>
        <w:bidi w:val="0"/>
        <w:ind w:left="0" w:leftChars="0" w:firstLine="0" w:firstLineChars="0"/>
        <w:rPr>
          <w:rFonts w:hint="default"/>
          <w:color w:val="auto"/>
          <w:highlight w:val="none"/>
        </w:rPr>
      </w:pPr>
      <w:r>
        <w:rPr>
          <w:rFonts w:hint="default"/>
          <w:color w:val="auto"/>
          <w:highlight w:val="none"/>
        </w:rPr>
        <w:t>大气污染物排放标准</w:t>
      </w:r>
    </w:p>
    <w:p w14:paraId="37E68135">
      <w:pPr>
        <w:pStyle w:val="410"/>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lang w:val="en-US" w:eastAsia="zh-CN"/>
        </w:rPr>
        <w:t>施工期</w:t>
      </w:r>
    </w:p>
    <w:p w14:paraId="2BF26C8B">
      <w:pPr>
        <w:pStyle w:val="410"/>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eastAsia="zh-CN"/>
        </w:rPr>
        <w:t>施工扬尘及运输尾气</w:t>
      </w:r>
      <w:r>
        <w:rPr>
          <w:rFonts w:hint="default" w:ascii="Times New Roman" w:hAnsi="Times New Roman" w:cs="Times New Roman"/>
          <w:color w:val="auto"/>
          <w:highlight w:val="none"/>
        </w:rPr>
        <w:t>执行《大气污染物综合排放标准》（GB16297-1996）表2要求，详见</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_Ref95313695 \r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表1.3-7</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w:t>
      </w:r>
      <w:r>
        <w:rPr>
          <w:rFonts w:hint="eastAsia" w:ascii="Times New Roman" w:cs="Times New Roman"/>
          <w:color w:val="auto"/>
          <w:highlight w:val="none"/>
          <w:u w:val="single"/>
          <w:lang w:val="en-US" w:eastAsia="zh-CN"/>
        </w:rPr>
        <w:t xml:space="preserve"> 淤泥晾晒产生的恶臭污染物执行《恶臭污染物排放标准》（GB1455 4-93）表1中无组织排放厂界浓度二级标准,详见</w:t>
      </w:r>
      <w:r>
        <w:rPr>
          <w:rFonts w:hint="eastAsia" w:ascii="Times New Roman" w:cs="Times New Roman"/>
          <w:color w:val="auto"/>
          <w:highlight w:val="none"/>
          <w:u w:val="single"/>
          <w:lang w:val="en-US" w:eastAsia="zh-CN"/>
        </w:rPr>
        <w:fldChar w:fldCharType="begin"/>
      </w:r>
      <w:r>
        <w:rPr>
          <w:rFonts w:hint="eastAsia" w:ascii="Times New Roman" w:cs="Times New Roman"/>
          <w:color w:val="auto"/>
          <w:highlight w:val="none"/>
          <w:u w:val="single"/>
          <w:lang w:val="en-US" w:eastAsia="zh-CN"/>
        </w:rPr>
        <w:instrText xml:space="preserve"> REF _Ref31285 \r \h </w:instrText>
      </w:r>
      <w:r>
        <w:rPr>
          <w:rFonts w:hint="eastAsia" w:ascii="Times New Roman" w:cs="Times New Roman"/>
          <w:color w:val="auto"/>
          <w:highlight w:val="none"/>
          <w:u w:val="single"/>
          <w:lang w:val="en-US" w:eastAsia="zh-CN"/>
        </w:rPr>
        <w:fldChar w:fldCharType="separate"/>
      </w:r>
      <w:r>
        <w:rPr>
          <w:rFonts w:hint="eastAsia" w:ascii="Times New Roman" w:cs="Times New Roman"/>
          <w:color w:val="auto"/>
          <w:highlight w:val="none"/>
          <w:u w:val="single"/>
          <w:lang w:val="en-US" w:eastAsia="zh-CN"/>
        </w:rPr>
        <w:t>表1.3-8</w:t>
      </w:r>
      <w:r>
        <w:rPr>
          <w:rFonts w:hint="eastAsia" w:ascii="Times New Roman" w:cs="Times New Roman"/>
          <w:color w:val="auto"/>
          <w:highlight w:val="none"/>
          <w:u w:val="single"/>
          <w:lang w:val="en-US" w:eastAsia="zh-CN"/>
        </w:rPr>
        <w:fldChar w:fldCharType="end"/>
      </w:r>
      <w:r>
        <w:rPr>
          <w:rFonts w:hint="eastAsia" w:ascii="Times New Roman" w:cs="Times New Roman"/>
          <w:color w:val="auto"/>
          <w:highlight w:val="none"/>
          <w:u w:val="single"/>
          <w:lang w:val="en-US" w:eastAsia="zh-CN"/>
        </w:rPr>
        <w:t>。</w:t>
      </w:r>
    </w:p>
    <w:p w14:paraId="3FDBE974">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bookmarkStart w:id="16" w:name="_Ref95313695"/>
      <w:r>
        <w:rPr>
          <w:rFonts w:hint="default"/>
          <w:color w:val="auto"/>
          <w:highlight w:val="none"/>
        </w:rPr>
        <w:t>本项目施工期大气污染物排放标准</w:t>
      </w:r>
      <w:bookmarkEnd w:id="16"/>
    </w:p>
    <w:tbl>
      <w:tblPr>
        <w:tblStyle w:val="87"/>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538"/>
        <w:gridCol w:w="1984"/>
        <w:gridCol w:w="1569"/>
        <w:gridCol w:w="3551"/>
      </w:tblGrid>
      <w:tr w14:paraId="2A77F4B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27" w:hRule="atLeast"/>
          <w:jc w:val="center"/>
        </w:trPr>
        <w:tc>
          <w:tcPr>
            <w:tcW w:w="1538" w:type="dxa"/>
            <w:vMerge w:val="restart"/>
            <w:noWrap w:val="0"/>
            <w:vAlign w:val="center"/>
          </w:tcPr>
          <w:p w14:paraId="333332EA">
            <w:pPr>
              <w:pStyle w:val="69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污染物</w:t>
            </w:r>
          </w:p>
        </w:tc>
        <w:tc>
          <w:tcPr>
            <w:tcW w:w="3553" w:type="dxa"/>
            <w:gridSpan w:val="2"/>
            <w:noWrap w:val="0"/>
            <w:vAlign w:val="center"/>
          </w:tcPr>
          <w:p w14:paraId="0332D9C7">
            <w:pPr>
              <w:pStyle w:val="69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无组织排放监控浓度限值</w:t>
            </w:r>
          </w:p>
        </w:tc>
        <w:tc>
          <w:tcPr>
            <w:tcW w:w="3551" w:type="dxa"/>
            <w:noWrap w:val="0"/>
            <w:vAlign w:val="center"/>
          </w:tcPr>
          <w:p w14:paraId="74F368CF">
            <w:pPr>
              <w:pStyle w:val="698"/>
              <w:rPr>
                <w:rFonts w:hint="default" w:ascii="Times New Roman" w:hAnsi="Times New Roman" w:cs="Times New Roman"/>
                <w:color w:val="auto"/>
                <w:highlight w:val="none"/>
              </w:rPr>
            </w:pPr>
            <w:r>
              <w:rPr>
                <w:rFonts w:hint="default" w:ascii="Times New Roman" w:hAnsi="Times New Roman" w:cs="Times New Roman"/>
                <w:b/>
                <w:bCs/>
                <w:color w:val="auto"/>
                <w:highlight w:val="none"/>
              </w:rPr>
              <w:t>标准来源</w:t>
            </w:r>
          </w:p>
        </w:tc>
      </w:tr>
      <w:tr w14:paraId="583AF93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27" w:hRule="atLeast"/>
          <w:jc w:val="center"/>
        </w:trPr>
        <w:tc>
          <w:tcPr>
            <w:tcW w:w="1538" w:type="dxa"/>
            <w:vMerge w:val="continue"/>
            <w:noWrap w:val="0"/>
            <w:vAlign w:val="center"/>
          </w:tcPr>
          <w:p w14:paraId="19A65E3E">
            <w:pPr>
              <w:pStyle w:val="698"/>
              <w:rPr>
                <w:rFonts w:hint="default" w:ascii="Times New Roman" w:hAnsi="Times New Roman" w:cs="Times New Roman"/>
                <w:b/>
                <w:bCs/>
                <w:color w:val="auto"/>
                <w:highlight w:val="none"/>
              </w:rPr>
            </w:pPr>
          </w:p>
        </w:tc>
        <w:tc>
          <w:tcPr>
            <w:tcW w:w="1984" w:type="dxa"/>
            <w:noWrap w:val="0"/>
            <w:vAlign w:val="center"/>
          </w:tcPr>
          <w:p w14:paraId="2C13A8A3">
            <w:pPr>
              <w:pStyle w:val="69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监控点</w:t>
            </w:r>
          </w:p>
        </w:tc>
        <w:tc>
          <w:tcPr>
            <w:tcW w:w="1569" w:type="dxa"/>
            <w:noWrap w:val="0"/>
            <w:vAlign w:val="center"/>
          </w:tcPr>
          <w:p w14:paraId="5784DEFE">
            <w:pPr>
              <w:pStyle w:val="69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浓度（mg/m</w:t>
            </w:r>
            <w:r>
              <w:rPr>
                <w:rFonts w:hint="default" w:ascii="Times New Roman" w:hAnsi="Times New Roman" w:cs="Times New Roman"/>
                <w:b/>
                <w:bCs/>
                <w:color w:val="auto"/>
                <w:highlight w:val="none"/>
                <w:vertAlign w:val="superscript"/>
              </w:rPr>
              <w:t>3</w:t>
            </w:r>
            <w:r>
              <w:rPr>
                <w:rFonts w:hint="default" w:ascii="Times New Roman" w:hAnsi="Times New Roman" w:cs="Times New Roman"/>
                <w:b/>
                <w:bCs/>
                <w:color w:val="auto"/>
                <w:highlight w:val="none"/>
              </w:rPr>
              <w:t>）</w:t>
            </w:r>
          </w:p>
        </w:tc>
        <w:tc>
          <w:tcPr>
            <w:tcW w:w="3551" w:type="dxa"/>
            <w:vMerge w:val="restart"/>
            <w:noWrap w:val="0"/>
            <w:vAlign w:val="center"/>
          </w:tcPr>
          <w:p w14:paraId="25073553">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《大气污染物综合排放标准》（GB16297-1996）表2</w:t>
            </w:r>
          </w:p>
        </w:tc>
      </w:tr>
      <w:tr w14:paraId="759A9FA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27" w:hRule="atLeast"/>
          <w:jc w:val="center"/>
        </w:trPr>
        <w:tc>
          <w:tcPr>
            <w:tcW w:w="1538" w:type="dxa"/>
            <w:noWrap w:val="0"/>
            <w:vAlign w:val="center"/>
          </w:tcPr>
          <w:p w14:paraId="10CC2D86">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颗粒物</w:t>
            </w:r>
          </w:p>
        </w:tc>
        <w:tc>
          <w:tcPr>
            <w:tcW w:w="1984" w:type="dxa"/>
            <w:vMerge w:val="restart"/>
            <w:noWrap w:val="0"/>
            <w:vAlign w:val="center"/>
          </w:tcPr>
          <w:p w14:paraId="1C8D04FD">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周界外浓度最高点</w:t>
            </w:r>
          </w:p>
        </w:tc>
        <w:tc>
          <w:tcPr>
            <w:tcW w:w="1569" w:type="dxa"/>
            <w:noWrap w:val="0"/>
            <w:vAlign w:val="center"/>
          </w:tcPr>
          <w:p w14:paraId="627D470E">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3551" w:type="dxa"/>
            <w:vMerge w:val="continue"/>
            <w:noWrap w:val="0"/>
            <w:vAlign w:val="center"/>
          </w:tcPr>
          <w:p w14:paraId="41D284BE">
            <w:pPr>
              <w:pStyle w:val="698"/>
              <w:rPr>
                <w:rFonts w:hint="default" w:ascii="Times New Roman" w:hAnsi="Times New Roman" w:cs="Times New Roman"/>
                <w:color w:val="auto"/>
                <w:highlight w:val="none"/>
              </w:rPr>
            </w:pPr>
          </w:p>
        </w:tc>
      </w:tr>
      <w:tr w14:paraId="6545F00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27" w:hRule="atLeast"/>
          <w:jc w:val="center"/>
        </w:trPr>
        <w:tc>
          <w:tcPr>
            <w:tcW w:w="1538" w:type="dxa"/>
            <w:noWrap w:val="0"/>
            <w:vAlign w:val="center"/>
          </w:tcPr>
          <w:p w14:paraId="57FAC935">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NOx</w:t>
            </w:r>
          </w:p>
        </w:tc>
        <w:tc>
          <w:tcPr>
            <w:tcW w:w="1984" w:type="dxa"/>
            <w:vMerge w:val="continue"/>
            <w:noWrap w:val="0"/>
            <w:vAlign w:val="center"/>
          </w:tcPr>
          <w:p w14:paraId="54BBDC9B">
            <w:pPr>
              <w:pStyle w:val="698"/>
              <w:rPr>
                <w:rFonts w:hint="default" w:ascii="Times New Roman" w:hAnsi="Times New Roman" w:cs="Times New Roman"/>
                <w:color w:val="auto"/>
                <w:highlight w:val="none"/>
              </w:rPr>
            </w:pPr>
          </w:p>
        </w:tc>
        <w:tc>
          <w:tcPr>
            <w:tcW w:w="1569" w:type="dxa"/>
            <w:noWrap w:val="0"/>
            <w:vAlign w:val="center"/>
          </w:tcPr>
          <w:p w14:paraId="31EBDD0C">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0.12</w:t>
            </w:r>
          </w:p>
        </w:tc>
        <w:tc>
          <w:tcPr>
            <w:tcW w:w="3551" w:type="dxa"/>
            <w:vMerge w:val="continue"/>
            <w:noWrap w:val="0"/>
            <w:vAlign w:val="center"/>
          </w:tcPr>
          <w:p w14:paraId="715716D5">
            <w:pPr>
              <w:pStyle w:val="698"/>
              <w:rPr>
                <w:rFonts w:hint="default" w:ascii="Times New Roman" w:hAnsi="Times New Roman" w:cs="Times New Roman"/>
                <w:color w:val="auto"/>
                <w:highlight w:val="none"/>
              </w:rPr>
            </w:pPr>
          </w:p>
        </w:tc>
      </w:tr>
      <w:tr w14:paraId="128141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27" w:hRule="atLeast"/>
          <w:jc w:val="center"/>
        </w:trPr>
        <w:tc>
          <w:tcPr>
            <w:tcW w:w="1538" w:type="dxa"/>
            <w:noWrap w:val="0"/>
            <w:vAlign w:val="center"/>
          </w:tcPr>
          <w:p w14:paraId="56E8F8F8">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2</w:t>
            </w:r>
          </w:p>
        </w:tc>
        <w:tc>
          <w:tcPr>
            <w:tcW w:w="1984" w:type="dxa"/>
            <w:vMerge w:val="continue"/>
            <w:noWrap w:val="0"/>
            <w:vAlign w:val="center"/>
          </w:tcPr>
          <w:p w14:paraId="480B6CCA">
            <w:pPr>
              <w:pStyle w:val="698"/>
              <w:rPr>
                <w:rFonts w:hint="default" w:ascii="Times New Roman" w:hAnsi="Times New Roman" w:cs="Times New Roman"/>
                <w:color w:val="auto"/>
                <w:highlight w:val="none"/>
              </w:rPr>
            </w:pPr>
          </w:p>
        </w:tc>
        <w:tc>
          <w:tcPr>
            <w:tcW w:w="1569" w:type="dxa"/>
            <w:noWrap w:val="0"/>
            <w:vAlign w:val="center"/>
          </w:tcPr>
          <w:p w14:paraId="7BD90F5B">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0.4</w:t>
            </w:r>
          </w:p>
        </w:tc>
        <w:tc>
          <w:tcPr>
            <w:tcW w:w="3551" w:type="dxa"/>
            <w:vMerge w:val="continue"/>
            <w:noWrap w:val="0"/>
            <w:vAlign w:val="center"/>
          </w:tcPr>
          <w:p w14:paraId="25EB3934">
            <w:pPr>
              <w:pStyle w:val="698"/>
              <w:rPr>
                <w:rFonts w:hint="default" w:ascii="Times New Roman" w:hAnsi="Times New Roman" w:cs="Times New Roman"/>
                <w:color w:val="auto"/>
                <w:highlight w:val="none"/>
              </w:rPr>
            </w:pPr>
          </w:p>
        </w:tc>
      </w:tr>
    </w:tbl>
    <w:p w14:paraId="00F3B3D8">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bookmarkStart w:id="17" w:name="_Ref31285"/>
      <w:r>
        <w:rPr>
          <w:rFonts w:hint="eastAsia"/>
          <w:color w:val="auto"/>
          <w:highlight w:val="none"/>
          <w:lang w:val="en-US" w:eastAsia="zh-CN"/>
        </w:rPr>
        <w:t>恶臭</w:t>
      </w:r>
      <w:r>
        <w:rPr>
          <w:rFonts w:hint="default"/>
          <w:color w:val="auto"/>
          <w:highlight w:val="none"/>
        </w:rPr>
        <w:t>污染物排放标准</w:t>
      </w:r>
      <w:bookmarkEnd w:id="17"/>
    </w:p>
    <w:tbl>
      <w:tblPr>
        <w:tblStyle w:val="87"/>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538"/>
        <w:gridCol w:w="1984"/>
        <w:gridCol w:w="1569"/>
        <w:gridCol w:w="3551"/>
      </w:tblGrid>
      <w:tr w14:paraId="41A7095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27" w:hRule="atLeast"/>
          <w:jc w:val="center"/>
        </w:trPr>
        <w:tc>
          <w:tcPr>
            <w:tcW w:w="1538" w:type="dxa"/>
            <w:vMerge w:val="restart"/>
            <w:noWrap w:val="0"/>
            <w:vAlign w:val="center"/>
          </w:tcPr>
          <w:p w14:paraId="191B14A1">
            <w:pPr>
              <w:pStyle w:val="698"/>
              <w:rPr>
                <w:rFonts w:hint="default" w:ascii="Times New Roman" w:hAnsi="Times New Roman" w:cs="Times New Roman"/>
                <w:b/>
                <w:bCs/>
                <w:color w:val="auto"/>
                <w:highlight w:val="none"/>
                <w:u w:val="single"/>
              </w:rPr>
            </w:pPr>
            <w:r>
              <w:rPr>
                <w:rFonts w:hint="default" w:ascii="Times New Roman" w:hAnsi="Times New Roman" w:cs="Times New Roman"/>
                <w:b/>
                <w:bCs/>
                <w:color w:val="auto"/>
                <w:highlight w:val="none"/>
                <w:u w:val="single"/>
              </w:rPr>
              <w:t>污染物</w:t>
            </w:r>
          </w:p>
        </w:tc>
        <w:tc>
          <w:tcPr>
            <w:tcW w:w="3553" w:type="dxa"/>
            <w:gridSpan w:val="2"/>
            <w:noWrap w:val="0"/>
            <w:vAlign w:val="center"/>
          </w:tcPr>
          <w:p w14:paraId="4550242A">
            <w:pPr>
              <w:pStyle w:val="698"/>
              <w:jc w:val="center"/>
              <w:rPr>
                <w:rFonts w:hint="default" w:ascii="Times New Roman" w:hAnsi="Times New Roman" w:eastAsia="宋体" w:cs="Times New Roman"/>
                <w:b/>
                <w:bCs/>
                <w:color w:val="auto"/>
                <w:highlight w:val="none"/>
                <w:u w:val="single"/>
                <w:lang w:val="en-US" w:eastAsia="zh-CN"/>
              </w:rPr>
            </w:pPr>
            <w:r>
              <w:rPr>
                <w:rFonts w:hint="eastAsia" w:ascii="Times New Roman" w:cs="Times New Roman"/>
                <w:b/>
                <w:bCs/>
                <w:color w:val="auto"/>
                <w:highlight w:val="none"/>
                <w:u w:val="single"/>
                <w:lang w:val="en-US" w:eastAsia="zh-CN"/>
              </w:rPr>
              <w:t>新扩改建二级标准</w:t>
            </w:r>
          </w:p>
        </w:tc>
        <w:tc>
          <w:tcPr>
            <w:tcW w:w="3551" w:type="dxa"/>
            <w:noWrap w:val="0"/>
            <w:vAlign w:val="center"/>
          </w:tcPr>
          <w:p w14:paraId="4598DBDB">
            <w:pPr>
              <w:pStyle w:val="698"/>
              <w:rPr>
                <w:rFonts w:hint="default" w:ascii="Times New Roman" w:hAnsi="Times New Roman" w:cs="Times New Roman"/>
                <w:color w:val="auto"/>
                <w:highlight w:val="none"/>
                <w:u w:val="single"/>
              </w:rPr>
            </w:pPr>
            <w:r>
              <w:rPr>
                <w:rFonts w:hint="default" w:ascii="Times New Roman" w:hAnsi="Times New Roman" w:cs="Times New Roman"/>
                <w:b/>
                <w:bCs/>
                <w:color w:val="auto"/>
                <w:highlight w:val="none"/>
                <w:u w:val="single"/>
              </w:rPr>
              <w:t>标准来源</w:t>
            </w:r>
          </w:p>
        </w:tc>
      </w:tr>
      <w:tr w14:paraId="52ED689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27" w:hRule="atLeast"/>
          <w:jc w:val="center"/>
        </w:trPr>
        <w:tc>
          <w:tcPr>
            <w:tcW w:w="1538" w:type="dxa"/>
            <w:vMerge w:val="continue"/>
            <w:noWrap w:val="0"/>
            <w:vAlign w:val="center"/>
          </w:tcPr>
          <w:p w14:paraId="76C29A84">
            <w:pPr>
              <w:pStyle w:val="698"/>
              <w:rPr>
                <w:rFonts w:hint="default" w:ascii="Times New Roman" w:hAnsi="Times New Roman" w:cs="Times New Roman"/>
                <w:b/>
                <w:bCs/>
                <w:color w:val="auto"/>
                <w:highlight w:val="none"/>
                <w:u w:val="single"/>
              </w:rPr>
            </w:pPr>
          </w:p>
        </w:tc>
        <w:tc>
          <w:tcPr>
            <w:tcW w:w="1984" w:type="dxa"/>
            <w:noWrap w:val="0"/>
            <w:vAlign w:val="center"/>
          </w:tcPr>
          <w:p w14:paraId="593C5B96">
            <w:pPr>
              <w:pStyle w:val="698"/>
              <w:rPr>
                <w:rFonts w:hint="default" w:ascii="Times New Roman" w:hAnsi="Times New Roman" w:cs="Times New Roman"/>
                <w:b/>
                <w:bCs/>
                <w:color w:val="auto"/>
                <w:highlight w:val="none"/>
                <w:u w:val="single"/>
              </w:rPr>
            </w:pPr>
            <w:r>
              <w:rPr>
                <w:rFonts w:hint="default" w:ascii="Times New Roman" w:hAnsi="Times New Roman" w:cs="Times New Roman"/>
                <w:b/>
                <w:bCs/>
                <w:color w:val="auto"/>
                <w:highlight w:val="none"/>
                <w:u w:val="single"/>
              </w:rPr>
              <w:t>监控点</w:t>
            </w:r>
          </w:p>
        </w:tc>
        <w:tc>
          <w:tcPr>
            <w:tcW w:w="1569" w:type="dxa"/>
            <w:noWrap w:val="0"/>
            <w:vAlign w:val="center"/>
          </w:tcPr>
          <w:p w14:paraId="7ABCD917">
            <w:pPr>
              <w:pStyle w:val="698"/>
              <w:rPr>
                <w:rFonts w:hint="default" w:ascii="Times New Roman" w:hAnsi="Times New Roman" w:eastAsia="宋体" w:cs="Times New Roman"/>
                <w:b/>
                <w:bCs/>
                <w:color w:val="auto"/>
                <w:highlight w:val="none"/>
                <w:u w:val="single"/>
                <w:lang w:val="en-US" w:eastAsia="zh-CN"/>
              </w:rPr>
            </w:pPr>
            <w:r>
              <w:rPr>
                <w:rFonts w:hint="eastAsia" w:ascii="Times New Roman" w:cs="Times New Roman"/>
                <w:b/>
                <w:bCs/>
                <w:color w:val="auto"/>
                <w:highlight w:val="none"/>
                <w:u w:val="single"/>
                <w:lang w:val="en-US" w:eastAsia="zh-CN"/>
              </w:rPr>
              <w:t>标准值</w:t>
            </w:r>
          </w:p>
        </w:tc>
        <w:tc>
          <w:tcPr>
            <w:tcW w:w="3551" w:type="dxa"/>
            <w:vMerge w:val="restart"/>
            <w:noWrap w:val="0"/>
            <w:vAlign w:val="center"/>
          </w:tcPr>
          <w:p w14:paraId="7C870A20">
            <w:pPr>
              <w:pStyle w:val="698"/>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《恶臭污染物排放标准》</w:t>
            </w:r>
          </w:p>
          <w:p w14:paraId="3584A75D">
            <w:pPr>
              <w:pStyle w:val="698"/>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（GB1455 4-93）</w:t>
            </w:r>
          </w:p>
        </w:tc>
      </w:tr>
      <w:tr w14:paraId="5E6C75C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227" w:hRule="atLeast"/>
          <w:jc w:val="center"/>
        </w:trPr>
        <w:tc>
          <w:tcPr>
            <w:tcW w:w="1538" w:type="dxa"/>
            <w:noWrap w:val="0"/>
            <w:vAlign w:val="center"/>
          </w:tcPr>
          <w:p w14:paraId="481684EB">
            <w:pPr>
              <w:pStyle w:val="698"/>
              <w:rPr>
                <w:rFonts w:hint="eastAsia" w:ascii="Times New Roman" w:hAnsi="Times New Roman" w:eastAsia="宋体" w:cs="Times New Roman"/>
                <w:b w:val="0"/>
                <w:bCs w:val="0"/>
                <w:color w:val="auto"/>
                <w:highlight w:val="none"/>
                <w:u w:val="single"/>
                <w:lang w:val="en-US" w:eastAsia="zh-CN"/>
              </w:rPr>
            </w:pPr>
            <w:r>
              <w:rPr>
                <w:rFonts w:ascii="TimesNewRomanPSMT" w:hAnsi="TimesNewRomanPSMT" w:eastAsia="TimesNewRomanPSMT" w:cs="TimesNewRomanPSMT"/>
                <w:b w:val="0"/>
                <w:bCs w:val="0"/>
                <w:color w:val="auto"/>
                <w:sz w:val="20"/>
                <w:szCs w:val="20"/>
                <w:highlight w:val="none"/>
                <w:u w:val="single"/>
              </w:rPr>
              <w:t>NH</w:t>
            </w:r>
            <w:r>
              <w:rPr>
                <w:rFonts w:hint="eastAsia" w:ascii="TimesNewRomanPSMT" w:hAnsi="TimesNewRomanPSMT" w:eastAsia="宋体" w:cs="TimesNewRomanPSMT"/>
                <w:b w:val="0"/>
                <w:bCs w:val="0"/>
                <w:color w:val="auto"/>
                <w:sz w:val="20"/>
                <w:szCs w:val="20"/>
                <w:highlight w:val="none"/>
                <w:u w:val="single"/>
                <w:vertAlign w:val="subscript"/>
                <w:lang w:val="en-US" w:eastAsia="zh-CN"/>
              </w:rPr>
              <w:t>3</w:t>
            </w:r>
          </w:p>
        </w:tc>
        <w:tc>
          <w:tcPr>
            <w:tcW w:w="1984" w:type="dxa"/>
            <w:vMerge w:val="restart"/>
            <w:noWrap w:val="0"/>
            <w:vAlign w:val="center"/>
          </w:tcPr>
          <w:p w14:paraId="33A3F70D">
            <w:pPr>
              <w:pStyle w:val="698"/>
              <w:rPr>
                <w:rFonts w:hint="eastAsia" w:ascii="Times New Roman" w:hAnsi="Times New Roman" w:eastAsia="宋体" w:cs="Times New Roman"/>
                <w:b w:val="0"/>
                <w:bCs w:val="0"/>
                <w:color w:val="auto"/>
                <w:highlight w:val="none"/>
                <w:u w:val="single"/>
                <w:lang w:eastAsia="zh-CN"/>
              </w:rPr>
            </w:pPr>
            <w:r>
              <w:rPr>
                <w:rFonts w:hint="eastAsia" w:ascii="Times New Roman" w:cs="Times New Roman"/>
                <w:b w:val="0"/>
                <w:bCs w:val="0"/>
                <w:color w:val="auto"/>
                <w:highlight w:val="none"/>
                <w:u w:val="single"/>
                <w:lang w:val="en-US" w:eastAsia="zh-CN"/>
              </w:rPr>
              <w:t>厂界</w:t>
            </w:r>
          </w:p>
        </w:tc>
        <w:tc>
          <w:tcPr>
            <w:tcW w:w="1569" w:type="dxa"/>
            <w:noWrap w:val="0"/>
            <w:vAlign w:val="center"/>
          </w:tcPr>
          <w:p w14:paraId="1817B808">
            <w:pPr>
              <w:pStyle w:val="698"/>
              <w:rPr>
                <w:rFonts w:hint="default" w:ascii="Times New Roman" w:hAnsi="Times New Roman" w:eastAsia="宋体" w:cs="Times New Roman"/>
                <w:b w:val="0"/>
                <w:bCs w:val="0"/>
                <w:color w:val="auto"/>
                <w:highlight w:val="none"/>
                <w:u w:val="single"/>
                <w:lang w:val="en-US" w:eastAsia="zh-CN"/>
              </w:rPr>
            </w:pPr>
            <w:r>
              <w:rPr>
                <w:rFonts w:hint="eastAsia" w:ascii="Times New Roman" w:cs="Times New Roman"/>
                <w:b w:val="0"/>
                <w:bCs w:val="0"/>
                <w:color w:val="auto"/>
                <w:highlight w:val="none"/>
                <w:u w:val="single"/>
                <w:lang w:val="en-US" w:eastAsia="zh-CN"/>
              </w:rPr>
              <w:t>1.5</w:t>
            </w:r>
            <w:r>
              <w:rPr>
                <w:rFonts w:hint="default" w:ascii="Times New Roman" w:hAnsi="Times New Roman" w:cs="Times New Roman"/>
                <w:b w:val="0"/>
                <w:bCs w:val="0"/>
                <w:color w:val="auto"/>
                <w:highlight w:val="none"/>
                <w:u w:val="single"/>
              </w:rPr>
              <w:t>mg/m</w:t>
            </w:r>
            <w:r>
              <w:rPr>
                <w:rFonts w:hint="default" w:ascii="Times New Roman" w:hAnsi="Times New Roman" w:cs="Times New Roman"/>
                <w:b w:val="0"/>
                <w:bCs w:val="0"/>
                <w:color w:val="auto"/>
                <w:highlight w:val="none"/>
                <w:u w:val="single"/>
                <w:vertAlign w:val="superscript"/>
              </w:rPr>
              <w:t>3</w:t>
            </w:r>
          </w:p>
        </w:tc>
        <w:tc>
          <w:tcPr>
            <w:tcW w:w="3551" w:type="dxa"/>
            <w:vMerge w:val="continue"/>
            <w:noWrap w:val="0"/>
            <w:vAlign w:val="center"/>
          </w:tcPr>
          <w:p w14:paraId="5AB70D5A">
            <w:pPr>
              <w:pStyle w:val="698"/>
              <w:rPr>
                <w:rFonts w:hint="default" w:ascii="Times New Roman" w:hAnsi="Times New Roman" w:cs="Times New Roman"/>
                <w:color w:val="auto"/>
                <w:highlight w:val="none"/>
              </w:rPr>
            </w:pPr>
          </w:p>
        </w:tc>
      </w:tr>
      <w:tr w14:paraId="462538F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27" w:hRule="atLeast"/>
          <w:jc w:val="center"/>
        </w:trPr>
        <w:tc>
          <w:tcPr>
            <w:tcW w:w="1538" w:type="dxa"/>
            <w:noWrap w:val="0"/>
            <w:vAlign w:val="center"/>
          </w:tcPr>
          <w:p w14:paraId="7F5B7591">
            <w:pPr>
              <w:pStyle w:val="698"/>
              <w:rPr>
                <w:rFonts w:hint="default" w:ascii="Times New Roman" w:hAnsi="Times New Roman" w:cs="Times New Roman"/>
                <w:b w:val="0"/>
                <w:bCs w:val="0"/>
                <w:color w:val="auto"/>
                <w:highlight w:val="none"/>
                <w:u w:val="single"/>
              </w:rPr>
            </w:pPr>
            <w:r>
              <w:rPr>
                <w:rFonts w:ascii="TimesNewRomanPSMT" w:hAnsi="TimesNewRomanPSMT" w:eastAsia="TimesNewRomanPSMT" w:cs="TimesNewRomanPSMT"/>
                <w:b w:val="0"/>
                <w:bCs w:val="0"/>
                <w:color w:val="auto"/>
                <w:sz w:val="20"/>
                <w:szCs w:val="20"/>
                <w:highlight w:val="none"/>
                <w:u w:val="single"/>
              </w:rPr>
              <w:t>H</w:t>
            </w:r>
            <w:r>
              <w:rPr>
                <w:rFonts w:hint="eastAsia" w:ascii="TimesNewRomanPSMT" w:hAnsi="TimesNewRomanPSMT" w:eastAsia="宋体" w:cs="TimesNewRomanPSMT"/>
                <w:b w:val="0"/>
                <w:bCs w:val="0"/>
                <w:color w:val="auto"/>
                <w:sz w:val="20"/>
                <w:szCs w:val="20"/>
                <w:highlight w:val="none"/>
                <w:u w:val="single"/>
                <w:vertAlign w:val="subscript"/>
                <w:lang w:val="en-US" w:eastAsia="zh-CN"/>
              </w:rPr>
              <w:t>2</w:t>
            </w:r>
            <w:r>
              <w:rPr>
                <w:rFonts w:hint="default" w:ascii="TimesNewRomanPSMT" w:hAnsi="TimesNewRomanPSMT" w:eastAsia="TimesNewRomanPSMT" w:cs="TimesNewRomanPSMT"/>
                <w:b w:val="0"/>
                <w:bCs w:val="0"/>
                <w:color w:val="auto"/>
                <w:sz w:val="20"/>
                <w:szCs w:val="20"/>
                <w:highlight w:val="none"/>
                <w:u w:val="single"/>
              </w:rPr>
              <w:t>S</w:t>
            </w:r>
          </w:p>
        </w:tc>
        <w:tc>
          <w:tcPr>
            <w:tcW w:w="1984" w:type="dxa"/>
            <w:vMerge w:val="continue"/>
            <w:noWrap w:val="0"/>
            <w:vAlign w:val="center"/>
          </w:tcPr>
          <w:p w14:paraId="2ACA5A28">
            <w:pPr>
              <w:pStyle w:val="698"/>
              <w:rPr>
                <w:rFonts w:hint="default" w:ascii="Times New Roman" w:hAnsi="Times New Roman" w:cs="Times New Roman"/>
                <w:b w:val="0"/>
                <w:bCs w:val="0"/>
                <w:color w:val="auto"/>
                <w:highlight w:val="none"/>
                <w:u w:val="single"/>
              </w:rPr>
            </w:pPr>
          </w:p>
        </w:tc>
        <w:tc>
          <w:tcPr>
            <w:tcW w:w="1569" w:type="dxa"/>
            <w:noWrap w:val="0"/>
            <w:vAlign w:val="center"/>
          </w:tcPr>
          <w:p w14:paraId="345B622A">
            <w:pPr>
              <w:pStyle w:val="698"/>
              <w:rPr>
                <w:rFonts w:hint="default" w:ascii="Times New Roman" w:hAnsi="Times New Roman" w:eastAsia="宋体" w:cs="Times New Roman"/>
                <w:b w:val="0"/>
                <w:bCs w:val="0"/>
                <w:color w:val="auto"/>
                <w:highlight w:val="none"/>
                <w:u w:val="single"/>
                <w:lang w:val="en-US" w:eastAsia="zh-CN"/>
              </w:rPr>
            </w:pPr>
            <w:r>
              <w:rPr>
                <w:rFonts w:hint="eastAsia" w:ascii="Times New Roman" w:cs="Times New Roman"/>
                <w:b w:val="0"/>
                <w:bCs w:val="0"/>
                <w:color w:val="auto"/>
                <w:highlight w:val="none"/>
                <w:u w:val="single"/>
                <w:lang w:val="en-US" w:eastAsia="zh-CN"/>
              </w:rPr>
              <w:t>0.0 6</w:t>
            </w:r>
            <w:r>
              <w:rPr>
                <w:rFonts w:hint="default" w:ascii="Times New Roman" w:hAnsi="Times New Roman" w:cs="Times New Roman"/>
                <w:b w:val="0"/>
                <w:bCs w:val="0"/>
                <w:color w:val="auto"/>
                <w:highlight w:val="none"/>
                <w:u w:val="single"/>
              </w:rPr>
              <w:t>mg/m</w:t>
            </w:r>
            <w:r>
              <w:rPr>
                <w:rFonts w:hint="default" w:ascii="Times New Roman" w:hAnsi="Times New Roman" w:cs="Times New Roman"/>
                <w:b w:val="0"/>
                <w:bCs w:val="0"/>
                <w:color w:val="auto"/>
                <w:highlight w:val="none"/>
                <w:u w:val="single"/>
                <w:vertAlign w:val="superscript"/>
              </w:rPr>
              <w:t>3</w:t>
            </w:r>
          </w:p>
        </w:tc>
        <w:tc>
          <w:tcPr>
            <w:tcW w:w="3551" w:type="dxa"/>
            <w:vMerge w:val="continue"/>
            <w:noWrap w:val="0"/>
            <w:vAlign w:val="center"/>
          </w:tcPr>
          <w:p w14:paraId="522D2952">
            <w:pPr>
              <w:pStyle w:val="698"/>
              <w:rPr>
                <w:rFonts w:hint="default" w:ascii="Times New Roman" w:hAnsi="Times New Roman" w:cs="Times New Roman"/>
                <w:color w:val="auto"/>
                <w:highlight w:val="none"/>
              </w:rPr>
            </w:pPr>
          </w:p>
        </w:tc>
      </w:tr>
      <w:tr w14:paraId="7A5070B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27" w:hRule="atLeast"/>
          <w:jc w:val="center"/>
        </w:trPr>
        <w:tc>
          <w:tcPr>
            <w:tcW w:w="1538" w:type="dxa"/>
            <w:noWrap w:val="0"/>
            <w:vAlign w:val="center"/>
          </w:tcPr>
          <w:p w14:paraId="07438868">
            <w:pPr>
              <w:pStyle w:val="698"/>
              <w:rPr>
                <w:rFonts w:hint="default" w:ascii="Times New Roman" w:hAnsi="Times New Roman" w:cs="Times New Roman"/>
                <w:b w:val="0"/>
                <w:bCs w:val="0"/>
                <w:color w:val="auto"/>
                <w:highlight w:val="none"/>
                <w:u w:val="single"/>
              </w:rPr>
            </w:pPr>
            <w:r>
              <w:rPr>
                <w:rFonts w:ascii="宋体" w:hAnsi="宋体" w:eastAsia="宋体" w:cs="宋体"/>
                <w:b w:val="0"/>
                <w:bCs w:val="0"/>
                <w:color w:val="auto"/>
                <w:sz w:val="20"/>
                <w:szCs w:val="20"/>
                <w:highlight w:val="none"/>
                <w:u w:val="single"/>
              </w:rPr>
              <w:t>臭气浓度</w:t>
            </w:r>
          </w:p>
        </w:tc>
        <w:tc>
          <w:tcPr>
            <w:tcW w:w="1984" w:type="dxa"/>
            <w:vMerge w:val="continue"/>
            <w:noWrap w:val="0"/>
            <w:vAlign w:val="center"/>
          </w:tcPr>
          <w:p w14:paraId="1968092E">
            <w:pPr>
              <w:pStyle w:val="698"/>
              <w:rPr>
                <w:rFonts w:hint="default" w:ascii="Times New Roman" w:hAnsi="Times New Roman" w:cs="Times New Roman"/>
                <w:b w:val="0"/>
                <w:bCs w:val="0"/>
                <w:color w:val="auto"/>
                <w:highlight w:val="none"/>
                <w:u w:val="single"/>
              </w:rPr>
            </w:pPr>
          </w:p>
        </w:tc>
        <w:tc>
          <w:tcPr>
            <w:tcW w:w="1569" w:type="dxa"/>
            <w:noWrap w:val="0"/>
            <w:vAlign w:val="center"/>
          </w:tcPr>
          <w:p w14:paraId="60ACD9B9">
            <w:pPr>
              <w:pStyle w:val="698"/>
              <w:rPr>
                <w:rFonts w:hint="default" w:ascii="Times New Roman" w:hAnsi="Times New Roman" w:eastAsia="宋体" w:cs="Times New Roman"/>
                <w:b w:val="0"/>
                <w:bCs w:val="0"/>
                <w:color w:val="auto"/>
                <w:highlight w:val="none"/>
                <w:u w:val="single"/>
                <w:lang w:val="en-US" w:eastAsia="zh-CN"/>
              </w:rPr>
            </w:pPr>
            <w:r>
              <w:rPr>
                <w:rFonts w:hint="eastAsia" w:ascii="Times New Roman" w:cs="Times New Roman"/>
                <w:b w:val="0"/>
                <w:bCs w:val="0"/>
                <w:color w:val="auto"/>
                <w:highlight w:val="none"/>
                <w:u w:val="single"/>
                <w:lang w:val="en-US" w:eastAsia="zh-CN"/>
              </w:rPr>
              <w:t>20(无量纲)</w:t>
            </w:r>
          </w:p>
        </w:tc>
        <w:tc>
          <w:tcPr>
            <w:tcW w:w="3551" w:type="dxa"/>
            <w:vMerge w:val="continue"/>
            <w:noWrap w:val="0"/>
            <w:vAlign w:val="center"/>
          </w:tcPr>
          <w:p w14:paraId="3ADB29E8">
            <w:pPr>
              <w:pStyle w:val="698"/>
              <w:rPr>
                <w:rFonts w:hint="default" w:ascii="Times New Roman" w:hAnsi="Times New Roman" w:cs="Times New Roman"/>
                <w:color w:val="auto"/>
                <w:highlight w:val="none"/>
              </w:rPr>
            </w:pPr>
          </w:p>
        </w:tc>
      </w:tr>
    </w:tbl>
    <w:p w14:paraId="284E558B">
      <w:pPr>
        <w:pStyle w:val="41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lang w:eastAsia="zh-CN"/>
        </w:rPr>
        <w:t>）</w:t>
      </w:r>
      <w:r>
        <w:rPr>
          <w:rFonts w:hint="eastAsia" w:ascii="Times New Roman" w:hAnsi="Times New Roman" w:cs="Times New Roman"/>
          <w:b/>
          <w:bCs/>
          <w:color w:val="auto"/>
          <w:highlight w:val="none"/>
          <w:lang w:val="en-US" w:eastAsia="zh-CN"/>
        </w:rPr>
        <w:t>运营期</w:t>
      </w:r>
    </w:p>
    <w:p w14:paraId="72A0B14E">
      <w:pPr>
        <w:pStyle w:val="41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w:t>
      </w:r>
      <w:r>
        <w:rPr>
          <w:rFonts w:hint="eastAsia" w:ascii="Times New Roman" w:hAnsi="Times New Roman" w:cs="Times New Roman"/>
          <w:color w:val="auto"/>
          <w:highlight w:val="none"/>
          <w:lang w:val="en-US" w:eastAsia="zh-CN"/>
        </w:rPr>
        <w:t>运营期</w:t>
      </w:r>
      <w:r>
        <w:rPr>
          <w:rFonts w:hint="default" w:ascii="Times New Roman" w:hAnsi="Times New Roman" w:cs="Times New Roman"/>
          <w:color w:val="auto"/>
          <w:highlight w:val="none"/>
          <w:lang w:val="en-US" w:eastAsia="zh-CN"/>
        </w:rPr>
        <w:t>无废气产生。</w:t>
      </w:r>
    </w:p>
    <w:p w14:paraId="235247D3">
      <w:pPr>
        <w:pStyle w:val="6"/>
        <w:bidi w:val="0"/>
        <w:ind w:left="0" w:leftChars="0" w:firstLine="0" w:firstLineChars="0"/>
        <w:rPr>
          <w:rFonts w:hint="default"/>
          <w:color w:val="auto"/>
          <w:highlight w:val="none"/>
        </w:rPr>
      </w:pPr>
      <w:r>
        <w:rPr>
          <w:rFonts w:hint="default"/>
          <w:color w:val="auto"/>
          <w:highlight w:val="none"/>
        </w:rPr>
        <w:t>水污染物排放标准</w:t>
      </w:r>
    </w:p>
    <w:p w14:paraId="569E1F40">
      <w:pPr>
        <w:pStyle w:val="410"/>
        <w:rPr>
          <w:rFonts w:hint="default" w:ascii="Times New Roman" w:hAnsi="Times New Roman" w:cs="Times New Roman"/>
          <w:b/>
          <w:bCs/>
          <w:color w:val="auto"/>
          <w:highlight w:val="none"/>
          <w:u w:val="none"/>
        </w:rPr>
      </w:pPr>
      <w:r>
        <w:rPr>
          <w:rFonts w:hint="default" w:ascii="Times New Roman" w:hAnsi="Times New Roman" w:cs="Times New Roman"/>
          <w:b/>
          <w:bCs/>
          <w:color w:val="auto"/>
          <w:highlight w:val="none"/>
          <w:u w:val="none"/>
        </w:rPr>
        <w:t>（1）施工期</w:t>
      </w:r>
    </w:p>
    <w:p w14:paraId="547806A2">
      <w:pPr>
        <w:pStyle w:val="410"/>
        <w:rPr>
          <w:rFonts w:hint="eastAsia" w:ascii="Times New Roman" w:hAnsi="Times New Roman" w:cs="Times New Roman"/>
          <w:color w:val="auto"/>
          <w:highlight w:val="none"/>
          <w:u w:val="single"/>
          <w:lang w:eastAsia="zh-CN"/>
        </w:rPr>
      </w:pPr>
      <w:r>
        <w:rPr>
          <w:rFonts w:hint="default" w:ascii="Times New Roman" w:hAnsi="Times New Roman" w:cs="Times New Roman"/>
          <w:color w:val="auto"/>
          <w:highlight w:val="none"/>
          <w:u w:val="none"/>
          <w:lang w:val="en-US" w:eastAsia="zh-CN"/>
        </w:rPr>
        <w:t>施工人员租用周边民房作为生活区，产生的生活污水依托周边民房化粪池处理后纳入</w:t>
      </w:r>
      <w:r>
        <w:rPr>
          <w:rFonts w:hint="eastAsia" w:ascii="Times New Roman" w:hAnsi="Times New Roman" w:cs="Times New Roman"/>
          <w:color w:val="auto"/>
          <w:highlight w:val="none"/>
          <w:u w:val="none"/>
          <w:lang w:val="en-US" w:eastAsia="zh-CN"/>
        </w:rPr>
        <w:t>市政污水</w:t>
      </w:r>
      <w:r>
        <w:rPr>
          <w:rFonts w:hint="default" w:ascii="Times New Roman" w:hAnsi="Times New Roman" w:cs="Times New Roman"/>
          <w:color w:val="auto"/>
          <w:highlight w:val="none"/>
          <w:u w:val="none"/>
          <w:lang w:val="en-US" w:eastAsia="zh-CN"/>
        </w:rPr>
        <w:t>管网处置；</w:t>
      </w:r>
      <w:r>
        <w:rPr>
          <w:rFonts w:hint="eastAsia" w:ascii="Times New Roman" w:hAnsi="Times New Roman" w:cs="Times New Roman"/>
          <w:color w:val="auto"/>
          <w:highlight w:val="none"/>
          <w:u w:val="none"/>
          <w:lang w:val="en-US" w:eastAsia="zh-CN"/>
        </w:rPr>
        <w:t>施工期混凝土养护废水经地面吸收和自然蒸发，不外排；</w:t>
      </w:r>
      <w:r>
        <w:rPr>
          <w:rFonts w:hint="default" w:ascii="Times New Roman" w:hAnsi="Times New Roman" w:cs="Times New Roman"/>
          <w:color w:val="auto"/>
          <w:highlight w:val="none"/>
          <w:u w:val="none"/>
        </w:rPr>
        <w:t>施工期</w:t>
      </w:r>
      <w:r>
        <w:rPr>
          <w:rFonts w:hint="default" w:ascii="Times New Roman" w:hAnsi="Times New Roman" w:cs="Times New Roman"/>
          <w:color w:val="auto"/>
          <w:highlight w:val="none"/>
          <w:u w:val="none"/>
          <w:lang w:val="en-US" w:eastAsia="zh-CN"/>
        </w:rPr>
        <w:t>运输车辆冲洗废水</w:t>
      </w:r>
      <w:r>
        <w:rPr>
          <w:rFonts w:hint="default" w:ascii="Times New Roman" w:hAnsi="Times New Roman" w:cs="Times New Roman"/>
          <w:color w:val="auto"/>
          <w:highlight w:val="none"/>
          <w:u w:val="none"/>
        </w:rPr>
        <w:t>经过场地隔油沉淀处理后可回用于施工洒水降尘，</w:t>
      </w:r>
      <w:r>
        <w:rPr>
          <w:rFonts w:hint="eastAsia" w:ascii="Times New Roman" w:hAnsi="Times New Roman" w:cs="Times New Roman"/>
          <w:color w:val="auto"/>
          <w:highlight w:val="none"/>
          <w:u w:val="none"/>
          <w:lang w:eastAsia="zh-CN"/>
        </w:rPr>
        <w:t>不外排；施工期基坑废水经临时沉淀池沉淀后回用于施工场区洒水降尘，不外排</w:t>
      </w:r>
      <w:r>
        <w:rPr>
          <w:rFonts w:hint="eastAsia" w:ascii="Times New Roman" w:cs="Times New Roman"/>
          <w:color w:val="auto"/>
          <w:highlight w:val="none"/>
          <w:u w:val="none"/>
          <w:lang w:eastAsia="zh-CN"/>
        </w:rPr>
        <w:t>；施工期污泥渗滤液经</w:t>
      </w:r>
      <w:r>
        <w:rPr>
          <w:rFonts w:hint="eastAsia" w:ascii="Times New Roman" w:hAnsi="Times New Roman" w:cs="Times New Roman"/>
          <w:color w:val="auto"/>
          <w:highlight w:val="none"/>
          <w:u w:val="none"/>
          <w:lang w:eastAsia="zh-CN"/>
        </w:rPr>
        <w:t>临时沉淀池沉淀后回用于临时中转场洒水降尘，不外排</w:t>
      </w:r>
      <w:r>
        <w:rPr>
          <w:rFonts w:hint="eastAsia" w:ascii="Times New Roman" w:cs="Times New Roman"/>
          <w:color w:val="auto"/>
          <w:highlight w:val="none"/>
          <w:u w:val="none"/>
          <w:lang w:eastAsia="zh-CN"/>
        </w:rPr>
        <w:t>；</w:t>
      </w:r>
      <w:r>
        <w:rPr>
          <w:rFonts w:hint="eastAsia" w:ascii="Times New Roman" w:cs="Times New Roman"/>
          <w:color w:val="auto"/>
          <w:highlight w:val="none"/>
          <w:u w:val="single"/>
          <w:lang w:val="en-US" w:eastAsia="zh-CN"/>
        </w:rPr>
        <w:t>施工区初期雨水经雨水收集池收集沉淀后回用于洒水降尘、道路降尘、车辆冲洗，不外排</w:t>
      </w:r>
      <w:r>
        <w:rPr>
          <w:rFonts w:hint="eastAsia" w:ascii="Times New Roman" w:hAnsi="Times New Roman" w:cs="Times New Roman"/>
          <w:color w:val="auto"/>
          <w:highlight w:val="none"/>
          <w:u w:val="single"/>
          <w:lang w:eastAsia="zh-CN"/>
        </w:rPr>
        <w:t>。</w:t>
      </w:r>
    </w:p>
    <w:p w14:paraId="567F9FFA">
      <w:pPr>
        <w:pStyle w:val="410"/>
        <w:rPr>
          <w:rFonts w:hint="default" w:ascii="Times New Roman" w:hAnsi="Times New Roman" w:eastAsia="宋体" w:cs="Times New Roman"/>
          <w:color w:val="auto"/>
          <w:highlight w:val="none"/>
          <w:u w:val="single"/>
          <w:lang w:val="en-US" w:eastAsia="zh-CN"/>
        </w:rPr>
      </w:pPr>
      <w:r>
        <w:rPr>
          <w:rFonts w:hint="eastAsia" w:ascii="Times New Roman" w:cs="Times New Roman"/>
          <w:color w:val="auto"/>
          <w:highlight w:val="none"/>
          <w:u w:val="single"/>
          <w:lang w:val="en-US" w:eastAsia="zh-CN"/>
        </w:rPr>
        <w:t>项目产生的运输车辆冲洗废水、基坑废水、污泥渗滤液、施工初期雨水处理达到《污水综合排放标准》（GB</w:t>
      </w:r>
      <w:r>
        <w:rPr>
          <w:rFonts w:ascii="TimesNewRomanPSMT" w:hAnsi="TimesNewRomanPSMT" w:eastAsia="TimesNewRomanPSMT" w:cs="TimesNewRomanPSMT"/>
          <w:b w:val="0"/>
          <w:bCs w:val="0"/>
          <w:color w:val="auto"/>
          <w:sz w:val="24"/>
          <w:szCs w:val="24"/>
          <w:highlight w:val="none"/>
          <w:u w:val="single"/>
        </w:rPr>
        <w:t>8978-1996</w:t>
      </w:r>
      <w:r>
        <w:rPr>
          <w:rFonts w:ascii="宋体" w:hAnsi="宋体" w:eastAsia="宋体" w:cs="宋体"/>
          <w:b w:val="0"/>
          <w:bCs w:val="0"/>
          <w:color w:val="auto"/>
          <w:sz w:val="24"/>
          <w:szCs w:val="24"/>
          <w:highlight w:val="none"/>
          <w:u w:val="single"/>
        </w:rPr>
        <w:t>）表</w:t>
      </w:r>
      <w:r>
        <w:rPr>
          <w:rFonts w:hint="default" w:ascii="TimesNewRomanPSMT" w:hAnsi="TimesNewRomanPSMT" w:eastAsia="TimesNewRomanPSMT" w:cs="TimesNewRomanPSMT"/>
          <w:b w:val="0"/>
          <w:bCs w:val="0"/>
          <w:color w:val="auto"/>
          <w:sz w:val="24"/>
          <w:szCs w:val="24"/>
          <w:highlight w:val="none"/>
          <w:u w:val="single"/>
        </w:rPr>
        <w:t>4</w:t>
      </w:r>
      <w:r>
        <w:rPr>
          <w:rFonts w:ascii="宋体" w:hAnsi="宋体" w:eastAsia="宋体" w:cs="宋体"/>
          <w:b w:val="0"/>
          <w:bCs w:val="0"/>
          <w:color w:val="auto"/>
          <w:sz w:val="24"/>
          <w:szCs w:val="24"/>
          <w:highlight w:val="none"/>
          <w:u w:val="single"/>
        </w:rPr>
        <w:t>中</w:t>
      </w:r>
      <w:r>
        <w:rPr>
          <w:rFonts w:hint="eastAsia" w:ascii="宋体" w:hAnsi="宋体" w:eastAsia="宋体" w:cs="宋体"/>
          <w:b w:val="0"/>
          <w:bCs w:val="0"/>
          <w:color w:val="auto"/>
          <w:sz w:val="24"/>
          <w:szCs w:val="24"/>
          <w:highlight w:val="none"/>
          <w:u w:val="single"/>
          <w:lang w:val="en-US" w:eastAsia="zh-CN"/>
        </w:rPr>
        <w:t>一级标准</w:t>
      </w:r>
      <w:r>
        <w:rPr>
          <w:rFonts w:ascii="宋体" w:hAnsi="宋体" w:eastAsia="宋体" w:cs="宋体"/>
          <w:b w:val="0"/>
          <w:bCs w:val="0"/>
          <w:color w:val="auto"/>
          <w:sz w:val="24"/>
          <w:szCs w:val="24"/>
          <w:highlight w:val="none"/>
          <w:u w:val="single"/>
        </w:rPr>
        <w:t>回用于</w:t>
      </w:r>
      <w:r>
        <w:rPr>
          <w:rFonts w:hint="eastAsia" w:ascii="宋体" w:hAnsi="宋体" w:eastAsia="宋体" w:cs="宋体"/>
          <w:b w:val="0"/>
          <w:bCs w:val="0"/>
          <w:color w:val="auto"/>
          <w:sz w:val="24"/>
          <w:szCs w:val="24"/>
          <w:highlight w:val="none"/>
          <w:u w:val="single"/>
          <w:lang w:val="en-US" w:eastAsia="zh-CN"/>
        </w:rPr>
        <w:t>洒水降尘。</w:t>
      </w:r>
    </w:p>
    <w:p w14:paraId="4CDAC3C3">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u w:val="single"/>
        </w:rPr>
      </w:pPr>
      <w:r>
        <w:rPr>
          <w:rFonts w:hint="eastAsia"/>
          <w:color w:val="auto"/>
          <w:highlight w:val="none"/>
          <w:u w:val="single"/>
          <w:lang w:val="en-US" w:eastAsia="zh-CN"/>
        </w:rPr>
        <w:t>《污水综合排放标准》（GB 8978-1996）</w:t>
      </w:r>
    </w:p>
    <w:tbl>
      <w:tblPr>
        <w:tblStyle w:val="87"/>
        <w:tblW w:w="5221"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2125"/>
        <w:gridCol w:w="805"/>
        <w:gridCol w:w="737"/>
        <w:gridCol w:w="1064"/>
        <w:gridCol w:w="1121"/>
        <w:gridCol w:w="1102"/>
        <w:gridCol w:w="1279"/>
        <w:gridCol w:w="791"/>
      </w:tblGrid>
      <w:tr w14:paraId="48F89D5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4" w:hRule="atLeast"/>
          <w:jc w:val="center"/>
        </w:trPr>
        <w:tc>
          <w:tcPr>
            <w:tcW w:w="1177" w:type="pct"/>
            <w:noWrap w:val="0"/>
            <w:vAlign w:val="center"/>
          </w:tcPr>
          <w:p w14:paraId="7B658E6F">
            <w:pPr>
              <w:pStyle w:val="698"/>
              <w:rPr>
                <w:rFonts w:hint="default" w:ascii="Times New Roman" w:hAnsi="Times New Roman" w:eastAsia="宋体" w:cs="Times New Roman"/>
                <w:b/>
                <w:bCs/>
                <w:color w:val="auto"/>
                <w:highlight w:val="none"/>
                <w:u w:val="single"/>
                <w:lang w:val="en-US" w:eastAsia="zh-CN"/>
              </w:rPr>
            </w:pPr>
            <w:r>
              <w:rPr>
                <w:rFonts w:hint="eastAsia" w:ascii="Times New Roman" w:cs="Times New Roman"/>
                <w:b/>
                <w:bCs/>
                <w:color w:val="auto"/>
                <w:highlight w:val="none"/>
                <w:u w:val="single"/>
                <w:lang w:val="en-US" w:eastAsia="zh-CN"/>
              </w:rPr>
              <w:t>水质标准</w:t>
            </w:r>
          </w:p>
        </w:tc>
        <w:tc>
          <w:tcPr>
            <w:tcW w:w="446" w:type="pct"/>
            <w:noWrap w:val="0"/>
            <w:vAlign w:val="center"/>
          </w:tcPr>
          <w:p w14:paraId="3494FD01">
            <w:pPr>
              <w:pStyle w:val="698"/>
              <w:rPr>
                <w:rFonts w:hint="default" w:ascii="Times New Roman" w:hAnsi="Times New Roman" w:cs="Times New Roman"/>
                <w:b/>
                <w:bCs/>
                <w:color w:val="auto"/>
                <w:highlight w:val="none"/>
                <w:u w:val="single"/>
              </w:rPr>
            </w:pPr>
            <w:r>
              <w:rPr>
                <w:rFonts w:ascii="TimesNewRomanPSMT" w:hAnsi="TimesNewRomanPSMT" w:eastAsia="TimesNewRomanPSMT" w:cs="TimesNewRomanPSMT"/>
                <w:b w:val="0"/>
                <w:bCs w:val="0"/>
                <w:color w:val="auto"/>
                <w:sz w:val="20"/>
                <w:szCs w:val="20"/>
                <w:highlight w:val="none"/>
                <w:u w:val="single"/>
              </w:rPr>
              <w:t>pH</w:t>
            </w:r>
          </w:p>
        </w:tc>
        <w:tc>
          <w:tcPr>
            <w:tcW w:w="408" w:type="pct"/>
            <w:noWrap w:val="0"/>
            <w:vAlign w:val="center"/>
          </w:tcPr>
          <w:p w14:paraId="75C20ADF">
            <w:pPr>
              <w:pStyle w:val="698"/>
              <w:rPr>
                <w:rFonts w:hint="default" w:ascii="Times New Roman" w:hAnsi="Times New Roman" w:cs="Times New Roman"/>
                <w:b/>
                <w:bCs/>
                <w:color w:val="auto"/>
                <w:highlight w:val="none"/>
                <w:u w:val="single"/>
              </w:rPr>
            </w:pPr>
            <w:r>
              <w:rPr>
                <w:rFonts w:ascii="TimesNewRomanPSMT" w:hAnsi="TimesNewRomanPSMT" w:eastAsia="TimesNewRomanPSMT" w:cs="TimesNewRomanPSMT"/>
                <w:b w:val="0"/>
                <w:bCs w:val="0"/>
                <w:color w:val="auto"/>
                <w:sz w:val="20"/>
                <w:szCs w:val="20"/>
                <w:highlight w:val="none"/>
                <w:u w:val="single"/>
              </w:rPr>
              <w:t>COD</w:t>
            </w:r>
          </w:p>
        </w:tc>
        <w:tc>
          <w:tcPr>
            <w:tcW w:w="589" w:type="pct"/>
            <w:noWrap w:val="0"/>
            <w:vAlign w:val="center"/>
          </w:tcPr>
          <w:p w14:paraId="1250340A">
            <w:pPr>
              <w:pStyle w:val="698"/>
              <w:rPr>
                <w:rFonts w:hint="default" w:ascii="Times New Roman" w:hAnsi="Times New Roman" w:cs="Times New Roman"/>
                <w:b/>
                <w:bCs/>
                <w:color w:val="auto"/>
                <w:highlight w:val="none"/>
                <w:u w:val="single"/>
              </w:rPr>
            </w:pPr>
            <w:r>
              <w:rPr>
                <w:rFonts w:ascii="TimesNewRomanPSMT" w:hAnsi="TimesNewRomanPSMT" w:eastAsia="TimesNewRomanPSMT" w:cs="TimesNewRomanPSMT"/>
                <w:b w:val="0"/>
                <w:bCs w:val="0"/>
                <w:color w:val="auto"/>
                <w:sz w:val="20"/>
                <w:szCs w:val="20"/>
                <w:highlight w:val="none"/>
                <w:u w:val="single"/>
              </w:rPr>
              <w:t>BOD</w:t>
            </w:r>
            <w:r>
              <w:rPr>
                <w:rFonts w:hint="eastAsia" w:ascii="TimesNewRomanPSMT" w:hAnsi="TimesNewRomanPSMT" w:eastAsia="宋体" w:cs="TimesNewRomanPSMT"/>
                <w:b w:val="0"/>
                <w:bCs w:val="0"/>
                <w:color w:val="auto"/>
                <w:sz w:val="20"/>
                <w:szCs w:val="20"/>
                <w:highlight w:val="none"/>
                <w:u w:val="single"/>
                <w:vertAlign w:val="subscript"/>
                <w:lang w:val="en-US" w:eastAsia="zh-CN"/>
              </w:rPr>
              <w:t>5</w:t>
            </w:r>
          </w:p>
        </w:tc>
        <w:tc>
          <w:tcPr>
            <w:tcW w:w="621" w:type="pct"/>
            <w:noWrap w:val="0"/>
            <w:vAlign w:val="center"/>
          </w:tcPr>
          <w:p w14:paraId="4438F70F">
            <w:pPr>
              <w:pStyle w:val="698"/>
              <w:rPr>
                <w:rFonts w:hint="default" w:ascii="Times New Roman" w:hAnsi="Times New Roman" w:cs="Times New Roman"/>
                <w:b/>
                <w:bCs/>
                <w:color w:val="auto"/>
                <w:highlight w:val="none"/>
                <w:u w:val="single"/>
              </w:rPr>
            </w:pPr>
            <w:r>
              <w:rPr>
                <w:rFonts w:ascii="TimesNewRomanPSMT" w:hAnsi="TimesNewRomanPSMT" w:eastAsia="TimesNewRomanPSMT" w:cs="TimesNewRomanPSMT"/>
                <w:b w:val="0"/>
                <w:bCs w:val="0"/>
                <w:color w:val="auto"/>
                <w:sz w:val="20"/>
                <w:szCs w:val="20"/>
                <w:highlight w:val="none"/>
                <w:u w:val="single"/>
              </w:rPr>
              <w:t>SS</w:t>
            </w:r>
          </w:p>
        </w:tc>
        <w:tc>
          <w:tcPr>
            <w:tcW w:w="610" w:type="pct"/>
            <w:noWrap w:val="0"/>
            <w:vAlign w:val="center"/>
          </w:tcPr>
          <w:p w14:paraId="04CD7FE8">
            <w:pPr>
              <w:pStyle w:val="698"/>
              <w:rPr>
                <w:rFonts w:hint="default" w:ascii="Times New Roman" w:hAnsi="Times New Roman" w:eastAsia="宋体" w:cs="Times New Roman"/>
                <w:b/>
                <w:bCs/>
                <w:color w:val="auto"/>
                <w:highlight w:val="none"/>
                <w:u w:val="single"/>
                <w:lang w:val="en-US" w:eastAsia="zh-CN"/>
              </w:rPr>
            </w:pPr>
            <w:r>
              <w:rPr>
                <w:rFonts w:hint="eastAsia" w:ascii="Times New Roman" w:cs="Times New Roman"/>
                <w:b/>
                <w:bCs/>
                <w:color w:val="auto"/>
                <w:highlight w:val="none"/>
                <w:u w:val="single"/>
                <w:lang w:val="en-US" w:eastAsia="zh-CN"/>
              </w:rPr>
              <w:t>氨氮</w:t>
            </w:r>
          </w:p>
        </w:tc>
        <w:tc>
          <w:tcPr>
            <w:tcW w:w="708" w:type="pct"/>
            <w:noWrap w:val="0"/>
            <w:vAlign w:val="center"/>
          </w:tcPr>
          <w:p w14:paraId="1217D33F">
            <w:pPr>
              <w:keepNext w:val="0"/>
              <w:keepLines w:val="0"/>
              <w:widowControl/>
              <w:suppressLineNumbers w:val="0"/>
              <w:jc w:val="center"/>
              <w:rPr>
                <w:rFonts w:hint="eastAsia" w:ascii="TimesNewRomanPSMT" w:hAnsi="TimesNewRomanPSMT" w:eastAsia="TimesNewRomanPSMT" w:cs="TimesNewRomanPSMT"/>
                <w:b w:val="0"/>
                <w:bCs w:val="0"/>
                <w:color w:val="auto"/>
                <w:sz w:val="20"/>
                <w:szCs w:val="20"/>
                <w:highlight w:val="none"/>
                <w:u w:val="single"/>
                <w:lang w:val="en-US" w:eastAsia="zh-CN" w:bidi="ar-SA"/>
              </w:rPr>
            </w:pPr>
            <w:r>
              <w:rPr>
                <w:rFonts w:ascii="TimesNewRomanPSMT" w:hAnsi="TimesNewRomanPSMT" w:eastAsia="TimesNewRomanPSMT" w:cs="TimesNewRomanPSMT"/>
                <w:b w:val="0"/>
                <w:bCs w:val="0"/>
                <w:color w:val="auto"/>
                <w:sz w:val="20"/>
                <w:szCs w:val="20"/>
                <w:highlight w:val="none"/>
                <w:u w:val="single"/>
                <w:lang w:val="en-US" w:eastAsia="zh-CN" w:bidi="ar-SA"/>
              </w:rPr>
              <w:t>溶解性总固体</w:t>
            </w:r>
          </w:p>
        </w:tc>
        <w:tc>
          <w:tcPr>
            <w:tcW w:w="438" w:type="pct"/>
            <w:noWrap w:val="0"/>
            <w:vAlign w:val="center"/>
          </w:tcPr>
          <w:p w14:paraId="05A5FF6A">
            <w:pPr>
              <w:pStyle w:val="698"/>
              <w:jc w:val="both"/>
              <w:rPr>
                <w:rFonts w:hint="default" w:ascii="TimesNewRomanPSMT" w:hAnsi="TimesNewRomanPSMT" w:eastAsia="TimesNewRomanPSMT" w:cs="TimesNewRomanPSMT"/>
                <w:b w:val="0"/>
                <w:bCs w:val="0"/>
                <w:color w:val="auto"/>
                <w:sz w:val="20"/>
                <w:szCs w:val="20"/>
                <w:highlight w:val="none"/>
                <w:u w:val="single"/>
                <w:lang w:val="en-US" w:eastAsia="zh-CN" w:bidi="ar-SA"/>
              </w:rPr>
            </w:pPr>
            <w:r>
              <w:rPr>
                <w:rFonts w:hint="eastAsia" w:ascii="TimesNewRomanPSMT" w:hAnsi="TimesNewRomanPSMT" w:eastAsia="TimesNewRomanPSMT" w:cs="TimesNewRomanPSMT"/>
                <w:b w:val="0"/>
                <w:bCs w:val="0"/>
                <w:color w:val="auto"/>
                <w:sz w:val="20"/>
                <w:szCs w:val="20"/>
                <w:highlight w:val="none"/>
                <w:u w:val="single"/>
                <w:lang w:val="en-US" w:eastAsia="zh-CN" w:bidi="ar-SA"/>
              </w:rPr>
              <w:t>石油类</w:t>
            </w:r>
          </w:p>
        </w:tc>
      </w:tr>
      <w:tr w14:paraId="1E724DE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27" w:hRule="atLeast"/>
          <w:jc w:val="center"/>
        </w:trPr>
        <w:tc>
          <w:tcPr>
            <w:tcW w:w="1177" w:type="pct"/>
            <w:noWrap w:val="0"/>
            <w:vAlign w:val="center"/>
          </w:tcPr>
          <w:p w14:paraId="6189449A">
            <w:pPr>
              <w:pStyle w:val="698"/>
              <w:rPr>
                <w:rFonts w:hint="eastAsia" w:ascii="Times New Roman" w:hAnsi="Times New Roman" w:eastAsia="宋体" w:cs="Times New Roman"/>
                <w:b w:val="0"/>
                <w:bCs w:val="0"/>
                <w:color w:val="auto"/>
                <w:highlight w:val="none"/>
                <w:u w:val="single"/>
                <w:lang w:val="en-US" w:eastAsia="zh-CN"/>
              </w:rPr>
            </w:pPr>
            <w:r>
              <w:rPr>
                <w:rFonts w:hint="eastAsia" w:ascii="Times New Roman" w:cs="Times New Roman"/>
                <w:b w:val="0"/>
                <w:bCs w:val="0"/>
                <w:color w:val="auto"/>
                <w:highlight w:val="none"/>
                <w:u w:val="single"/>
                <w:lang w:val="en-US" w:eastAsia="zh-CN"/>
              </w:rPr>
              <w:t>《污水综合排放标准》（GB8978-1996）表</w:t>
            </w:r>
            <w:r>
              <w:rPr>
                <w:rFonts w:hint="default" w:ascii="Times New Roman" w:cs="Times New Roman"/>
                <w:b w:val="0"/>
                <w:bCs w:val="0"/>
                <w:color w:val="auto"/>
                <w:highlight w:val="none"/>
                <w:u w:val="single"/>
                <w:lang w:val="en-US" w:eastAsia="zh-CN"/>
              </w:rPr>
              <w:t>4</w:t>
            </w:r>
            <w:r>
              <w:rPr>
                <w:rFonts w:hint="eastAsia" w:ascii="Times New Roman" w:cs="Times New Roman"/>
                <w:b w:val="0"/>
                <w:bCs w:val="0"/>
                <w:color w:val="auto"/>
                <w:highlight w:val="none"/>
                <w:u w:val="single"/>
                <w:lang w:val="en-US" w:eastAsia="zh-CN"/>
              </w:rPr>
              <w:t>中一级标准</w:t>
            </w:r>
          </w:p>
        </w:tc>
        <w:tc>
          <w:tcPr>
            <w:tcW w:w="446" w:type="pct"/>
            <w:noWrap w:val="0"/>
            <w:vAlign w:val="center"/>
          </w:tcPr>
          <w:p w14:paraId="17E4C313">
            <w:pPr>
              <w:pStyle w:val="698"/>
              <w:rPr>
                <w:rFonts w:ascii="TimesNewRomanPSMT" w:hAnsi="TimesNewRomanPSMT" w:eastAsia="TimesNewRomanPSMT" w:cs="TimesNewRomanPSMT"/>
                <w:b w:val="0"/>
                <w:bCs w:val="0"/>
                <w:color w:val="auto"/>
                <w:sz w:val="20"/>
                <w:szCs w:val="20"/>
                <w:highlight w:val="none"/>
                <w:u w:val="single"/>
              </w:rPr>
            </w:pPr>
            <w:r>
              <w:rPr>
                <w:rFonts w:ascii="TimesNewRomanPSMT" w:hAnsi="TimesNewRomanPSMT" w:eastAsia="TimesNewRomanPSMT" w:cs="TimesNewRomanPSMT"/>
                <w:b w:val="0"/>
                <w:bCs w:val="0"/>
                <w:color w:val="auto"/>
                <w:sz w:val="20"/>
                <w:szCs w:val="20"/>
                <w:highlight w:val="none"/>
                <w:u w:val="single"/>
              </w:rPr>
              <w:t>6</w:t>
            </w:r>
            <w:r>
              <w:rPr>
                <w:rFonts w:ascii="宋体" w:hAnsi="宋体" w:eastAsia="宋体" w:cs="宋体"/>
                <w:b w:val="0"/>
                <w:bCs w:val="0"/>
                <w:color w:val="auto"/>
                <w:sz w:val="20"/>
                <w:szCs w:val="20"/>
                <w:highlight w:val="none"/>
                <w:u w:val="single"/>
              </w:rPr>
              <w:t>～</w:t>
            </w:r>
            <w:r>
              <w:rPr>
                <w:rFonts w:hint="default" w:ascii="TimesNewRomanPSMT" w:hAnsi="TimesNewRomanPSMT" w:eastAsia="TimesNewRomanPSMT" w:cs="TimesNewRomanPSMT"/>
                <w:b w:val="0"/>
                <w:bCs w:val="0"/>
                <w:color w:val="auto"/>
                <w:sz w:val="20"/>
                <w:szCs w:val="20"/>
                <w:highlight w:val="none"/>
                <w:u w:val="single"/>
              </w:rPr>
              <w:t>9</w:t>
            </w:r>
          </w:p>
        </w:tc>
        <w:tc>
          <w:tcPr>
            <w:tcW w:w="408" w:type="pct"/>
            <w:noWrap w:val="0"/>
            <w:vAlign w:val="center"/>
          </w:tcPr>
          <w:p w14:paraId="6CD25725">
            <w:pPr>
              <w:pStyle w:val="698"/>
              <w:rPr>
                <w:rFonts w:ascii="TimesNewRomanPSMT" w:hAnsi="TimesNewRomanPSMT" w:eastAsia="TimesNewRomanPSMT" w:cs="TimesNewRomanPSMT"/>
                <w:b w:val="0"/>
                <w:bCs w:val="0"/>
                <w:color w:val="auto"/>
                <w:sz w:val="20"/>
                <w:szCs w:val="20"/>
                <w:highlight w:val="none"/>
                <w:u w:val="single"/>
              </w:rPr>
            </w:pPr>
            <w:r>
              <w:rPr>
                <w:rFonts w:ascii="TimesNewRomanPSMT" w:hAnsi="TimesNewRomanPSMT" w:eastAsia="TimesNewRomanPSMT" w:cs="TimesNewRomanPSMT"/>
                <w:b w:val="0"/>
                <w:bCs w:val="0"/>
                <w:color w:val="auto"/>
                <w:sz w:val="20"/>
                <w:szCs w:val="20"/>
                <w:highlight w:val="none"/>
                <w:u w:val="single"/>
              </w:rPr>
              <w:t>100</w:t>
            </w:r>
          </w:p>
        </w:tc>
        <w:tc>
          <w:tcPr>
            <w:tcW w:w="589" w:type="pct"/>
            <w:noWrap w:val="0"/>
            <w:vAlign w:val="center"/>
          </w:tcPr>
          <w:p w14:paraId="2F8D425A">
            <w:pPr>
              <w:pStyle w:val="698"/>
              <w:rPr>
                <w:rFonts w:hint="default" w:ascii="TimesNewRomanPSMT" w:hAnsi="TimesNewRomanPSMT" w:eastAsia="宋体" w:cs="TimesNewRomanPSMT"/>
                <w:b w:val="0"/>
                <w:bCs w:val="0"/>
                <w:color w:val="auto"/>
                <w:sz w:val="20"/>
                <w:szCs w:val="20"/>
                <w:highlight w:val="none"/>
                <w:u w:val="single"/>
                <w:lang w:val="en-US" w:eastAsia="zh-CN"/>
              </w:rPr>
            </w:pPr>
            <w:r>
              <w:rPr>
                <w:rFonts w:hint="eastAsia" w:ascii="TimesNewRomanPSMT" w:hAnsi="TimesNewRomanPSMT" w:eastAsia="宋体" w:cs="TimesNewRomanPSMT"/>
                <w:b w:val="0"/>
                <w:bCs w:val="0"/>
                <w:color w:val="auto"/>
                <w:sz w:val="20"/>
                <w:szCs w:val="20"/>
                <w:highlight w:val="none"/>
                <w:u w:val="single"/>
                <w:lang w:val="en-US" w:eastAsia="zh-CN"/>
              </w:rPr>
              <w:t>20</w:t>
            </w:r>
          </w:p>
        </w:tc>
        <w:tc>
          <w:tcPr>
            <w:tcW w:w="621" w:type="pct"/>
            <w:noWrap w:val="0"/>
            <w:vAlign w:val="center"/>
          </w:tcPr>
          <w:p w14:paraId="377FDCCC">
            <w:pPr>
              <w:pStyle w:val="698"/>
              <w:rPr>
                <w:rFonts w:hint="default" w:ascii="TimesNewRomanPSMT" w:hAnsi="TimesNewRomanPSMT" w:eastAsia="宋体" w:cs="TimesNewRomanPSMT"/>
                <w:b w:val="0"/>
                <w:bCs w:val="0"/>
                <w:color w:val="auto"/>
                <w:sz w:val="20"/>
                <w:szCs w:val="20"/>
                <w:highlight w:val="none"/>
                <w:u w:val="single"/>
                <w:lang w:val="en-US" w:eastAsia="zh-CN"/>
              </w:rPr>
            </w:pPr>
            <w:r>
              <w:rPr>
                <w:rFonts w:hint="eastAsia" w:ascii="TimesNewRomanPSMT" w:hAnsi="TimesNewRomanPSMT" w:eastAsia="宋体" w:cs="TimesNewRomanPSMT"/>
                <w:b w:val="0"/>
                <w:bCs w:val="0"/>
                <w:color w:val="auto"/>
                <w:sz w:val="20"/>
                <w:szCs w:val="20"/>
                <w:highlight w:val="none"/>
                <w:u w:val="single"/>
                <w:lang w:val="en-US" w:eastAsia="zh-CN"/>
              </w:rPr>
              <w:t>70</w:t>
            </w:r>
          </w:p>
        </w:tc>
        <w:tc>
          <w:tcPr>
            <w:tcW w:w="610" w:type="pct"/>
            <w:noWrap w:val="0"/>
            <w:vAlign w:val="center"/>
          </w:tcPr>
          <w:p w14:paraId="7CF7C723">
            <w:pPr>
              <w:pStyle w:val="698"/>
              <w:rPr>
                <w:rFonts w:hint="default" w:ascii="TimesNewRomanPSMT" w:hAnsi="TimesNewRomanPSMT" w:eastAsia="宋体" w:cs="TimesNewRomanPSMT"/>
                <w:b w:val="0"/>
                <w:bCs w:val="0"/>
                <w:color w:val="auto"/>
                <w:sz w:val="20"/>
                <w:szCs w:val="20"/>
                <w:highlight w:val="none"/>
                <w:u w:val="single"/>
                <w:lang w:val="en-US" w:eastAsia="zh-CN"/>
              </w:rPr>
            </w:pPr>
            <w:r>
              <w:rPr>
                <w:rFonts w:hint="eastAsia" w:ascii="TimesNewRomanPSMT" w:hAnsi="TimesNewRomanPSMT" w:eastAsia="宋体" w:cs="TimesNewRomanPSMT"/>
                <w:b w:val="0"/>
                <w:bCs w:val="0"/>
                <w:color w:val="auto"/>
                <w:sz w:val="20"/>
                <w:szCs w:val="20"/>
                <w:highlight w:val="none"/>
                <w:u w:val="single"/>
                <w:lang w:val="en-US" w:eastAsia="zh-CN"/>
              </w:rPr>
              <w:t>15</w:t>
            </w:r>
          </w:p>
        </w:tc>
        <w:tc>
          <w:tcPr>
            <w:tcW w:w="708" w:type="pct"/>
            <w:noWrap w:val="0"/>
            <w:vAlign w:val="center"/>
          </w:tcPr>
          <w:p w14:paraId="68ECE41A">
            <w:pPr>
              <w:pStyle w:val="698"/>
              <w:rPr>
                <w:rFonts w:hint="eastAsia" w:ascii="TimesNewRomanPSMT" w:hAnsi="TimesNewRomanPSMT" w:eastAsia="宋体" w:cs="TimesNewRomanPSMT"/>
                <w:b w:val="0"/>
                <w:bCs w:val="0"/>
                <w:color w:val="auto"/>
                <w:sz w:val="20"/>
                <w:szCs w:val="20"/>
                <w:highlight w:val="none"/>
                <w:u w:val="single"/>
                <w:lang w:val="en-US" w:eastAsia="zh-CN"/>
              </w:rPr>
            </w:pPr>
            <w:r>
              <w:rPr>
                <w:rFonts w:hint="eastAsia" w:ascii="TimesNewRomanPSMT" w:hAnsi="TimesNewRomanPSMT" w:eastAsia="宋体" w:cs="TimesNewRomanPSMT"/>
                <w:b w:val="0"/>
                <w:bCs w:val="0"/>
                <w:color w:val="auto"/>
                <w:sz w:val="20"/>
                <w:szCs w:val="20"/>
                <w:highlight w:val="none"/>
                <w:u w:val="single"/>
                <w:lang w:val="en-US" w:eastAsia="zh-CN"/>
              </w:rPr>
              <w:t>/</w:t>
            </w:r>
          </w:p>
        </w:tc>
        <w:tc>
          <w:tcPr>
            <w:tcW w:w="438" w:type="pct"/>
            <w:noWrap w:val="0"/>
            <w:vAlign w:val="center"/>
          </w:tcPr>
          <w:p w14:paraId="46FAC19D">
            <w:pPr>
              <w:pStyle w:val="698"/>
              <w:rPr>
                <w:rFonts w:hint="eastAsia" w:ascii="TimesNewRomanPSMT" w:hAnsi="TimesNewRomanPSMT" w:eastAsia="宋体" w:cs="TimesNewRomanPSMT"/>
                <w:b w:val="0"/>
                <w:bCs w:val="0"/>
                <w:color w:val="auto"/>
                <w:sz w:val="20"/>
                <w:szCs w:val="20"/>
                <w:highlight w:val="none"/>
                <w:u w:val="single"/>
                <w:lang w:val="en-US" w:eastAsia="zh-CN"/>
              </w:rPr>
            </w:pPr>
            <w:r>
              <w:rPr>
                <w:rFonts w:hint="eastAsia" w:ascii="TimesNewRomanPSMT" w:hAnsi="TimesNewRomanPSMT" w:eastAsia="宋体" w:cs="TimesNewRomanPSMT"/>
                <w:b w:val="0"/>
                <w:bCs w:val="0"/>
                <w:color w:val="auto"/>
                <w:sz w:val="20"/>
                <w:szCs w:val="20"/>
                <w:highlight w:val="none"/>
                <w:u w:val="single"/>
                <w:lang w:val="en-US" w:eastAsia="zh-CN"/>
              </w:rPr>
              <w:t>5</w:t>
            </w:r>
          </w:p>
        </w:tc>
      </w:tr>
    </w:tbl>
    <w:p w14:paraId="7BF143B7">
      <w:pPr>
        <w:pStyle w:val="410"/>
        <w:numPr>
          <w:ilvl w:val="0"/>
          <w:numId w:val="18"/>
        </w:numPr>
        <w:rPr>
          <w:rFonts w:hint="default" w:ascii="Times New Roman" w:hAnsi="Times New Roman" w:cs="Times New Roman"/>
          <w:b/>
          <w:bCs/>
          <w:color w:val="auto"/>
          <w:highlight w:val="none"/>
        </w:rPr>
      </w:pPr>
      <w:r>
        <w:rPr>
          <w:rFonts w:hint="eastAsia" w:ascii="Times New Roman" w:hAnsi="Times New Roman" w:cs="Times New Roman"/>
          <w:b/>
          <w:bCs/>
          <w:color w:val="auto"/>
          <w:highlight w:val="none"/>
          <w:lang w:eastAsia="zh-CN"/>
        </w:rPr>
        <w:t>运营期</w:t>
      </w:r>
    </w:p>
    <w:p w14:paraId="5B7EA5E2">
      <w:pPr>
        <w:pStyle w:val="410"/>
        <w:rPr>
          <w:rFonts w:hint="default" w:ascii="Times New Roman" w:hAnsi="Times New Roman" w:eastAsia="宋体" w:cs="Times New Roman"/>
          <w:color w:val="auto"/>
          <w:highlight w:val="none"/>
          <w:u w:val="none"/>
          <w:lang w:eastAsia="zh-CN"/>
        </w:rPr>
      </w:pPr>
      <w:r>
        <w:rPr>
          <w:rFonts w:hint="eastAsia" w:ascii="Times New Roman" w:hAnsi="Times New Roman" w:eastAsia="宋体" w:cs="Times New Roman"/>
          <w:color w:val="auto"/>
          <w:highlight w:val="none"/>
          <w:u w:val="none"/>
          <w:lang w:eastAsia="zh-CN"/>
        </w:rPr>
        <w:t>运营期</w:t>
      </w:r>
      <w:r>
        <w:rPr>
          <w:rFonts w:hint="default" w:ascii="Times New Roman" w:hAnsi="Times New Roman" w:eastAsia="宋体" w:cs="Times New Roman"/>
          <w:color w:val="auto"/>
          <w:highlight w:val="none"/>
          <w:u w:val="none"/>
          <w:lang w:eastAsia="zh-CN"/>
        </w:rPr>
        <w:t>无废水产生。</w:t>
      </w:r>
    </w:p>
    <w:p w14:paraId="08D7F37B">
      <w:pPr>
        <w:pStyle w:val="6"/>
        <w:bidi w:val="0"/>
        <w:ind w:left="0" w:leftChars="0" w:firstLine="0" w:firstLineChars="0"/>
        <w:rPr>
          <w:rFonts w:hint="default"/>
          <w:color w:val="auto"/>
          <w:highlight w:val="none"/>
        </w:rPr>
      </w:pPr>
      <w:r>
        <w:rPr>
          <w:rFonts w:hint="default"/>
          <w:color w:val="auto"/>
          <w:highlight w:val="none"/>
        </w:rPr>
        <w:t>噪声排放标准</w:t>
      </w:r>
    </w:p>
    <w:p w14:paraId="54B517B9">
      <w:pPr>
        <w:pStyle w:val="41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（1）施工期</w:t>
      </w:r>
    </w:p>
    <w:p w14:paraId="1CFEC638">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施工期噪声执行《建筑施工场界环境噪声排放标准》（GB12523-2011）中的建筑施工场界环境噪声排放限值，见</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_Ref95313706 \r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表1.3-7</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w:t>
      </w:r>
    </w:p>
    <w:p w14:paraId="34162277">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bookmarkStart w:id="18" w:name="_Ref95313706"/>
      <w:r>
        <w:rPr>
          <w:rFonts w:hint="default"/>
          <w:color w:val="auto"/>
          <w:highlight w:val="none"/>
        </w:rPr>
        <w:t>施工期噪声排放标准       单位：dB（A）</w:t>
      </w:r>
      <w:bookmarkEnd w:id="18"/>
    </w:p>
    <w:tbl>
      <w:tblPr>
        <w:tblStyle w:val="8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99"/>
        <w:gridCol w:w="1169"/>
        <w:gridCol w:w="6360"/>
      </w:tblGrid>
      <w:tr w14:paraId="7555F4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4" w:hRule="atLeast"/>
          <w:jc w:val="center"/>
        </w:trPr>
        <w:tc>
          <w:tcPr>
            <w:tcW w:w="1299" w:type="dxa"/>
            <w:noWrap w:val="0"/>
            <w:vAlign w:val="center"/>
          </w:tcPr>
          <w:p w14:paraId="60C3A450">
            <w:pPr>
              <w:spacing w:line="300" w:lineRule="exact"/>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昼间</w:t>
            </w:r>
          </w:p>
        </w:tc>
        <w:tc>
          <w:tcPr>
            <w:tcW w:w="1169" w:type="dxa"/>
            <w:noWrap w:val="0"/>
            <w:vAlign w:val="center"/>
          </w:tcPr>
          <w:p w14:paraId="55488C1B">
            <w:pPr>
              <w:spacing w:line="300" w:lineRule="exact"/>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夜间</w:t>
            </w:r>
          </w:p>
        </w:tc>
        <w:tc>
          <w:tcPr>
            <w:tcW w:w="6360" w:type="dxa"/>
            <w:noWrap w:val="0"/>
            <w:vAlign w:val="top"/>
          </w:tcPr>
          <w:p w14:paraId="02FA9F2A">
            <w:pPr>
              <w:spacing w:line="300" w:lineRule="exact"/>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标准来源</w:t>
            </w:r>
          </w:p>
        </w:tc>
      </w:tr>
      <w:tr w14:paraId="6E0DAA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1299" w:type="dxa"/>
            <w:noWrap w:val="0"/>
            <w:vAlign w:val="center"/>
          </w:tcPr>
          <w:p w14:paraId="33437DD0">
            <w:pPr>
              <w:spacing w:line="300" w:lineRule="exact"/>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70</w:t>
            </w:r>
          </w:p>
        </w:tc>
        <w:tc>
          <w:tcPr>
            <w:tcW w:w="1169" w:type="dxa"/>
            <w:noWrap w:val="0"/>
            <w:vAlign w:val="center"/>
          </w:tcPr>
          <w:p w14:paraId="0AAF0F71">
            <w:pPr>
              <w:spacing w:line="300" w:lineRule="exact"/>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55</w:t>
            </w:r>
          </w:p>
        </w:tc>
        <w:tc>
          <w:tcPr>
            <w:tcW w:w="6360" w:type="dxa"/>
            <w:noWrap w:val="0"/>
            <w:vAlign w:val="top"/>
          </w:tcPr>
          <w:p w14:paraId="2A0F2CAD">
            <w:pPr>
              <w:spacing w:line="300" w:lineRule="exact"/>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《建筑施工场界环境噪声排放标准》（GB12523-2011）</w:t>
            </w:r>
          </w:p>
        </w:tc>
      </w:tr>
    </w:tbl>
    <w:p w14:paraId="76DFCF87">
      <w:pPr>
        <w:pStyle w:val="41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w:t>
      </w:r>
      <w:r>
        <w:rPr>
          <w:rFonts w:hint="eastAsia" w:ascii="Times New Roman" w:hAnsi="Times New Roman" w:cs="Times New Roman"/>
          <w:b/>
          <w:bCs/>
          <w:color w:val="auto"/>
          <w:highlight w:val="none"/>
          <w:lang w:eastAsia="zh-CN"/>
        </w:rPr>
        <w:t>运营期</w:t>
      </w:r>
    </w:p>
    <w:p w14:paraId="6F9DCEA6">
      <w:pPr>
        <w:pStyle w:val="410"/>
        <w:rPr>
          <w:rFonts w:hint="eastAsia" w:eastAsia="宋体"/>
          <w:color w:val="auto"/>
          <w:highlight w:val="none"/>
          <w:lang w:eastAsia="zh-CN"/>
        </w:rPr>
      </w:pPr>
      <w:r>
        <w:rPr>
          <w:rFonts w:hint="eastAsia"/>
          <w:color w:val="auto"/>
          <w:highlight w:val="none"/>
          <w:lang w:eastAsia="zh-CN"/>
        </w:rPr>
        <w:t>运营期无噪声产生。</w:t>
      </w:r>
    </w:p>
    <w:p w14:paraId="426F92D8">
      <w:pPr>
        <w:pStyle w:val="6"/>
        <w:bidi w:val="0"/>
        <w:ind w:left="0" w:leftChars="0" w:firstLine="0" w:firstLineChars="0"/>
        <w:rPr>
          <w:rFonts w:hint="default"/>
          <w:color w:val="auto"/>
          <w:highlight w:val="none"/>
        </w:rPr>
      </w:pPr>
      <w:r>
        <w:rPr>
          <w:rFonts w:hint="default"/>
          <w:color w:val="auto"/>
          <w:highlight w:val="none"/>
        </w:rPr>
        <w:t>固体废物排放及控制标准</w:t>
      </w:r>
    </w:p>
    <w:p w14:paraId="26C4CC1D">
      <w:pPr>
        <w:pStyle w:val="41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一般固体废物参照执行《一般工业固体废物贮存和填埋污染控制标准》（GB18599-2020）要求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危险废物执行</w:t>
      </w:r>
      <w:r>
        <w:rPr>
          <w:rFonts w:hint="default" w:ascii="Times New Roman" w:hAnsi="Times New Roman" w:cs="Times New Roman"/>
          <w:color w:val="auto"/>
          <w:highlight w:val="none"/>
          <w:u w:val="single"/>
          <w:lang w:val="en-US" w:eastAsia="zh-CN"/>
        </w:rPr>
        <w:t>《危险废物贮存污染控制</w:t>
      </w:r>
      <w:r>
        <w:rPr>
          <w:rFonts w:hint="eastAsia" w:ascii="Times New Roman" w:cs="Times New Roman"/>
          <w:color w:val="auto"/>
          <w:highlight w:val="none"/>
          <w:u w:val="single"/>
          <w:lang w:val="en-US" w:eastAsia="zh-CN"/>
        </w:rPr>
        <w:t>标准</w:t>
      </w:r>
      <w:r>
        <w:rPr>
          <w:rFonts w:hint="default" w:ascii="Times New Roman" w:hAnsi="Times New Roman" w:cs="Times New Roman"/>
          <w:color w:val="auto"/>
          <w:highlight w:val="none"/>
          <w:u w:val="single"/>
          <w:lang w:val="en-US" w:eastAsia="zh-CN"/>
        </w:rPr>
        <w:t>》（GB18597-2023）</w:t>
      </w:r>
      <w:r>
        <w:rPr>
          <w:rFonts w:hint="default" w:ascii="Times New Roman" w:hAnsi="Times New Roman" w:cs="Times New Roman"/>
          <w:color w:val="auto"/>
          <w:highlight w:val="none"/>
          <w:lang w:val="en-US" w:eastAsia="zh-CN"/>
        </w:rPr>
        <w:t>。</w:t>
      </w:r>
    </w:p>
    <w:p w14:paraId="01AC0FC0">
      <w:pPr>
        <w:pStyle w:val="4"/>
        <w:bidi w:val="0"/>
        <w:ind w:left="678" w:leftChars="0" w:firstLine="0" w:firstLineChars="0"/>
        <w:rPr>
          <w:rFonts w:hint="default"/>
          <w:color w:val="auto"/>
          <w:highlight w:val="none"/>
        </w:rPr>
      </w:pPr>
      <w:bookmarkStart w:id="19" w:name="_Toc20809"/>
      <w:r>
        <w:rPr>
          <w:rFonts w:hint="eastAsia"/>
          <w:color w:val="auto"/>
          <w:highlight w:val="none"/>
          <w:lang w:eastAsia="zh-CN"/>
        </w:rPr>
        <w:t>评价因子识别与筛选</w:t>
      </w:r>
      <w:bookmarkEnd w:id="19"/>
    </w:p>
    <w:p w14:paraId="099FA0BC">
      <w:pPr>
        <w:pStyle w:val="41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环境影响因素识别见</w:t>
      </w:r>
      <w:r>
        <w:rPr>
          <w:rFonts w:hint="eastAsia" w:ascii="Times New Roman" w:cs="Times New Roman"/>
          <w:color w:val="auto"/>
          <w:highlight w:val="none"/>
          <w:lang w:val="en-US" w:eastAsia="zh-CN"/>
        </w:rPr>
        <w:t>下表。</w:t>
      </w:r>
    </w:p>
    <w:p w14:paraId="765C3F13">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评价因子一览表</w:t>
      </w:r>
    </w:p>
    <w:tbl>
      <w:tblPr>
        <w:tblStyle w:val="87"/>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16"/>
        <w:gridCol w:w="2005"/>
        <w:gridCol w:w="2201"/>
        <w:gridCol w:w="3701"/>
      </w:tblGrid>
      <w:tr w14:paraId="50E7BC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4" w:hRule="atLeast"/>
          <w:jc w:val="center"/>
        </w:trPr>
        <w:tc>
          <w:tcPr>
            <w:tcW w:w="1655" w:type="pct"/>
            <w:gridSpan w:val="2"/>
            <w:noWrap w:val="0"/>
            <w:vAlign w:val="center"/>
          </w:tcPr>
          <w:p w14:paraId="4D75907D">
            <w:pPr>
              <w:spacing w:line="300" w:lineRule="exact"/>
              <w:jc w:val="center"/>
              <w:rPr>
                <w:rFonts w:hint="default" w:ascii="Times New Roman" w:hAnsi="Times New Roman" w:cs="Times New Roman"/>
                <w:color w:val="auto"/>
                <w:sz w:val="21"/>
                <w:szCs w:val="21"/>
                <w:highlight w:val="none"/>
                <w:lang w:val="zh-CN"/>
              </w:rPr>
            </w:pPr>
            <w:r>
              <w:rPr>
                <w:rFonts w:hint="eastAsia" w:ascii="Times New Roman" w:hAnsi="Times New Roman" w:cs="Times New Roman"/>
                <w:color w:val="auto"/>
                <w:sz w:val="21"/>
                <w:szCs w:val="21"/>
                <w:highlight w:val="none"/>
                <w:lang w:val="zh-CN"/>
              </w:rPr>
              <w:t>工程环节</w:t>
            </w:r>
          </w:p>
        </w:tc>
        <w:tc>
          <w:tcPr>
            <w:tcW w:w="1247" w:type="pct"/>
            <w:noWrap w:val="0"/>
            <w:vAlign w:val="top"/>
          </w:tcPr>
          <w:p w14:paraId="5D163369">
            <w:pPr>
              <w:spacing w:line="300" w:lineRule="exact"/>
              <w:jc w:val="center"/>
              <w:rPr>
                <w:rFonts w:hint="default" w:ascii="Times New Roman" w:hAnsi="Times New Roman" w:cs="Times New Roman"/>
                <w:color w:val="auto"/>
                <w:sz w:val="21"/>
                <w:szCs w:val="21"/>
                <w:highlight w:val="none"/>
                <w:lang w:val="zh-CN"/>
              </w:rPr>
            </w:pPr>
            <w:r>
              <w:rPr>
                <w:rFonts w:hint="eastAsia" w:ascii="Times New Roman" w:hAnsi="Times New Roman" w:cs="Times New Roman"/>
                <w:color w:val="auto"/>
                <w:sz w:val="21"/>
                <w:szCs w:val="21"/>
                <w:highlight w:val="none"/>
                <w:lang w:val="zh-CN"/>
              </w:rPr>
              <w:t>产生的环境影响</w:t>
            </w:r>
          </w:p>
        </w:tc>
        <w:tc>
          <w:tcPr>
            <w:tcW w:w="2097" w:type="pct"/>
            <w:noWrap w:val="0"/>
            <w:vAlign w:val="top"/>
          </w:tcPr>
          <w:p w14:paraId="110A1FA2">
            <w:pPr>
              <w:spacing w:line="300" w:lineRule="exact"/>
              <w:jc w:val="center"/>
              <w:rPr>
                <w:rFonts w:hint="eastAsia" w:ascii="Times New Roman" w:hAnsi="Times New Roman" w:cs="Times New Roman"/>
                <w:color w:val="auto"/>
                <w:sz w:val="21"/>
                <w:szCs w:val="21"/>
                <w:highlight w:val="none"/>
                <w:lang w:val="zh-CN"/>
              </w:rPr>
            </w:pPr>
            <w:r>
              <w:rPr>
                <w:rFonts w:hint="eastAsia" w:ascii="Times New Roman" w:hAnsi="Times New Roman" w:cs="Times New Roman"/>
                <w:color w:val="auto"/>
                <w:sz w:val="21"/>
                <w:szCs w:val="21"/>
                <w:highlight w:val="none"/>
                <w:lang w:val="zh-CN"/>
              </w:rPr>
              <w:t>环境因子</w:t>
            </w:r>
          </w:p>
        </w:tc>
      </w:tr>
      <w:tr w14:paraId="33DDAE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519" w:type="pct"/>
            <w:vMerge w:val="restart"/>
            <w:noWrap w:val="0"/>
            <w:vAlign w:val="center"/>
          </w:tcPr>
          <w:p w14:paraId="096020C6">
            <w:pPr>
              <w:spacing w:line="300" w:lineRule="exact"/>
              <w:jc w:val="center"/>
              <w:rPr>
                <w:rFonts w:hint="default" w:ascii="Times New Roman" w:hAnsi="Times New Roman" w:cs="Times New Roman"/>
                <w:color w:val="auto"/>
                <w:sz w:val="21"/>
                <w:szCs w:val="21"/>
                <w:highlight w:val="none"/>
                <w:lang w:val="zh-CN"/>
              </w:rPr>
            </w:pPr>
            <w:r>
              <w:rPr>
                <w:rFonts w:hint="eastAsia" w:ascii="Times New Roman" w:hAnsi="Times New Roman" w:cs="Times New Roman"/>
                <w:color w:val="auto"/>
                <w:sz w:val="21"/>
                <w:szCs w:val="21"/>
                <w:highlight w:val="none"/>
                <w:lang w:val="zh-CN"/>
              </w:rPr>
              <w:t>施工期</w:t>
            </w:r>
          </w:p>
        </w:tc>
        <w:tc>
          <w:tcPr>
            <w:tcW w:w="1136" w:type="pct"/>
            <w:vMerge w:val="restart"/>
            <w:noWrap w:val="0"/>
            <w:vAlign w:val="center"/>
          </w:tcPr>
          <w:p w14:paraId="4BD499CB">
            <w:pPr>
              <w:spacing w:line="300" w:lineRule="exact"/>
              <w:jc w:val="center"/>
              <w:rPr>
                <w:rFonts w:hint="default" w:ascii="Times New Roman" w:hAnsi="Times New Roman" w:cs="Times New Roman"/>
                <w:color w:val="auto"/>
                <w:sz w:val="21"/>
                <w:szCs w:val="21"/>
                <w:highlight w:val="none"/>
                <w:lang w:val="zh-CN"/>
              </w:rPr>
            </w:pPr>
            <w:r>
              <w:rPr>
                <w:rFonts w:hint="eastAsia" w:ascii="Times New Roman" w:hAnsi="Times New Roman" w:cs="Times New Roman"/>
                <w:color w:val="auto"/>
                <w:sz w:val="21"/>
                <w:szCs w:val="21"/>
                <w:highlight w:val="none"/>
                <w:lang w:val="zh-CN"/>
              </w:rPr>
              <w:t>土石方工程</w:t>
            </w:r>
          </w:p>
        </w:tc>
        <w:tc>
          <w:tcPr>
            <w:tcW w:w="1247" w:type="pct"/>
            <w:noWrap w:val="0"/>
            <w:vAlign w:val="top"/>
          </w:tcPr>
          <w:p w14:paraId="6CF63FCE">
            <w:pPr>
              <w:spacing w:line="30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水土流失、水污染</w:t>
            </w:r>
          </w:p>
        </w:tc>
        <w:tc>
          <w:tcPr>
            <w:tcW w:w="2097" w:type="pct"/>
            <w:vMerge w:val="restart"/>
            <w:noWrap w:val="0"/>
            <w:vAlign w:val="center"/>
          </w:tcPr>
          <w:p w14:paraId="7E26A66D">
            <w:pPr>
              <w:spacing w:line="30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生态系统、地表水环境</w:t>
            </w:r>
          </w:p>
        </w:tc>
      </w:tr>
      <w:tr w14:paraId="173DDA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519" w:type="pct"/>
            <w:vMerge w:val="continue"/>
            <w:noWrap w:val="0"/>
            <w:vAlign w:val="center"/>
          </w:tcPr>
          <w:p w14:paraId="2273B130">
            <w:pPr>
              <w:spacing w:line="300" w:lineRule="exact"/>
              <w:jc w:val="center"/>
              <w:rPr>
                <w:rFonts w:hint="default" w:ascii="Times New Roman" w:hAnsi="Times New Roman" w:cs="Times New Roman"/>
                <w:color w:val="auto"/>
                <w:sz w:val="21"/>
                <w:szCs w:val="21"/>
                <w:highlight w:val="none"/>
                <w:lang w:val="zh-CN"/>
              </w:rPr>
            </w:pPr>
          </w:p>
        </w:tc>
        <w:tc>
          <w:tcPr>
            <w:tcW w:w="1136" w:type="pct"/>
            <w:vMerge w:val="continue"/>
            <w:noWrap w:val="0"/>
            <w:vAlign w:val="center"/>
          </w:tcPr>
          <w:p w14:paraId="40F7A9CE">
            <w:pPr>
              <w:spacing w:line="300" w:lineRule="exact"/>
              <w:jc w:val="center"/>
              <w:rPr>
                <w:rFonts w:hint="default" w:ascii="Times New Roman" w:hAnsi="Times New Roman" w:cs="Times New Roman"/>
                <w:color w:val="auto"/>
                <w:sz w:val="21"/>
                <w:szCs w:val="21"/>
                <w:highlight w:val="none"/>
                <w:lang w:val="zh-CN"/>
              </w:rPr>
            </w:pPr>
          </w:p>
        </w:tc>
        <w:tc>
          <w:tcPr>
            <w:tcW w:w="1247" w:type="pct"/>
            <w:noWrap w:val="0"/>
            <w:vAlign w:val="top"/>
          </w:tcPr>
          <w:p w14:paraId="3EF95AA7">
            <w:pPr>
              <w:spacing w:line="30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植被破坏</w:t>
            </w:r>
          </w:p>
        </w:tc>
        <w:tc>
          <w:tcPr>
            <w:tcW w:w="2097" w:type="pct"/>
            <w:vMerge w:val="continue"/>
            <w:noWrap w:val="0"/>
            <w:vAlign w:val="center"/>
          </w:tcPr>
          <w:p w14:paraId="5BF7624E">
            <w:pPr>
              <w:spacing w:line="300" w:lineRule="exact"/>
              <w:jc w:val="center"/>
              <w:rPr>
                <w:rFonts w:hint="default" w:ascii="Times New Roman" w:hAnsi="Times New Roman" w:eastAsia="宋体" w:cs="Times New Roman"/>
                <w:color w:val="auto"/>
                <w:sz w:val="21"/>
                <w:szCs w:val="21"/>
                <w:highlight w:val="none"/>
                <w:lang w:val="en-US" w:eastAsia="zh-CN"/>
              </w:rPr>
            </w:pPr>
          </w:p>
        </w:tc>
      </w:tr>
      <w:tr w14:paraId="5D3FBC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519" w:type="pct"/>
            <w:vMerge w:val="continue"/>
            <w:noWrap w:val="0"/>
            <w:vAlign w:val="center"/>
          </w:tcPr>
          <w:p w14:paraId="4F39567D">
            <w:pPr>
              <w:spacing w:line="300" w:lineRule="exact"/>
              <w:jc w:val="center"/>
              <w:rPr>
                <w:rFonts w:hint="default" w:ascii="Times New Roman" w:hAnsi="Times New Roman" w:cs="Times New Roman"/>
                <w:color w:val="auto"/>
                <w:sz w:val="21"/>
                <w:szCs w:val="21"/>
                <w:highlight w:val="none"/>
                <w:lang w:val="zh-CN"/>
              </w:rPr>
            </w:pPr>
          </w:p>
        </w:tc>
        <w:tc>
          <w:tcPr>
            <w:tcW w:w="1136" w:type="pct"/>
            <w:vMerge w:val="continue"/>
            <w:noWrap w:val="0"/>
            <w:vAlign w:val="center"/>
          </w:tcPr>
          <w:p w14:paraId="686F5F9A">
            <w:pPr>
              <w:spacing w:line="300" w:lineRule="exact"/>
              <w:jc w:val="center"/>
              <w:rPr>
                <w:rFonts w:hint="default" w:ascii="Times New Roman" w:hAnsi="Times New Roman" w:cs="Times New Roman"/>
                <w:color w:val="auto"/>
                <w:sz w:val="21"/>
                <w:szCs w:val="21"/>
                <w:highlight w:val="none"/>
                <w:lang w:val="zh-CN"/>
              </w:rPr>
            </w:pPr>
          </w:p>
        </w:tc>
        <w:tc>
          <w:tcPr>
            <w:tcW w:w="1247" w:type="pct"/>
            <w:noWrap w:val="0"/>
            <w:vAlign w:val="top"/>
          </w:tcPr>
          <w:p w14:paraId="065F1E6C">
            <w:pPr>
              <w:spacing w:line="300" w:lineRule="exact"/>
              <w:jc w:val="center"/>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施工扬尘、噪声</w:t>
            </w:r>
          </w:p>
        </w:tc>
        <w:tc>
          <w:tcPr>
            <w:tcW w:w="2097" w:type="pct"/>
            <w:noWrap w:val="0"/>
            <w:vAlign w:val="center"/>
          </w:tcPr>
          <w:p w14:paraId="1C485A77">
            <w:pPr>
              <w:spacing w:line="30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空气环境、声环境</w:t>
            </w:r>
          </w:p>
        </w:tc>
      </w:tr>
      <w:tr w14:paraId="28FBA8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519" w:type="pct"/>
            <w:vMerge w:val="continue"/>
            <w:noWrap w:val="0"/>
            <w:vAlign w:val="center"/>
          </w:tcPr>
          <w:p w14:paraId="5461B030">
            <w:pPr>
              <w:spacing w:line="300" w:lineRule="exact"/>
              <w:jc w:val="center"/>
              <w:rPr>
                <w:rFonts w:hint="default" w:ascii="Times New Roman" w:hAnsi="Times New Roman" w:cs="Times New Roman"/>
                <w:color w:val="auto"/>
                <w:sz w:val="21"/>
                <w:szCs w:val="21"/>
                <w:highlight w:val="none"/>
                <w:lang w:val="zh-CN"/>
              </w:rPr>
            </w:pPr>
          </w:p>
        </w:tc>
        <w:tc>
          <w:tcPr>
            <w:tcW w:w="1136" w:type="pct"/>
            <w:noWrap w:val="0"/>
            <w:vAlign w:val="center"/>
          </w:tcPr>
          <w:p w14:paraId="38154366">
            <w:pPr>
              <w:spacing w:line="30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水系改造</w:t>
            </w:r>
          </w:p>
        </w:tc>
        <w:tc>
          <w:tcPr>
            <w:tcW w:w="1247" w:type="pct"/>
            <w:noWrap w:val="0"/>
            <w:vAlign w:val="top"/>
          </w:tcPr>
          <w:p w14:paraId="2263150C">
            <w:pPr>
              <w:spacing w:line="300" w:lineRule="exact"/>
              <w:jc w:val="center"/>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施工噪声、对水体扰动</w:t>
            </w:r>
          </w:p>
        </w:tc>
        <w:tc>
          <w:tcPr>
            <w:tcW w:w="2097" w:type="pct"/>
            <w:noWrap w:val="0"/>
            <w:vAlign w:val="center"/>
          </w:tcPr>
          <w:p w14:paraId="55B761D6">
            <w:pPr>
              <w:spacing w:line="300" w:lineRule="exact"/>
              <w:jc w:val="center"/>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声环境、水环境、水生生态</w:t>
            </w:r>
          </w:p>
        </w:tc>
      </w:tr>
      <w:tr w14:paraId="509339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519" w:type="pct"/>
            <w:vMerge w:val="continue"/>
            <w:noWrap w:val="0"/>
            <w:vAlign w:val="center"/>
          </w:tcPr>
          <w:p w14:paraId="068BAFA6">
            <w:pPr>
              <w:spacing w:line="300" w:lineRule="exact"/>
              <w:jc w:val="center"/>
              <w:rPr>
                <w:rFonts w:hint="default" w:ascii="Times New Roman" w:hAnsi="Times New Roman" w:cs="Times New Roman"/>
                <w:color w:val="auto"/>
                <w:sz w:val="21"/>
                <w:szCs w:val="21"/>
                <w:highlight w:val="none"/>
                <w:lang w:val="zh-CN"/>
              </w:rPr>
            </w:pPr>
          </w:p>
        </w:tc>
        <w:tc>
          <w:tcPr>
            <w:tcW w:w="1136" w:type="pct"/>
            <w:vMerge w:val="restart"/>
            <w:noWrap w:val="0"/>
            <w:vAlign w:val="center"/>
          </w:tcPr>
          <w:p w14:paraId="3F4ADF07">
            <w:pPr>
              <w:spacing w:line="300" w:lineRule="exact"/>
              <w:jc w:val="center"/>
              <w:rPr>
                <w:rFonts w:hint="default" w:ascii="Times New Roman" w:hAnsi="Times New Roman" w:cs="Times New Roman"/>
                <w:color w:val="auto"/>
                <w:sz w:val="21"/>
                <w:szCs w:val="21"/>
                <w:highlight w:val="none"/>
                <w:lang w:val="zh-CN"/>
              </w:rPr>
            </w:pPr>
            <w:r>
              <w:rPr>
                <w:rFonts w:hint="eastAsia" w:ascii="Times New Roman" w:hAnsi="Times New Roman" w:cs="Times New Roman"/>
                <w:color w:val="auto"/>
                <w:sz w:val="21"/>
                <w:szCs w:val="21"/>
                <w:highlight w:val="none"/>
                <w:lang w:val="zh-CN"/>
              </w:rPr>
              <w:t>材料运输、施工</w:t>
            </w:r>
          </w:p>
        </w:tc>
        <w:tc>
          <w:tcPr>
            <w:tcW w:w="1247" w:type="pct"/>
            <w:noWrap w:val="0"/>
            <w:vAlign w:val="top"/>
          </w:tcPr>
          <w:p w14:paraId="04AD2744">
            <w:pPr>
              <w:spacing w:line="300" w:lineRule="exact"/>
              <w:jc w:val="center"/>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扬尘</w:t>
            </w:r>
          </w:p>
        </w:tc>
        <w:tc>
          <w:tcPr>
            <w:tcW w:w="2097" w:type="pct"/>
            <w:vMerge w:val="restart"/>
            <w:noWrap w:val="0"/>
            <w:vAlign w:val="center"/>
          </w:tcPr>
          <w:p w14:paraId="72C8B8FB">
            <w:pPr>
              <w:spacing w:line="30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空气环境</w:t>
            </w:r>
          </w:p>
        </w:tc>
      </w:tr>
      <w:tr w14:paraId="07BAFD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519" w:type="pct"/>
            <w:vMerge w:val="continue"/>
            <w:noWrap w:val="0"/>
            <w:vAlign w:val="center"/>
          </w:tcPr>
          <w:p w14:paraId="20258D83">
            <w:pPr>
              <w:spacing w:line="300" w:lineRule="exact"/>
              <w:jc w:val="center"/>
              <w:rPr>
                <w:rFonts w:hint="default" w:ascii="Times New Roman" w:hAnsi="Times New Roman" w:cs="Times New Roman"/>
                <w:color w:val="auto"/>
                <w:sz w:val="21"/>
                <w:szCs w:val="21"/>
                <w:highlight w:val="none"/>
                <w:lang w:val="zh-CN"/>
              </w:rPr>
            </w:pPr>
          </w:p>
        </w:tc>
        <w:tc>
          <w:tcPr>
            <w:tcW w:w="1136" w:type="pct"/>
            <w:vMerge w:val="continue"/>
            <w:noWrap w:val="0"/>
            <w:vAlign w:val="center"/>
          </w:tcPr>
          <w:p w14:paraId="61FEF9C1">
            <w:pPr>
              <w:spacing w:line="300" w:lineRule="exact"/>
              <w:jc w:val="center"/>
              <w:rPr>
                <w:rFonts w:hint="eastAsia" w:ascii="Times New Roman" w:hAnsi="Times New Roman" w:cs="Times New Roman"/>
                <w:color w:val="auto"/>
                <w:sz w:val="21"/>
                <w:szCs w:val="21"/>
                <w:highlight w:val="none"/>
                <w:lang w:val="zh-CN"/>
              </w:rPr>
            </w:pPr>
          </w:p>
        </w:tc>
        <w:tc>
          <w:tcPr>
            <w:tcW w:w="1247" w:type="pct"/>
            <w:noWrap w:val="0"/>
            <w:vAlign w:val="top"/>
          </w:tcPr>
          <w:p w14:paraId="7A029F91">
            <w:pPr>
              <w:spacing w:line="300" w:lineRule="exact"/>
              <w:jc w:val="center"/>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废气</w:t>
            </w:r>
          </w:p>
        </w:tc>
        <w:tc>
          <w:tcPr>
            <w:tcW w:w="2097" w:type="pct"/>
            <w:vMerge w:val="continue"/>
            <w:noWrap w:val="0"/>
            <w:vAlign w:val="center"/>
          </w:tcPr>
          <w:p w14:paraId="673A5CB7">
            <w:pPr>
              <w:spacing w:line="300" w:lineRule="exact"/>
              <w:jc w:val="center"/>
              <w:rPr>
                <w:rFonts w:hint="default" w:ascii="Times New Roman" w:hAnsi="Times New Roman" w:cs="Times New Roman"/>
                <w:color w:val="auto"/>
                <w:sz w:val="21"/>
                <w:szCs w:val="21"/>
                <w:highlight w:val="none"/>
                <w:lang w:val="zh-CN"/>
              </w:rPr>
            </w:pPr>
          </w:p>
        </w:tc>
      </w:tr>
      <w:tr w14:paraId="7F718D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519" w:type="pct"/>
            <w:vMerge w:val="continue"/>
            <w:noWrap w:val="0"/>
            <w:vAlign w:val="center"/>
          </w:tcPr>
          <w:p w14:paraId="6299F8F2">
            <w:pPr>
              <w:spacing w:line="300" w:lineRule="exact"/>
              <w:jc w:val="center"/>
              <w:rPr>
                <w:rFonts w:hint="default" w:ascii="Times New Roman" w:hAnsi="Times New Roman" w:cs="Times New Roman"/>
                <w:color w:val="auto"/>
                <w:sz w:val="21"/>
                <w:szCs w:val="21"/>
                <w:highlight w:val="none"/>
                <w:lang w:val="zh-CN"/>
              </w:rPr>
            </w:pPr>
          </w:p>
        </w:tc>
        <w:tc>
          <w:tcPr>
            <w:tcW w:w="1136" w:type="pct"/>
            <w:vMerge w:val="continue"/>
            <w:noWrap w:val="0"/>
            <w:vAlign w:val="center"/>
          </w:tcPr>
          <w:p w14:paraId="681CBC24">
            <w:pPr>
              <w:spacing w:line="300" w:lineRule="exact"/>
              <w:jc w:val="center"/>
              <w:rPr>
                <w:rFonts w:hint="eastAsia" w:ascii="Times New Roman" w:hAnsi="Times New Roman" w:cs="Times New Roman"/>
                <w:color w:val="auto"/>
                <w:sz w:val="21"/>
                <w:szCs w:val="21"/>
                <w:highlight w:val="none"/>
                <w:lang w:val="zh-CN"/>
              </w:rPr>
            </w:pPr>
          </w:p>
        </w:tc>
        <w:tc>
          <w:tcPr>
            <w:tcW w:w="1247" w:type="pct"/>
            <w:noWrap w:val="0"/>
            <w:vAlign w:val="top"/>
          </w:tcPr>
          <w:p w14:paraId="416F1B88">
            <w:pPr>
              <w:spacing w:line="300" w:lineRule="exact"/>
              <w:jc w:val="center"/>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噪声</w:t>
            </w:r>
          </w:p>
        </w:tc>
        <w:tc>
          <w:tcPr>
            <w:tcW w:w="2097" w:type="pct"/>
            <w:noWrap w:val="0"/>
            <w:vAlign w:val="center"/>
          </w:tcPr>
          <w:p w14:paraId="6B25BC65">
            <w:pPr>
              <w:spacing w:line="30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声环境</w:t>
            </w:r>
          </w:p>
        </w:tc>
      </w:tr>
      <w:tr w14:paraId="64C817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519" w:type="pct"/>
            <w:noWrap w:val="0"/>
            <w:vAlign w:val="center"/>
          </w:tcPr>
          <w:p w14:paraId="0341230E">
            <w:pPr>
              <w:spacing w:line="300" w:lineRule="exact"/>
              <w:jc w:val="center"/>
              <w:rPr>
                <w:rFonts w:hint="default" w:ascii="Times New Roman" w:hAnsi="Times New Roman" w:cs="Times New Roman"/>
                <w:color w:val="auto"/>
                <w:sz w:val="21"/>
                <w:szCs w:val="21"/>
                <w:highlight w:val="none"/>
                <w:lang w:val="zh-CN"/>
              </w:rPr>
            </w:pPr>
            <w:r>
              <w:rPr>
                <w:rFonts w:hint="eastAsia" w:ascii="Times New Roman" w:hAnsi="Times New Roman" w:cs="Times New Roman"/>
                <w:color w:val="auto"/>
                <w:sz w:val="21"/>
                <w:szCs w:val="21"/>
                <w:highlight w:val="none"/>
                <w:lang w:val="zh-CN"/>
              </w:rPr>
              <w:t>营运期</w:t>
            </w:r>
          </w:p>
        </w:tc>
        <w:tc>
          <w:tcPr>
            <w:tcW w:w="1136" w:type="pct"/>
            <w:noWrap w:val="0"/>
            <w:vAlign w:val="center"/>
          </w:tcPr>
          <w:p w14:paraId="7D09F7F6">
            <w:pPr>
              <w:spacing w:line="300" w:lineRule="exact"/>
              <w:jc w:val="center"/>
              <w:rPr>
                <w:rFonts w:hint="default" w:ascii="Times New Roman" w:hAnsi="Times New Roman" w:cs="Times New Roman"/>
                <w:color w:val="auto"/>
                <w:sz w:val="21"/>
                <w:szCs w:val="21"/>
                <w:highlight w:val="none"/>
                <w:lang w:val="zh-CN"/>
              </w:rPr>
            </w:pPr>
            <w:r>
              <w:rPr>
                <w:rFonts w:hint="eastAsia" w:ascii="Times New Roman" w:hAnsi="Times New Roman" w:cs="Times New Roman"/>
                <w:color w:val="auto"/>
                <w:sz w:val="21"/>
                <w:szCs w:val="21"/>
                <w:highlight w:val="none"/>
                <w:lang w:val="zh-CN"/>
              </w:rPr>
              <w:t>水系改造河段</w:t>
            </w:r>
          </w:p>
        </w:tc>
        <w:tc>
          <w:tcPr>
            <w:tcW w:w="1247" w:type="pct"/>
            <w:noWrap w:val="0"/>
            <w:vAlign w:val="top"/>
          </w:tcPr>
          <w:p w14:paraId="56DEFA3D">
            <w:pPr>
              <w:spacing w:line="300" w:lineRule="exact"/>
              <w:jc w:val="center"/>
              <w:rPr>
                <w:rFonts w:hint="default" w:ascii="Times New Roman" w:hAnsi="Times New Roman" w:cs="Times New Roman"/>
                <w:color w:val="auto"/>
                <w:sz w:val="21"/>
                <w:szCs w:val="21"/>
                <w:highlight w:val="none"/>
                <w:lang w:val="zh-CN"/>
              </w:rPr>
            </w:pPr>
            <w:r>
              <w:rPr>
                <w:rFonts w:hint="eastAsia" w:ascii="Times New Roman" w:hAnsi="Times New Roman" w:cs="Times New Roman"/>
                <w:color w:val="auto"/>
                <w:sz w:val="21"/>
                <w:szCs w:val="21"/>
                <w:highlight w:val="none"/>
                <w:lang w:val="zh-CN"/>
              </w:rPr>
              <w:t>水文情势、水生生态</w:t>
            </w:r>
          </w:p>
        </w:tc>
        <w:tc>
          <w:tcPr>
            <w:tcW w:w="2097" w:type="pct"/>
            <w:noWrap w:val="0"/>
            <w:vAlign w:val="center"/>
          </w:tcPr>
          <w:p w14:paraId="038A4AFB">
            <w:pPr>
              <w:spacing w:line="300" w:lineRule="exact"/>
              <w:jc w:val="center"/>
              <w:rPr>
                <w:rFonts w:hint="default" w:ascii="Times New Roman" w:hAnsi="Times New Roman" w:cs="Times New Roman"/>
                <w:color w:val="auto"/>
                <w:sz w:val="21"/>
                <w:szCs w:val="21"/>
                <w:highlight w:val="none"/>
                <w:lang w:val="zh-CN"/>
              </w:rPr>
            </w:pPr>
            <w:r>
              <w:rPr>
                <w:rFonts w:hint="eastAsia" w:ascii="Times New Roman" w:hAnsi="Times New Roman" w:cs="Times New Roman"/>
                <w:color w:val="auto"/>
                <w:sz w:val="21"/>
                <w:szCs w:val="21"/>
                <w:highlight w:val="none"/>
                <w:lang w:val="zh-CN"/>
              </w:rPr>
              <w:t>地表水环境、水生生态</w:t>
            </w:r>
          </w:p>
        </w:tc>
      </w:tr>
    </w:tbl>
    <w:p w14:paraId="34F9FD5B">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bookmarkStart w:id="20" w:name="_Ref109375692"/>
      <w:r>
        <w:rPr>
          <w:rFonts w:hint="default"/>
          <w:color w:val="auto"/>
          <w:highlight w:val="none"/>
        </w:rPr>
        <w:t>生态影响评价因子筛选</w:t>
      </w:r>
      <w:bookmarkEnd w:id="20"/>
    </w:p>
    <w:tbl>
      <w:tblPr>
        <w:tblStyle w:val="8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7"/>
        <w:gridCol w:w="776"/>
        <w:gridCol w:w="1102"/>
        <w:gridCol w:w="2427"/>
        <w:gridCol w:w="892"/>
        <w:gridCol w:w="2814"/>
      </w:tblGrid>
      <w:tr w14:paraId="09D59A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17" w:type="dxa"/>
            <w:noWrap w:val="0"/>
            <w:vAlign w:val="center"/>
          </w:tcPr>
          <w:p w14:paraId="70A36094">
            <w:pPr>
              <w:pStyle w:val="410"/>
              <w:adjustRightInd w:val="0"/>
              <w:snapToGrid w:val="0"/>
              <w:ind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时期</w:t>
            </w:r>
          </w:p>
        </w:tc>
        <w:tc>
          <w:tcPr>
            <w:tcW w:w="776" w:type="dxa"/>
            <w:noWrap w:val="0"/>
            <w:vAlign w:val="center"/>
          </w:tcPr>
          <w:p w14:paraId="70E487F4">
            <w:pPr>
              <w:pStyle w:val="410"/>
              <w:adjustRightInd w:val="0"/>
              <w:snapToGrid w:val="0"/>
              <w:ind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受影响对象</w:t>
            </w:r>
          </w:p>
        </w:tc>
        <w:tc>
          <w:tcPr>
            <w:tcW w:w="1102" w:type="dxa"/>
            <w:noWrap w:val="0"/>
            <w:vAlign w:val="center"/>
          </w:tcPr>
          <w:p w14:paraId="025B5B33">
            <w:pPr>
              <w:pStyle w:val="410"/>
              <w:adjustRightInd w:val="0"/>
              <w:snapToGrid w:val="0"/>
              <w:ind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评价因子</w:t>
            </w:r>
          </w:p>
        </w:tc>
        <w:tc>
          <w:tcPr>
            <w:tcW w:w="2427" w:type="dxa"/>
            <w:noWrap w:val="0"/>
            <w:vAlign w:val="center"/>
          </w:tcPr>
          <w:p w14:paraId="6E14E592">
            <w:pPr>
              <w:pStyle w:val="410"/>
              <w:adjustRightInd w:val="0"/>
              <w:snapToGrid w:val="0"/>
              <w:ind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工程内容及影响方式</w:t>
            </w:r>
          </w:p>
        </w:tc>
        <w:tc>
          <w:tcPr>
            <w:tcW w:w="892" w:type="dxa"/>
            <w:noWrap w:val="0"/>
            <w:vAlign w:val="center"/>
          </w:tcPr>
          <w:p w14:paraId="3F5A4D02">
            <w:pPr>
              <w:pStyle w:val="410"/>
              <w:adjustRightInd w:val="0"/>
              <w:snapToGrid w:val="0"/>
              <w:ind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影响性质</w:t>
            </w:r>
          </w:p>
        </w:tc>
        <w:tc>
          <w:tcPr>
            <w:tcW w:w="2814" w:type="dxa"/>
            <w:noWrap w:val="0"/>
            <w:vAlign w:val="center"/>
          </w:tcPr>
          <w:p w14:paraId="74B907A7">
            <w:pPr>
              <w:pStyle w:val="410"/>
              <w:adjustRightInd w:val="0"/>
              <w:snapToGrid w:val="0"/>
              <w:ind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影响程度</w:t>
            </w:r>
          </w:p>
        </w:tc>
      </w:tr>
      <w:tr w14:paraId="58E9C9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17" w:type="dxa"/>
            <w:vMerge w:val="restart"/>
            <w:noWrap w:val="0"/>
            <w:vAlign w:val="center"/>
          </w:tcPr>
          <w:p w14:paraId="2EAA8201">
            <w:pPr>
              <w:pStyle w:val="41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施工期</w:t>
            </w:r>
          </w:p>
        </w:tc>
        <w:tc>
          <w:tcPr>
            <w:tcW w:w="776" w:type="dxa"/>
            <w:noWrap w:val="0"/>
            <w:vAlign w:val="center"/>
          </w:tcPr>
          <w:p w14:paraId="3AABF1CA">
            <w:pPr>
              <w:pStyle w:val="410"/>
              <w:adjustRightInd w:val="0"/>
              <w:snapToGrid w:val="0"/>
              <w:ind w:firstLine="0"/>
              <w:jc w:val="center"/>
              <w:rPr>
                <w:rFonts w:hint="default" w:ascii="Times New Roman" w:hAnsi="Times New Roman" w:eastAsia="宋体" w:cs="Times New Roman"/>
                <w:color w:val="auto"/>
                <w:sz w:val="21"/>
                <w:szCs w:val="21"/>
                <w:highlight w:val="none"/>
                <w:u w:val="single"/>
                <w:lang w:val="en-US" w:eastAsia="zh-CN"/>
              </w:rPr>
            </w:pPr>
            <w:r>
              <w:rPr>
                <w:rFonts w:hint="eastAsia" w:ascii="Times New Roman" w:cs="Times New Roman"/>
                <w:color w:val="auto"/>
                <w:sz w:val="21"/>
                <w:szCs w:val="21"/>
                <w:highlight w:val="none"/>
                <w:u w:val="single"/>
                <w:lang w:val="en-US" w:eastAsia="zh-CN"/>
              </w:rPr>
              <w:t>生态系统</w:t>
            </w:r>
          </w:p>
        </w:tc>
        <w:tc>
          <w:tcPr>
            <w:tcW w:w="1102" w:type="dxa"/>
            <w:noWrap w:val="0"/>
            <w:vAlign w:val="center"/>
          </w:tcPr>
          <w:p w14:paraId="70F279DB">
            <w:pPr>
              <w:pStyle w:val="410"/>
              <w:adjustRightInd w:val="0"/>
              <w:snapToGrid w:val="0"/>
              <w:ind w:firstLine="0"/>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植被覆盖度、生物量、生态系统功能区等</w:t>
            </w:r>
          </w:p>
        </w:tc>
        <w:tc>
          <w:tcPr>
            <w:tcW w:w="2427" w:type="dxa"/>
            <w:noWrap w:val="0"/>
            <w:vAlign w:val="center"/>
          </w:tcPr>
          <w:p w14:paraId="309FA060">
            <w:pPr>
              <w:pStyle w:val="410"/>
              <w:numPr>
                <w:ilvl w:val="0"/>
                <w:numId w:val="19"/>
              </w:numPr>
              <w:adjustRightInd w:val="0"/>
              <w:snapToGrid w:val="0"/>
              <w:ind w:firstLine="0"/>
              <w:jc w:val="both"/>
              <w:rPr>
                <w:rFonts w:hint="eastAsia" w:ascii="Times New Roman" w:cs="Times New Roman"/>
                <w:color w:val="auto"/>
                <w:sz w:val="21"/>
                <w:szCs w:val="21"/>
                <w:highlight w:val="none"/>
                <w:lang w:eastAsia="zh-CN"/>
              </w:rPr>
            </w:pPr>
            <w:r>
              <w:rPr>
                <w:rFonts w:hint="eastAsia" w:ascii="Times New Roman" w:cs="Times New Roman"/>
                <w:color w:val="auto"/>
                <w:sz w:val="21"/>
                <w:szCs w:val="21"/>
                <w:highlight w:val="none"/>
                <w:lang w:val="en-US" w:eastAsia="zh-CN"/>
              </w:rPr>
              <w:t>（1）工程内容：项目临时占地、永久占地；</w:t>
            </w:r>
            <w:r>
              <w:rPr>
                <w:rFonts w:hint="eastAsia" w:ascii="Times New Roman" w:cs="Times New Roman"/>
                <w:color w:val="auto"/>
                <w:sz w:val="21"/>
                <w:szCs w:val="21"/>
                <w:highlight w:val="none"/>
                <w:u w:val="single"/>
                <w:lang w:val="en-US" w:eastAsia="zh-CN"/>
              </w:rPr>
              <w:t>水系改造段施工导流及围堰施工；</w:t>
            </w:r>
          </w:p>
          <w:p w14:paraId="032133AE">
            <w:pPr>
              <w:pStyle w:val="410"/>
              <w:adjustRightInd w:val="0"/>
              <w:snapToGrid w:val="0"/>
              <w:ind w:firstLine="0"/>
              <w:jc w:val="both"/>
              <w:rPr>
                <w:rFonts w:hint="eastAsia" w:ascii="Times New Roman" w:eastAsia="宋体" w:cs="Times New Roman"/>
                <w:color w:val="auto"/>
                <w:sz w:val="21"/>
                <w:szCs w:val="21"/>
                <w:highlight w:val="none"/>
                <w:u w:val="single"/>
                <w:lang w:val="en-US" w:eastAsia="zh-CN"/>
              </w:rPr>
            </w:pPr>
            <w:r>
              <w:rPr>
                <w:rFonts w:hint="eastAsia" w:ascii="Times New Roman" w:cs="Times New Roman"/>
                <w:color w:val="auto"/>
                <w:sz w:val="21"/>
                <w:szCs w:val="21"/>
                <w:highlight w:val="none"/>
                <w:lang w:val="en-US" w:eastAsia="zh-CN"/>
              </w:rPr>
              <w:t>（2）影响方式：</w:t>
            </w:r>
            <w:r>
              <w:rPr>
                <w:rFonts w:hint="default" w:ascii="Times New Roman" w:hAnsi="Times New Roman" w:cs="Times New Roman"/>
                <w:color w:val="auto"/>
                <w:sz w:val="21"/>
                <w:szCs w:val="21"/>
                <w:highlight w:val="none"/>
              </w:rPr>
              <w:t>直接影响所占陆域的植被，使其数量减少，</w:t>
            </w:r>
            <w:r>
              <w:rPr>
                <w:rFonts w:hint="eastAsia" w:ascii="Times New Roman" w:cs="Times New Roman"/>
                <w:color w:val="auto"/>
                <w:sz w:val="21"/>
                <w:szCs w:val="21"/>
                <w:highlight w:val="none"/>
                <w:lang w:val="en-US" w:eastAsia="zh-CN"/>
              </w:rPr>
              <w:t>植被覆盖度减少</w:t>
            </w:r>
            <w:r>
              <w:rPr>
                <w:rFonts w:hint="eastAsia" w:asci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u w:val="single"/>
                <w:lang w:val="en-US" w:eastAsia="zh-CN"/>
              </w:rPr>
              <w:t>施工导流及施工围堰</w:t>
            </w:r>
            <w:r>
              <w:rPr>
                <w:rFonts w:hint="default" w:ascii="Times New Roman" w:hAnsi="Times New Roman" w:cs="Times New Roman"/>
                <w:color w:val="auto"/>
                <w:sz w:val="21"/>
                <w:szCs w:val="21"/>
                <w:highlight w:val="none"/>
                <w:u w:val="single"/>
              </w:rPr>
              <w:t>直接影响所占水域底部水生植物，使其数量减少，结构发生改变</w:t>
            </w:r>
            <w:r>
              <w:rPr>
                <w:rFonts w:hint="eastAsia" w:ascii="Times New Roman" w:cs="Times New Roman"/>
                <w:color w:val="auto"/>
                <w:sz w:val="21"/>
                <w:szCs w:val="21"/>
                <w:highlight w:val="none"/>
                <w:u w:val="single"/>
                <w:lang w:eastAsia="zh-CN"/>
              </w:rPr>
              <w:t>。</w:t>
            </w:r>
          </w:p>
        </w:tc>
        <w:tc>
          <w:tcPr>
            <w:tcW w:w="892" w:type="dxa"/>
            <w:noWrap w:val="0"/>
            <w:vAlign w:val="center"/>
          </w:tcPr>
          <w:p w14:paraId="0F6C636F">
            <w:pPr>
              <w:pStyle w:val="41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短期、不可逆</w:t>
            </w:r>
          </w:p>
        </w:tc>
        <w:tc>
          <w:tcPr>
            <w:tcW w:w="2814" w:type="dxa"/>
            <w:noWrap w:val="0"/>
            <w:vAlign w:val="center"/>
          </w:tcPr>
          <w:p w14:paraId="7D0319AC">
            <w:pPr>
              <w:pStyle w:val="410"/>
              <w:adjustRightInd w:val="0"/>
              <w:snapToGrid w:val="0"/>
              <w:ind w:firstLine="0"/>
              <w:jc w:val="center"/>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弱</w:t>
            </w:r>
          </w:p>
          <w:p w14:paraId="18770EEB">
            <w:pPr>
              <w:pStyle w:val="410"/>
              <w:adjustRightInd w:val="0"/>
              <w:snapToGrid w:val="0"/>
              <w:ind w:firstLine="0"/>
              <w:jc w:val="center"/>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项目临时占地在施工结束后进行植被恢复，永久占地面积较小，占地永久范围内植被类型为区域常见类型，占地不会使区域植被种群数量、植被覆盖度发生大的变化，对生态系统功能的发挥影响不大，总体影响程度较弱。</w:t>
            </w:r>
          </w:p>
          <w:p w14:paraId="6CFAE097">
            <w:pPr>
              <w:pStyle w:val="410"/>
              <w:adjustRightInd w:val="0"/>
              <w:snapToGrid w:val="0"/>
              <w:ind w:firstLine="0"/>
              <w:jc w:val="center"/>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u w:val="single"/>
                <w:lang w:val="en-US" w:eastAsia="zh-CN"/>
              </w:rPr>
              <w:t>工程施工导流及施工围堰对占用部分的水生植物造成破坏，区域生物量下降，植被覆盖度减小，施工结束后，影响逐步消失，区域生物量恢复，植被覆盖度上升，对生态系统功能发挥影响不大。总体上影响程度为弱。</w:t>
            </w:r>
          </w:p>
        </w:tc>
      </w:tr>
      <w:tr w14:paraId="41447D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17" w:type="dxa"/>
            <w:vMerge w:val="continue"/>
            <w:noWrap w:val="0"/>
            <w:vAlign w:val="center"/>
          </w:tcPr>
          <w:p w14:paraId="234690E9">
            <w:pPr>
              <w:pStyle w:val="410"/>
              <w:adjustRightInd w:val="0"/>
              <w:snapToGrid w:val="0"/>
              <w:ind w:firstLine="0"/>
              <w:jc w:val="center"/>
              <w:rPr>
                <w:rFonts w:hint="default" w:ascii="Times New Roman" w:hAnsi="Times New Roman" w:cs="Times New Roman"/>
                <w:color w:val="auto"/>
                <w:sz w:val="21"/>
                <w:szCs w:val="21"/>
                <w:highlight w:val="none"/>
              </w:rPr>
            </w:pPr>
          </w:p>
        </w:tc>
        <w:tc>
          <w:tcPr>
            <w:tcW w:w="776" w:type="dxa"/>
            <w:noWrap w:val="0"/>
            <w:vAlign w:val="center"/>
          </w:tcPr>
          <w:p w14:paraId="55357A65">
            <w:pPr>
              <w:pStyle w:val="410"/>
              <w:adjustRightInd w:val="0"/>
              <w:snapToGrid w:val="0"/>
              <w:ind w:firstLine="0"/>
              <w:jc w:val="center"/>
              <w:rPr>
                <w:rFonts w:hint="default" w:ascii="Times New Roman" w:hAnsi="Times New Roman" w:eastAsia="宋体" w:cs="Times New Roman"/>
                <w:color w:val="auto"/>
                <w:sz w:val="21"/>
                <w:szCs w:val="21"/>
                <w:highlight w:val="none"/>
                <w:u w:val="single"/>
                <w:lang w:val="en-US" w:eastAsia="zh-CN"/>
              </w:rPr>
            </w:pPr>
            <w:r>
              <w:rPr>
                <w:rFonts w:hint="eastAsia" w:ascii="Times New Roman" w:cs="Times New Roman"/>
                <w:color w:val="auto"/>
                <w:sz w:val="21"/>
                <w:szCs w:val="21"/>
                <w:highlight w:val="none"/>
                <w:u w:val="single"/>
                <w:lang w:val="en-US" w:eastAsia="zh-CN"/>
              </w:rPr>
              <w:t>物种</w:t>
            </w:r>
          </w:p>
        </w:tc>
        <w:tc>
          <w:tcPr>
            <w:tcW w:w="1102" w:type="dxa"/>
            <w:noWrap w:val="0"/>
            <w:vAlign w:val="center"/>
          </w:tcPr>
          <w:p w14:paraId="611728C0">
            <w:pPr>
              <w:pStyle w:val="41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分布范围</w:t>
            </w:r>
          </w:p>
        </w:tc>
        <w:tc>
          <w:tcPr>
            <w:tcW w:w="2427" w:type="dxa"/>
            <w:noWrap w:val="0"/>
            <w:vAlign w:val="center"/>
          </w:tcPr>
          <w:p w14:paraId="227B4154">
            <w:pPr>
              <w:pStyle w:val="410"/>
              <w:numPr>
                <w:ilvl w:val="0"/>
                <w:numId w:val="20"/>
              </w:numPr>
              <w:adjustRightInd w:val="0"/>
              <w:snapToGrid w:val="0"/>
              <w:ind w:firstLine="0"/>
              <w:jc w:val="both"/>
              <w:rPr>
                <w:rFonts w:hint="eastAsia" w:ascii="Times New Roman" w:cs="Times New Roman"/>
                <w:color w:val="auto"/>
                <w:sz w:val="21"/>
                <w:szCs w:val="21"/>
                <w:highlight w:val="none"/>
                <w:lang w:eastAsia="zh-CN"/>
              </w:rPr>
            </w:pPr>
            <w:r>
              <w:rPr>
                <w:rFonts w:hint="eastAsia" w:ascii="Times New Roman" w:cs="Times New Roman"/>
                <w:color w:val="auto"/>
                <w:sz w:val="21"/>
                <w:szCs w:val="21"/>
                <w:highlight w:val="none"/>
                <w:lang w:val="en-US" w:eastAsia="zh-CN"/>
              </w:rPr>
              <w:t>工程内容：工程占地，施工机械活动干扰及施工人员活动干扰；</w:t>
            </w:r>
            <w:r>
              <w:rPr>
                <w:rFonts w:hint="eastAsia" w:ascii="Times New Roman" w:cs="Times New Roman"/>
                <w:color w:val="auto"/>
                <w:sz w:val="21"/>
                <w:szCs w:val="21"/>
                <w:highlight w:val="none"/>
                <w:u w:val="single"/>
                <w:lang w:val="en-US" w:eastAsia="zh-CN"/>
              </w:rPr>
              <w:t>水系改造段施工导流及围堰施工；</w:t>
            </w:r>
          </w:p>
          <w:p w14:paraId="656D8AE2">
            <w:pPr>
              <w:pStyle w:val="410"/>
              <w:numPr>
                <w:ilvl w:val="0"/>
                <w:numId w:val="20"/>
              </w:numPr>
              <w:adjustRightInd w:val="0"/>
              <w:snapToGrid w:val="0"/>
              <w:ind w:firstLine="0"/>
              <w:jc w:val="both"/>
              <w:rPr>
                <w:rFonts w:hint="default" w:ascii="Times New Roman" w:hAnsi="Times New Roman" w:cs="Times New Roman"/>
                <w:color w:val="auto"/>
                <w:sz w:val="21"/>
                <w:szCs w:val="21"/>
                <w:highlight w:val="none"/>
              </w:rPr>
            </w:pPr>
            <w:r>
              <w:rPr>
                <w:rFonts w:hint="eastAsia" w:ascii="Times New Roman" w:cs="Times New Roman"/>
                <w:color w:val="auto"/>
                <w:sz w:val="21"/>
                <w:szCs w:val="21"/>
                <w:highlight w:val="none"/>
                <w:lang w:val="en-US" w:eastAsia="zh-CN"/>
              </w:rPr>
              <w:t>影响方式：</w:t>
            </w:r>
            <w:r>
              <w:rPr>
                <w:rFonts w:hint="default" w:ascii="Times New Roman" w:hAnsi="Times New Roman" w:cs="Times New Roman"/>
                <w:color w:val="auto"/>
                <w:sz w:val="21"/>
                <w:szCs w:val="21"/>
                <w:highlight w:val="none"/>
              </w:rPr>
              <w:t>直接影响所占陆域的动物，使其向周边陆域迁移</w:t>
            </w:r>
            <w:r>
              <w:rPr>
                <w:rFonts w:hint="default" w:ascii="Times New Roman" w:hAnsi="Times New Roman" w:cs="Times New Roman"/>
                <w:color w:val="auto"/>
                <w:sz w:val="21"/>
                <w:szCs w:val="21"/>
                <w:highlight w:val="none"/>
                <w:u w:val="single"/>
                <w:lang w:val="en-US" w:eastAsia="zh-CN"/>
              </w:rPr>
              <w:t>涉水施工</w:t>
            </w:r>
            <w:r>
              <w:rPr>
                <w:rFonts w:hint="default" w:ascii="Times New Roman" w:hAnsi="Times New Roman" w:cs="Times New Roman"/>
                <w:color w:val="auto"/>
                <w:sz w:val="21"/>
                <w:szCs w:val="21"/>
                <w:highlight w:val="none"/>
                <w:u w:val="single"/>
              </w:rPr>
              <w:t>直接影响所占水域的水生动物，使其向周边水域迁移</w:t>
            </w:r>
            <w:r>
              <w:rPr>
                <w:rFonts w:hint="eastAsia" w:ascii="Times New Roman" w:cs="Times New Roman"/>
                <w:color w:val="auto"/>
                <w:sz w:val="21"/>
                <w:szCs w:val="21"/>
                <w:highlight w:val="none"/>
                <w:u w:val="single"/>
                <w:lang w:eastAsia="zh-CN"/>
              </w:rPr>
              <w:t>；</w:t>
            </w:r>
          </w:p>
        </w:tc>
        <w:tc>
          <w:tcPr>
            <w:tcW w:w="892" w:type="dxa"/>
            <w:noWrap w:val="0"/>
            <w:vAlign w:val="center"/>
          </w:tcPr>
          <w:p w14:paraId="02B0A614">
            <w:pPr>
              <w:pStyle w:val="41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短期、不可逆</w:t>
            </w:r>
          </w:p>
        </w:tc>
        <w:tc>
          <w:tcPr>
            <w:tcW w:w="2814" w:type="dxa"/>
            <w:noWrap w:val="0"/>
            <w:vAlign w:val="center"/>
          </w:tcPr>
          <w:p w14:paraId="40B5081A">
            <w:pPr>
              <w:pStyle w:val="410"/>
              <w:adjustRightInd w:val="0"/>
              <w:snapToGrid w:val="0"/>
              <w:ind w:firstLine="0"/>
              <w:jc w:val="center"/>
              <w:rPr>
                <w:rFonts w:hint="eastAsia" w:asci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弱</w:t>
            </w:r>
          </w:p>
          <w:p w14:paraId="27F0B322">
            <w:pPr>
              <w:pStyle w:val="410"/>
              <w:adjustRightInd w:val="0"/>
              <w:snapToGrid w:val="0"/>
              <w:ind w:firstLine="0"/>
              <w:jc w:val="center"/>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项目施工临时占地主要为农田生境和河流生境，受人类活动影响，生境质量一般，周边野生动物主要为常见物种，受影响的物种在施工期迁移至周边相似的替代生境，施工结束后部分动物回迁，形成新的平衡。总体上影响程度为弱。</w:t>
            </w:r>
          </w:p>
          <w:p w14:paraId="14014E72">
            <w:pPr>
              <w:pStyle w:val="410"/>
              <w:adjustRightInd w:val="0"/>
              <w:snapToGrid w:val="0"/>
              <w:ind w:firstLine="0"/>
              <w:jc w:val="center"/>
              <w:rPr>
                <w:rFonts w:hint="default" w:ascii="Times New Roman" w:hAnsi="Times New Roman" w:cs="Times New Roman"/>
                <w:color w:val="auto"/>
                <w:sz w:val="21"/>
                <w:szCs w:val="21"/>
                <w:highlight w:val="none"/>
                <w:u w:val="single"/>
                <w:lang w:val="en-US"/>
              </w:rPr>
            </w:pPr>
            <w:r>
              <w:rPr>
                <w:rFonts w:hint="eastAsia" w:ascii="Times New Roman" w:cs="Times New Roman"/>
                <w:color w:val="auto"/>
                <w:sz w:val="21"/>
                <w:szCs w:val="21"/>
                <w:highlight w:val="none"/>
                <w:u w:val="single"/>
                <w:lang w:val="en-US" w:eastAsia="zh-CN"/>
              </w:rPr>
              <w:t>施工导流及围堰施工造成占地范围内的底栖生物死亡，鱼类、浮游生物向周边相似生境迁移。项目施工导流、施工围堰占地面积较小，施工结束拆除围堰后，区域生境质量逐步恢复，水生生物回迁，总体上影响程度微弱。</w:t>
            </w:r>
          </w:p>
        </w:tc>
      </w:tr>
      <w:tr w14:paraId="3E8FCB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17" w:type="dxa"/>
            <w:vMerge w:val="continue"/>
            <w:noWrap w:val="0"/>
            <w:vAlign w:val="center"/>
          </w:tcPr>
          <w:p w14:paraId="042C195E">
            <w:pPr>
              <w:pStyle w:val="410"/>
              <w:adjustRightInd w:val="0"/>
              <w:snapToGrid w:val="0"/>
              <w:ind w:firstLine="0"/>
              <w:jc w:val="center"/>
              <w:rPr>
                <w:rFonts w:hint="default" w:ascii="Times New Roman" w:hAnsi="Times New Roman" w:cs="Times New Roman"/>
                <w:color w:val="auto"/>
                <w:sz w:val="21"/>
                <w:szCs w:val="21"/>
                <w:highlight w:val="none"/>
              </w:rPr>
            </w:pPr>
          </w:p>
        </w:tc>
        <w:tc>
          <w:tcPr>
            <w:tcW w:w="776" w:type="dxa"/>
            <w:noWrap w:val="0"/>
            <w:vAlign w:val="center"/>
          </w:tcPr>
          <w:p w14:paraId="4950D7EF">
            <w:pPr>
              <w:pStyle w:val="698"/>
              <w:rPr>
                <w:rFonts w:hint="eastAsia" w:ascii="Times New Roman" w:hAnsi="Times New Roman" w:eastAsia="宋体" w:cs="Times New Roman"/>
                <w:color w:val="auto"/>
                <w:highlight w:val="none"/>
                <w:u w:val="single"/>
                <w:lang w:eastAsia="zh-CN"/>
              </w:rPr>
            </w:pPr>
            <w:r>
              <w:rPr>
                <w:rFonts w:hint="eastAsia" w:ascii="Times New Roman" w:cs="Times New Roman"/>
                <w:color w:val="auto"/>
                <w:highlight w:val="none"/>
                <w:u w:val="single"/>
                <w:lang w:val="en-US" w:eastAsia="zh-CN"/>
              </w:rPr>
              <w:t>生境</w:t>
            </w:r>
          </w:p>
        </w:tc>
        <w:tc>
          <w:tcPr>
            <w:tcW w:w="1102" w:type="dxa"/>
            <w:noWrap w:val="0"/>
            <w:vAlign w:val="center"/>
          </w:tcPr>
          <w:p w14:paraId="5D1A3C40">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生境质量</w:t>
            </w:r>
          </w:p>
        </w:tc>
        <w:tc>
          <w:tcPr>
            <w:tcW w:w="2427" w:type="dxa"/>
            <w:noWrap w:val="0"/>
            <w:vAlign w:val="center"/>
          </w:tcPr>
          <w:p w14:paraId="15963EBD">
            <w:pPr>
              <w:pStyle w:val="410"/>
              <w:numPr>
                <w:ilvl w:val="0"/>
                <w:numId w:val="21"/>
              </w:numPr>
              <w:adjustRightInd w:val="0"/>
              <w:snapToGrid w:val="0"/>
              <w:ind w:firstLine="0"/>
              <w:jc w:val="both"/>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工程内容：水系改造段施工导流及围堰施工；</w:t>
            </w:r>
          </w:p>
          <w:p w14:paraId="707649BF">
            <w:pPr>
              <w:pStyle w:val="698"/>
              <w:jc w:val="both"/>
              <w:rPr>
                <w:rFonts w:hint="default" w:ascii="Times New Roman" w:hAnsi="Times New Roman" w:cs="Times New Roman"/>
                <w:color w:val="auto"/>
                <w:highlight w:val="none"/>
              </w:rPr>
            </w:pPr>
            <w:r>
              <w:rPr>
                <w:rFonts w:hint="eastAsia" w:ascii="Times New Roman" w:cs="Times New Roman"/>
                <w:color w:val="auto"/>
                <w:sz w:val="21"/>
                <w:szCs w:val="21"/>
                <w:highlight w:val="none"/>
                <w:lang w:val="en-US" w:eastAsia="zh-CN"/>
              </w:rPr>
              <w:t>（2）影响方式：</w:t>
            </w:r>
            <w:r>
              <w:rPr>
                <w:rFonts w:hint="default" w:ascii="Times New Roman" w:hAnsi="Times New Roman" w:cs="Times New Roman"/>
                <w:color w:val="auto"/>
                <w:highlight w:val="none"/>
                <w:lang w:val="en-US" w:eastAsia="zh-CN"/>
              </w:rPr>
              <w:t>涉水施工</w:t>
            </w:r>
            <w:r>
              <w:rPr>
                <w:rFonts w:hint="default" w:ascii="Times New Roman" w:hAnsi="Times New Roman" w:cs="Times New Roman"/>
                <w:color w:val="auto"/>
                <w:highlight w:val="none"/>
              </w:rPr>
              <w:t>直接影响</w:t>
            </w:r>
            <w:r>
              <w:rPr>
                <w:rFonts w:hint="eastAsia" w:ascii="Times New Roman" w:cs="Times New Roman"/>
                <w:color w:val="auto"/>
                <w:highlight w:val="none"/>
                <w:lang w:val="en-US" w:eastAsia="zh-CN"/>
              </w:rPr>
              <w:t>生境面积</w:t>
            </w:r>
            <w:r>
              <w:rPr>
                <w:rFonts w:hint="default" w:ascii="Times New Roman" w:hAnsi="Times New Roman" w:cs="Times New Roman"/>
                <w:color w:val="auto"/>
                <w:highlight w:val="none"/>
              </w:rPr>
              <w:t>，间接导致水域生境质量下降</w:t>
            </w:r>
          </w:p>
        </w:tc>
        <w:tc>
          <w:tcPr>
            <w:tcW w:w="892" w:type="dxa"/>
            <w:noWrap w:val="0"/>
            <w:vAlign w:val="center"/>
          </w:tcPr>
          <w:p w14:paraId="6290318D">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短期、可逆</w:t>
            </w:r>
          </w:p>
        </w:tc>
        <w:tc>
          <w:tcPr>
            <w:tcW w:w="2814" w:type="dxa"/>
            <w:noWrap w:val="0"/>
            <w:vAlign w:val="center"/>
          </w:tcPr>
          <w:p w14:paraId="596EB4ED">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弱</w:t>
            </w:r>
          </w:p>
          <w:p w14:paraId="4437058E">
            <w:pPr>
              <w:pStyle w:val="698"/>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施工导流、施工围堰直接影响生境面积减少，施工活动产生的噪声和水体扰动造成水质下降，间接影响生境质量下降。由于项目水系改造段施工导流、施工围堰占地面积较小，占用生境类型为农田生境和河流生境，受人类活动影响较大，周边相似生境分布较为普遍，可替代性强，总体上影响程度为弱。</w:t>
            </w:r>
          </w:p>
        </w:tc>
      </w:tr>
      <w:tr w14:paraId="48226F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17" w:type="dxa"/>
            <w:noWrap w:val="0"/>
            <w:vAlign w:val="center"/>
          </w:tcPr>
          <w:p w14:paraId="308DEAA3">
            <w:pPr>
              <w:pStyle w:val="410"/>
              <w:adjustRightInd w:val="0"/>
              <w:snapToGrid w:val="0"/>
              <w:ind w:firstLine="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运营期</w:t>
            </w:r>
          </w:p>
        </w:tc>
        <w:tc>
          <w:tcPr>
            <w:tcW w:w="776" w:type="dxa"/>
            <w:noWrap w:val="0"/>
            <w:vAlign w:val="center"/>
          </w:tcPr>
          <w:p w14:paraId="4723A859">
            <w:pPr>
              <w:pStyle w:val="410"/>
              <w:adjustRightInd w:val="0"/>
              <w:snapToGrid w:val="0"/>
              <w:ind w:firstLine="0"/>
              <w:jc w:val="center"/>
              <w:rPr>
                <w:rFonts w:hint="default" w:ascii="Times New Roman" w:hAnsi="Times New Roman" w:eastAsia="宋体" w:cs="Times New Roman"/>
                <w:color w:val="auto"/>
                <w:sz w:val="21"/>
                <w:szCs w:val="21"/>
                <w:highlight w:val="none"/>
                <w:u w:val="single"/>
                <w:lang w:val="en-US" w:eastAsia="zh-CN"/>
              </w:rPr>
            </w:pPr>
            <w:r>
              <w:rPr>
                <w:rFonts w:hint="eastAsia" w:ascii="Times New Roman" w:cs="Times New Roman"/>
                <w:color w:val="auto"/>
                <w:sz w:val="21"/>
                <w:szCs w:val="21"/>
                <w:highlight w:val="none"/>
                <w:u w:val="single"/>
                <w:lang w:val="en-US" w:eastAsia="zh-CN"/>
              </w:rPr>
              <w:t>物种</w:t>
            </w:r>
          </w:p>
        </w:tc>
        <w:tc>
          <w:tcPr>
            <w:tcW w:w="1102" w:type="dxa"/>
            <w:noWrap w:val="0"/>
            <w:vAlign w:val="center"/>
          </w:tcPr>
          <w:p w14:paraId="68A0213B">
            <w:pPr>
              <w:pStyle w:val="41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分布范围</w:t>
            </w:r>
          </w:p>
        </w:tc>
        <w:tc>
          <w:tcPr>
            <w:tcW w:w="2427" w:type="dxa"/>
            <w:noWrap w:val="0"/>
            <w:vAlign w:val="center"/>
          </w:tcPr>
          <w:p w14:paraId="6060214A">
            <w:pPr>
              <w:pStyle w:val="410"/>
              <w:numPr>
                <w:ilvl w:val="0"/>
                <w:numId w:val="22"/>
              </w:numPr>
              <w:adjustRightInd w:val="0"/>
              <w:snapToGrid w:val="0"/>
              <w:ind w:firstLine="0"/>
              <w:jc w:val="both"/>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工程内容：水系改造；</w:t>
            </w:r>
          </w:p>
          <w:p w14:paraId="57E78388">
            <w:pPr>
              <w:pStyle w:val="410"/>
              <w:adjustRightInd w:val="0"/>
              <w:snapToGrid w:val="0"/>
              <w:ind w:firstLine="0"/>
              <w:jc w:val="both"/>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（2）影响方式：</w:t>
            </w:r>
            <w:r>
              <w:rPr>
                <w:rFonts w:hint="default" w:ascii="Times New Roman" w:hAnsi="Times New Roman" w:cs="Times New Roman"/>
                <w:color w:val="auto"/>
                <w:sz w:val="21"/>
                <w:szCs w:val="21"/>
                <w:highlight w:val="none"/>
                <w:lang w:val="en-US" w:eastAsia="zh-CN"/>
              </w:rPr>
              <w:t>水系改造段建成后对淡水湾江水生生物分布范围造成影响</w:t>
            </w:r>
          </w:p>
        </w:tc>
        <w:tc>
          <w:tcPr>
            <w:tcW w:w="892" w:type="dxa"/>
            <w:noWrap w:val="0"/>
            <w:vAlign w:val="center"/>
          </w:tcPr>
          <w:p w14:paraId="5470D4DB">
            <w:pPr>
              <w:pStyle w:val="41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长期、不可逆</w:t>
            </w:r>
          </w:p>
        </w:tc>
        <w:tc>
          <w:tcPr>
            <w:tcW w:w="2814" w:type="dxa"/>
            <w:noWrap w:val="0"/>
            <w:vAlign w:val="center"/>
          </w:tcPr>
          <w:p w14:paraId="3295D44A">
            <w:pPr>
              <w:pStyle w:val="41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弱</w:t>
            </w:r>
          </w:p>
          <w:p w14:paraId="07F9E8F8">
            <w:pPr>
              <w:pStyle w:val="410"/>
              <w:adjustRightInd w:val="0"/>
              <w:snapToGrid w:val="0"/>
              <w:ind w:firstLine="0"/>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项目建成后水生生物会逐渐适应新的水文条件，新建水渠内的水生生物数量增加，形成新的生态平衡，对水生生态分布范围影响较弱。</w:t>
            </w:r>
          </w:p>
        </w:tc>
      </w:tr>
    </w:tbl>
    <w:p w14:paraId="0065EFF5">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bookmarkStart w:id="21" w:name="_Ref109375698"/>
      <w:r>
        <w:rPr>
          <w:rFonts w:hint="eastAsia"/>
          <w:color w:val="auto"/>
          <w:highlight w:val="none"/>
          <w:lang w:val="en-US" w:eastAsia="zh-CN"/>
        </w:rPr>
        <w:t>项目环境影响评价因子矩阵筛选</w:t>
      </w:r>
    </w:p>
    <w:tbl>
      <w:tblPr>
        <w:tblStyle w:val="87"/>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30"/>
        <w:gridCol w:w="2461"/>
        <w:gridCol w:w="526"/>
        <w:gridCol w:w="588"/>
        <w:gridCol w:w="597"/>
        <w:gridCol w:w="609"/>
        <w:gridCol w:w="893"/>
        <w:gridCol w:w="1255"/>
        <w:gridCol w:w="764"/>
      </w:tblGrid>
      <w:tr w14:paraId="5F6924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0" w:type="pct"/>
            <w:vMerge w:val="restart"/>
            <w:noWrap w:val="0"/>
            <w:vAlign w:val="center"/>
          </w:tcPr>
          <w:p w14:paraId="7BBF6D4F">
            <w:pPr>
              <w:pStyle w:val="410"/>
              <w:adjustRightInd w:val="0"/>
              <w:snapToGrid w:val="0"/>
              <w:ind w:firstLine="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cs="Times New Roman"/>
                <w:b/>
                <w:bCs/>
                <w:color w:val="auto"/>
                <w:sz w:val="21"/>
                <w:szCs w:val="21"/>
                <w:highlight w:val="none"/>
                <w:lang w:val="en-US" w:eastAsia="zh-CN"/>
              </w:rPr>
              <w:t>时段</w:t>
            </w:r>
          </w:p>
        </w:tc>
        <w:tc>
          <w:tcPr>
            <w:tcW w:w="1394" w:type="pct"/>
            <w:tcBorders>
              <w:bottom w:val="single" w:color="auto" w:sz="4" w:space="0"/>
            </w:tcBorders>
            <w:noWrap w:val="0"/>
            <w:vAlign w:val="center"/>
          </w:tcPr>
          <w:p w14:paraId="405A1389">
            <w:pPr>
              <w:pStyle w:val="410"/>
              <w:adjustRightInd w:val="0"/>
              <w:snapToGrid w:val="0"/>
              <w:ind w:firstLine="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cs="Times New Roman"/>
                <w:b/>
                <w:bCs/>
                <w:color w:val="auto"/>
                <w:sz w:val="21"/>
                <w:szCs w:val="21"/>
                <w:highlight w:val="none"/>
                <w:lang w:val="en-US" w:eastAsia="zh-CN"/>
              </w:rPr>
              <w:t>环境问题</w:t>
            </w:r>
          </w:p>
        </w:tc>
        <w:tc>
          <w:tcPr>
            <w:tcW w:w="1314" w:type="pct"/>
            <w:gridSpan w:val="4"/>
            <w:noWrap w:val="0"/>
            <w:vAlign w:val="center"/>
          </w:tcPr>
          <w:p w14:paraId="381B0AE3">
            <w:pPr>
              <w:pStyle w:val="410"/>
              <w:adjustRightInd w:val="0"/>
              <w:snapToGrid w:val="0"/>
              <w:ind w:firstLine="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cs="Times New Roman"/>
                <w:b/>
                <w:bCs/>
                <w:color w:val="auto"/>
                <w:sz w:val="21"/>
                <w:szCs w:val="21"/>
                <w:highlight w:val="none"/>
                <w:lang w:val="en-US" w:eastAsia="zh-CN"/>
              </w:rPr>
              <w:t>自然（污染环境）</w:t>
            </w:r>
          </w:p>
        </w:tc>
        <w:tc>
          <w:tcPr>
            <w:tcW w:w="1650" w:type="pct"/>
            <w:gridSpan w:val="3"/>
            <w:noWrap w:val="0"/>
            <w:vAlign w:val="center"/>
          </w:tcPr>
          <w:p w14:paraId="180C6404">
            <w:pPr>
              <w:pStyle w:val="410"/>
              <w:adjustRightInd w:val="0"/>
              <w:snapToGrid w:val="0"/>
              <w:ind w:firstLine="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cs="Times New Roman"/>
                <w:b/>
                <w:bCs/>
                <w:color w:val="auto"/>
                <w:sz w:val="21"/>
                <w:szCs w:val="21"/>
                <w:highlight w:val="none"/>
                <w:lang w:val="en-US" w:eastAsia="zh-CN"/>
              </w:rPr>
              <w:t>生态环境</w:t>
            </w:r>
          </w:p>
        </w:tc>
      </w:tr>
      <w:tr w14:paraId="0B0E8F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0" w:type="pct"/>
            <w:vMerge w:val="continue"/>
            <w:noWrap w:val="0"/>
            <w:vAlign w:val="center"/>
          </w:tcPr>
          <w:p w14:paraId="44CD61DE">
            <w:pPr>
              <w:pStyle w:val="410"/>
              <w:adjustRightInd w:val="0"/>
              <w:snapToGrid w:val="0"/>
              <w:ind w:firstLine="0"/>
              <w:jc w:val="center"/>
              <w:rPr>
                <w:rFonts w:hint="eastAsia" w:ascii="Times New Roman" w:cs="Times New Roman"/>
                <w:b/>
                <w:bCs/>
                <w:color w:val="auto"/>
                <w:sz w:val="21"/>
                <w:szCs w:val="21"/>
                <w:highlight w:val="none"/>
                <w:lang w:val="en-US" w:eastAsia="zh-CN"/>
              </w:rPr>
            </w:pPr>
          </w:p>
        </w:tc>
        <w:tc>
          <w:tcPr>
            <w:tcW w:w="1394" w:type="pct"/>
            <w:tcBorders>
              <w:top w:val="single" w:color="auto" w:sz="4" w:space="0"/>
            </w:tcBorders>
            <w:noWrap w:val="0"/>
            <w:vAlign w:val="center"/>
          </w:tcPr>
          <w:p w14:paraId="137C5D65">
            <w:pPr>
              <w:pStyle w:val="410"/>
              <w:adjustRightInd w:val="0"/>
              <w:snapToGrid w:val="0"/>
              <w:ind w:firstLine="0"/>
              <w:jc w:val="center"/>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影响因素</w:t>
            </w:r>
          </w:p>
          <w:p w14:paraId="4BA19157">
            <w:pPr>
              <w:pStyle w:val="410"/>
              <w:adjustRightInd w:val="0"/>
              <w:snapToGrid w:val="0"/>
              <w:ind w:firstLine="0"/>
              <w:jc w:val="center"/>
              <w:rPr>
                <w:rFonts w:hint="default" w:ascii="Times New Roman" w:cs="Times New Roman"/>
                <w:b/>
                <w:bCs/>
                <w:color w:val="auto"/>
                <w:sz w:val="21"/>
                <w:szCs w:val="21"/>
                <w:highlight w:val="none"/>
                <w:lang w:val="en-US" w:eastAsia="zh-CN"/>
              </w:rPr>
            </w:pPr>
            <w:r>
              <w:rPr>
                <w:rFonts w:hint="eastAsia" w:ascii="Times New Roman" w:cs="Times New Roman"/>
                <w:color w:val="auto"/>
                <w:sz w:val="21"/>
                <w:szCs w:val="21"/>
                <w:highlight w:val="none"/>
                <w:lang w:val="en-US" w:eastAsia="zh-CN"/>
              </w:rPr>
              <w:t>工程活动</w:t>
            </w:r>
          </w:p>
        </w:tc>
        <w:tc>
          <w:tcPr>
            <w:tcW w:w="298" w:type="pct"/>
            <w:tcBorders>
              <w:right w:val="single" w:color="auto" w:sz="4" w:space="0"/>
            </w:tcBorders>
            <w:noWrap w:val="0"/>
            <w:vAlign w:val="center"/>
          </w:tcPr>
          <w:p w14:paraId="3504BEE0">
            <w:pPr>
              <w:pStyle w:val="410"/>
              <w:adjustRightInd w:val="0"/>
              <w:snapToGrid w:val="0"/>
              <w:ind w:firstLine="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cs="Times New Roman"/>
                <w:b/>
                <w:bCs/>
                <w:color w:val="auto"/>
                <w:sz w:val="21"/>
                <w:szCs w:val="21"/>
                <w:highlight w:val="none"/>
                <w:lang w:val="en-US" w:eastAsia="zh-CN"/>
              </w:rPr>
              <w:t>噪声</w:t>
            </w:r>
          </w:p>
        </w:tc>
        <w:tc>
          <w:tcPr>
            <w:tcW w:w="333" w:type="pct"/>
            <w:tcBorders>
              <w:left w:val="single" w:color="auto" w:sz="4" w:space="0"/>
              <w:right w:val="single" w:color="auto" w:sz="4" w:space="0"/>
            </w:tcBorders>
            <w:noWrap w:val="0"/>
            <w:vAlign w:val="center"/>
          </w:tcPr>
          <w:p w14:paraId="7CDB5ED2">
            <w:pPr>
              <w:pStyle w:val="410"/>
              <w:adjustRightInd w:val="0"/>
              <w:snapToGrid w:val="0"/>
              <w:ind w:firstLine="0"/>
              <w:jc w:val="center"/>
              <w:rPr>
                <w:rFonts w:hint="default" w:ascii="Times New Roman" w:cs="Times New Roman"/>
                <w:b/>
                <w:bCs/>
                <w:color w:val="auto"/>
                <w:sz w:val="21"/>
                <w:szCs w:val="21"/>
                <w:highlight w:val="none"/>
                <w:lang w:val="en-US" w:eastAsia="zh-CN"/>
              </w:rPr>
            </w:pPr>
            <w:r>
              <w:rPr>
                <w:rFonts w:hint="eastAsia" w:ascii="Times New Roman" w:cs="Times New Roman"/>
                <w:b/>
                <w:bCs/>
                <w:color w:val="auto"/>
                <w:sz w:val="21"/>
                <w:szCs w:val="21"/>
                <w:highlight w:val="none"/>
                <w:lang w:val="en-US" w:eastAsia="zh-CN"/>
              </w:rPr>
              <w:t>水环境</w:t>
            </w:r>
          </w:p>
        </w:tc>
        <w:tc>
          <w:tcPr>
            <w:tcW w:w="338" w:type="pct"/>
            <w:tcBorders>
              <w:left w:val="single" w:color="auto" w:sz="4" w:space="0"/>
              <w:right w:val="single" w:color="auto" w:sz="4" w:space="0"/>
            </w:tcBorders>
            <w:noWrap w:val="0"/>
            <w:vAlign w:val="center"/>
          </w:tcPr>
          <w:p w14:paraId="3C438800">
            <w:pPr>
              <w:pStyle w:val="410"/>
              <w:adjustRightInd w:val="0"/>
              <w:snapToGrid w:val="0"/>
              <w:ind w:firstLine="0"/>
              <w:jc w:val="center"/>
              <w:rPr>
                <w:rFonts w:hint="default" w:ascii="Times New Roman" w:cs="Times New Roman"/>
                <w:b/>
                <w:bCs/>
                <w:color w:val="auto"/>
                <w:sz w:val="21"/>
                <w:szCs w:val="21"/>
                <w:highlight w:val="none"/>
                <w:lang w:val="en-US" w:eastAsia="zh-CN"/>
              </w:rPr>
            </w:pPr>
            <w:r>
              <w:rPr>
                <w:rFonts w:hint="eastAsia" w:ascii="Times New Roman" w:cs="Times New Roman"/>
                <w:b/>
                <w:bCs/>
                <w:color w:val="auto"/>
                <w:sz w:val="21"/>
                <w:szCs w:val="21"/>
                <w:highlight w:val="none"/>
                <w:lang w:val="en-US" w:eastAsia="zh-CN"/>
              </w:rPr>
              <w:t>大气</w:t>
            </w:r>
          </w:p>
        </w:tc>
        <w:tc>
          <w:tcPr>
            <w:tcW w:w="345" w:type="pct"/>
            <w:tcBorders>
              <w:left w:val="single" w:color="auto" w:sz="4" w:space="0"/>
            </w:tcBorders>
            <w:noWrap w:val="0"/>
            <w:vAlign w:val="center"/>
          </w:tcPr>
          <w:p w14:paraId="7004A116">
            <w:pPr>
              <w:pStyle w:val="410"/>
              <w:adjustRightInd w:val="0"/>
              <w:snapToGrid w:val="0"/>
              <w:ind w:firstLine="0"/>
              <w:jc w:val="center"/>
              <w:rPr>
                <w:rFonts w:hint="default" w:ascii="Times New Roman" w:cs="Times New Roman"/>
                <w:b/>
                <w:bCs/>
                <w:color w:val="auto"/>
                <w:sz w:val="21"/>
                <w:szCs w:val="21"/>
                <w:highlight w:val="none"/>
                <w:lang w:val="en-US" w:eastAsia="zh-CN"/>
              </w:rPr>
            </w:pPr>
            <w:r>
              <w:rPr>
                <w:rFonts w:hint="eastAsia" w:ascii="Times New Roman" w:cs="Times New Roman"/>
                <w:b/>
                <w:bCs/>
                <w:color w:val="auto"/>
                <w:sz w:val="21"/>
                <w:szCs w:val="21"/>
                <w:highlight w:val="none"/>
                <w:lang w:val="en-US" w:eastAsia="zh-CN"/>
              </w:rPr>
              <w:t>振动</w:t>
            </w:r>
          </w:p>
        </w:tc>
        <w:tc>
          <w:tcPr>
            <w:tcW w:w="506" w:type="pct"/>
            <w:tcBorders>
              <w:right w:val="single" w:color="auto" w:sz="4" w:space="0"/>
            </w:tcBorders>
            <w:noWrap w:val="0"/>
            <w:vAlign w:val="center"/>
          </w:tcPr>
          <w:p w14:paraId="10AA8B73">
            <w:pPr>
              <w:pStyle w:val="410"/>
              <w:adjustRightInd w:val="0"/>
              <w:snapToGrid w:val="0"/>
              <w:ind w:firstLine="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cs="Times New Roman"/>
                <w:b/>
                <w:bCs/>
                <w:color w:val="auto"/>
                <w:sz w:val="21"/>
                <w:szCs w:val="21"/>
                <w:highlight w:val="none"/>
                <w:lang w:val="en-US" w:eastAsia="zh-CN"/>
              </w:rPr>
              <w:t>水生生态</w:t>
            </w:r>
          </w:p>
        </w:tc>
        <w:tc>
          <w:tcPr>
            <w:tcW w:w="711" w:type="pct"/>
            <w:tcBorders>
              <w:left w:val="single" w:color="auto" w:sz="4" w:space="0"/>
              <w:right w:val="single" w:color="auto" w:sz="4" w:space="0"/>
            </w:tcBorders>
            <w:noWrap w:val="0"/>
            <w:vAlign w:val="center"/>
          </w:tcPr>
          <w:p w14:paraId="3A39547A">
            <w:pPr>
              <w:pStyle w:val="410"/>
              <w:adjustRightInd w:val="0"/>
              <w:snapToGrid w:val="0"/>
              <w:ind w:firstLine="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cs="Times New Roman"/>
                <w:b/>
                <w:bCs/>
                <w:color w:val="auto"/>
                <w:sz w:val="21"/>
                <w:szCs w:val="21"/>
                <w:highlight w:val="none"/>
                <w:lang w:val="en-US" w:eastAsia="zh-CN"/>
              </w:rPr>
              <w:t>陆生生态</w:t>
            </w:r>
          </w:p>
        </w:tc>
        <w:tc>
          <w:tcPr>
            <w:tcW w:w="432" w:type="pct"/>
            <w:tcBorders>
              <w:left w:val="single" w:color="auto" w:sz="4" w:space="0"/>
            </w:tcBorders>
            <w:noWrap w:val="0"/>
            <w:vAlign w:val="center"/>
          </w:tcPr>
          <w:p w14:paraId="1767EA2C">
            <w:pPr>
              <w:pStyle w:val="410"/>
              <w:adjustRightInd w:val="0"/>
              <w:snapToGrid w:val="0"/>
              <w:ind w:firstLine="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cs="Times New Roman"/>
                <w:b/>
                <w:bCs/>
                <w:color w:val="auto"/>
                <w:sz w:val="21"/>
                <w:szCs w:val="21"/>
                <w:highlight w:val="none"/>
                <w:lang w:val="en-US" w:eastAsia="zh-CN"/>
              </w:rPr>
              <w:t>水土流失</w:t>
            </w:r>
          </w:p>
        </w:tc>
      </w:tr>
      <w:tr w14:paraId="20DE5E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0" w:type="pct"/>
            <w:vMerge w:val="restart"/>
            <w:noWrap w:val="0"/>
            <w:vAlign w:val="center"/>
          </w:tcPr>
          <w:p w14:paraId="42FB60AB">
            <w:pPr>
              <w:pStyle w:val="410"/>
              <w:adjustRightInd w:val="0"/>
              <w:snapToGrid w:val="0"/>
              <w:ind w:firstLine="0"/>
              <w:jc w:val="center"/>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施工期</w:t>
            </w:r>
          </w:p>
        </w:tc>
        <w:tc>
          <w:tcPr>
            <w:tcW w:w="1394" w:type="pct"/>
            <w:noWrap w:val="0"/>
            <w:vAlign w:val="center"/>
          </w:tcPr>
          <w:p w14:paraId="1C2FC01B">
            <w:pPr>
              <w:pStyle w:val="410"/>
              <w:adjustRightInd w:val="0"/>
              <w:snapToGrid w:val="0"/>
              <w:ind w:firstLine="0"/>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施工准备</w:t>
            </w:r>
          </w:p>
        </w:tc>
        <w:tc>
          <w:tcPr>
            <w:tcW w:w="298" w:type="pct"/>
            <w:tcBorders>
              <w:right w:val="single" w:color="auto" w:sz="4" w:space="0"/>
            </w:tcBorders>
            <w:noWrap w:val="0"/>
            <w:vAlign w:val="center"/>
          </w:tcPr>
          <w:p w14:paraId="5EE1566B">
            <w:pPr>
              <w:pStyle w:val="410"/>
              <w:adjustRightInd w:val="0"/>
              <w:snapToGrid w:val="0"/>
              <w:ind w:firstLine="0"/>
              <w:jc w:val="center"/>
              <w:rPr>
                <w:rFonts w:hint="default" w:ascii="Times New Roman" w:hAnsi="Times New Roman" w:cs="Times New Roman"/>
                <w:color w:val="auto"/>
                <w:sz w:val="21"/>
                <w:szCs w:val="21"/>
                <w:highlight w:val="none"/>
              </w:rPr>
            </w:pPr>
          </w:p>
        </w:tc>
        <w:tc>
          <w:tcPr>
            <w:tcW w:w="333" w:type="pct"/>
            <w:tcBorders>
              <w:left w:val="single" w:color="auto" w:sz="4" w:space="0"/>
              <w:right w:val="single" w:color="auto" w:sz="4" w:space="0"/>
            </w:tcBorders>
            <w:noWrap w:val="0"/>
            <w:vAlign w:val="center"/>
          </w:tcPr>
          <w:p w14:paraId="207E0B6B">
            <w:pPr>
              <w:pStyle w:val="410"/>
              <w:adjustRightInd w:val="0"/>
              <w:snapToGrid w:val="0"/>
              <w:ind w:firstLine="0"/>
              <w:jc w:val="center"/>
              <w:rPr>
                <w:rFonts w:hint="default" w:ascii="Times New Roman" w:hAnsi="Times New Roman" w:cs="Times New Roman"/>
                <w:color w:val="auto"/>
                <w:sz w:val="21"/>
                <w:szCs w:val="21"/>
                <w:highlight w:val="none"/>
              </w:rPr>
            </w:pPr>
          </w:p>
        </w:tc>
        <w:tc>
          <w:tcPr>
            <w:tcW w:w="338" w:type="pct"/>
            <w:tcBorders>
              <w:left w:val="single" w:color="auto" w:sz="4" w:space="0"/>
              <w:right w:val="single" w:color="auto" w:sz="4" w:space="0"/>
            </w:tcBorders>
            <w:noWrap w:val="0"/>
            <w:vAlign w:val="center"/>
          </w:tcPr>
          <w:p w14:paraId="47B6F260">
            <w:pPr>
              <w:pStyle w:val="410"/>
              <w:adjustRightInd w:val="0"/>
              <w:snapToGrid w:val="0"/>
              <w:ind w:firstLine="0"/>
              <w:jc w:val="center"/>
              <w:rPr>
                <w:rFonts w:hint="default" w:ascii="Times New Roman" w:hAnsi="Times New Roman" w:cs="Times New Roman"/>
                <w:color w:val="auto"/>
                <w:sz w:val="21"/>
                <w:szCs w:val="21"/>
                <w:highlight w:val="none"/>
              </w:rPr>
            </w:pPr>
          </w:p>
        </w:tc>
        <w:tc>
          <w:tcPr>
            <w:tcW w:w="345" w:type="pct"/>
            <w:tcBorders>
              <w:left w:val="single" w:color="auto" w:sz="4" w:space="0"/>
            </w:tcBorders>
            <w:noWrap w:val="0"/>
            <w:vAlign w:val="center"/>
          </w:tcPr>
          <w:p w14:paraId="39E59B64">
            <w:pPr>
              <w:pStyle w:val="410"/>
              <w:adjustRightInd w:val="0"/>
              <w:snapToGrid w:val="0"/>
              <w:ind w:firstLine="0"/>
              <w:jc w:val="center"/>
              <w:rPr>
                <w:rFonts w:hint="default" w:ascii="Times New Roman" w:hAnsi="Times New Roman" w:cs="Times New Roman"/>
                <w:color w:val="auto"/>
                <w:sz w:val="21"/>
                <w:szCs w:val="21"/>
                <w:highlight w:val="none"/>
              </w:rPr>
            </w:pPr>
          </w:p>
        </w:tc>
        <w:tc>
          <w:tcPr>
            <w:tcW w:w="506" w:type="pct"/>
            <w:tcBorders>
              <w:right w:val="single" w:color="auto" w:sz="4" w:space="0"/>
            </w:tcBorders>
            <w:noWrap w:val="0"/>
            <w:vAlign w:val="center"/>
          </w:tcPr>
          <w:p w14:paraId="57BDF523">
            <w:pPr>
              <w:pStyle w:val="410"/>
              <w:adjustRightInd w:val="0"/>
              <w:snapToGrid w:val="0"/>
              <w:ind w:firstLine="0"/>
              <w:jc w:val="center"/>
              <w:rPr>
                <w:rFonts w:hint="default" w:ascii="Times New Roman" w:hAnsi="Times New Roman" w:cs="Times New Roman"/>
                <w:color w:val="auto"/>
                <w:sz w:val="21"/>
                <w:szCs w:val="21"/>
                <w:highlight w:val="none"/>
              </w:rPr>
            </w:pPr>
          </w:p>
        </w:tc>
        <w:tc>
          <w:tcPr>
            <w:tcW w:w="711" w:type="pct"/>
            <w:tcBorders>
              <w:left w:val="single" w:color="auto" w:sz="4" w:space="0"/>
              <w:right w:val="single" w:color="auto" w:sz="4" w:space="0"/>
            </w:tcBorders>
            <w:noWrap w:val="0"/>
            <w:vAlign w:val="center"/>
          </w:tcPr>
          <w:p w14:paraId="486DFE63">
            <w:pPr>
              <w:pStyle w:val="410"/>
              <w:adjustRightInd w:val="0"/>
              <w:snapToGrid w:val="0"/>
              <w:ind w:firstLine="0"/>
              <w:jc w:val="center"/>
              <w:rPr>
                <w:rFonts w:hint="default" w:ascii="Times New Roman" w:hAnsi="Times New Roman" w:cs="Times New Roman"/>
                <w:color w:val="auto"/>
                <w:sz w:val="21"/>
                <w:szCs w:val="21"/>
                <w:highlight w:val="none"/>
              </w:rPr>
            </w:pPr>
          </w:p>
        </w:tc>
        <w:tc>
          <w:tcPr>
            <w:tcW w:w="432" w:type="pct"/>
            <w:tcBorders>
              <w:left w:val="single" w:color="auto" w:sz="4" w:space="0"/>
            </w:tcBorders>
            <w:noWrap w:val="0"/>
            <w:vAlign w:val="center"/>
          </w:tcPr>
          <w:p w14:paraId="418C018A">
            <w:pPr>
              <w:pStyle w:val="410"/>
              <w:adjustRightInd w:val="0"/>
              <w:snapToGrid w:val="0"/>
              <w:ind w:firstLine="0"/>
              <w:jc w:val="center"/>
              <w:rPr>
                <w:rFonts w:hint="default" w:ascii="Times New Roman" w:hAnsi="Times New Roman" w:cs="Times New Roman"/>
                <w:color w:val="auto"/>
                <w:sz w:val="21"/>
                <w:szCs w:val="21"/>
                <w:highlight w:val="none"/>
              </w:rPr>
            </w:pPr>
          </w:p>
        </w:tc>
      </w:tr>
      <w:tr w14:paraId="49CE85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0" w:type="pct"/>
            <w:vMerge w:val="continue"/>
            <w:noWrap w:val="0"/>
            <w:vAlign w:val="center"/>
          </w:tcPr>
          <w:p w14:paraId="7C6C9832">
            <w:pPr>
              <w:pStyle w:val="410"/>
              <w:adjustRightInd w:val="0"/>
              <w:snapToGrid w:val="0"/>
              <w:ind w:firstLine="0"/>
              <w:jc w:val="center"/>
              <w:rPr>
                <w:rFonts w:hint="default" w:ascii="Times New Roman" w:hAnsi="Times New Roman" w:cs="Times New Roman"/>
                <w:color w:val="auto"/>
                <w:sz w:val="21"/>
                <w:szCs w:val="21"/>
                <w:highlight w:val="none"/>
              </w:rPr>
            </w:pPr>
          </w:p>
        </w:tc>
        <w:tc>
          <w:tcPr>
            <w:tcW w:w="1394" w:type="pct"/>
            <w:noWrap w:val="0"/>
            <w:vAlign w:val="center"/>
          </w:tcPr>
          <w:p w14:paraId="414D1F47">
            <w:pPr>
              <w:pStyle w:val="410"/>
              <w:adjustRightInd w:val="0"/>
              <w:snapToGrid w:val="0"/>
              <w:ind w:firstLine="0"/>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土石方工程（回填工程、清淤工程）</w:t>
            </w:r>
          </w:p>
        </w:tc>
        <w:tc>
          <w:tcPr>
            <w:tcW w:w="298" w:type="pct"/>
            <w:tcBorders>
              <w:right w:val="single" w:color="auto" w:sz="4" w:space="0"/>
            </w:tcBorders>
            <w:noWrap w:val="0"/>
            <w:vAlign w:val="center"/>
          </w:tcPr>
          <w:p w14:paraId="0EC83D2D">
            <w:pPr>
              <w:pStyle w:val="410"/>
              <w:adjustRightInd w:val="0"/>
              <w:snapToGrid w:val="0"/>
              <w:ind w:firstLine="0"/>
              <w:jc w:val="center"/>
              <w:rPr>
                <w:rFonts w:hint="default" w:ascii="Times New Roman" w:hAnsi="Times New Roman" w:cs="Times New Roman"/>
                <w:color w:val="auto"/>
                <w:sz w:val="21"/>
                <w:szCs w:val="21"/>
                <w:highlight w:val="none"/>
              </w:rPr>
            </w:pPr>
            <w:r>
              <w:rPr>
                <w:rFonts w:hint="eastAsia" w:ascii="宋体" w:hAnsi="宋体" w:eastAsia="宋体" w:cs="宋体"/>
                <w:b w:val="0"/>
                <w:bCs w:val="0"/>
                <w:color w:val="auto"/>
                <w:sz w:val="18"/>
                <w:szCs w:val="18"/>
                <w:highlight w:val="none"/>
              </w:rPr>
              <w:t>▲-</w:t>
            </w:r>
          </w:p>
        </w:tc>
        <w:tc>
          <w:tcPr>
            <w:tcW w:w="333" w:type="pct"/>
            <w:tcBorders>
              <w:left w:val="single" w:color="auto" w:sz="4" w:space="0"/>
              <w:right w:val="single" w:color="auto" w:sz="4" w:space="0"/>
            </w:tcBorders>
            <w:noWrap w:val="0"/>
            <w:vAlign w:val="center"/>
          </w:tcPr>
          <w:p w14:paraId="7608479D">
            <w:pPr>
              <w:pStyle w:val="410"/>
              <w:adjustRightInd w:val="0"/>
              <w:snapToGrid w:val="0"/>
              <w:ind w:firstLine="0"/>
              <w:jc w:val="center"/>
              <w:rPr>
                <w:rFonts w:hint="default" w:ascii="Times New Roman" w:hAnsi="Times New Roman" w:cs="Times New Roman"/>
                <w:color w:val="auto"/>
                <w:sz w:val="21"/>
                <w:szCs w:val="21"/>
                <w:highlight w:val="none"/>
              </w:rPr>
            </w:pPr>
            <w:r>
              <w:rPr>
                <w:rFonts w:hint="eastAsia" w:ascii="宋体" w:hAnsi="宋体" w:eastAsia="宋体" w:cs="宋体"/>
                <w:b w:val="0"/>
                <w:bCs w:val="0"/>
                <w:color w:val="auto"/>
                <w:sz w:val="18"/>
                <w:szCs w:val="18"/>
                <w:highlight w:val="none"/>
              </w:rPr>
              <w:t>○-</w:t>
            </w:r>
          </w:p>
        </w:tc>
        <w:tc>
          <w:tcPr>
            <w:tcW w:w="338" w:type="pct"/>
            <w:tcBorders>
              <w:left w:val="single" w:color="auto" w:sz="4" w:space="0"/>
              <w:right w:val="single" w:color="auto" w:sz="4" w:space="0"/>
            </w:tcBorders>
            <w:noWrap w:val="0"/>
            <w:vAlign w:val="center"/>
          </w:tcPr>
          <w:p w14:paraId="7FE9FF04">
            <w:pPr>
              <w:pStyle w:val="410"/>
              <w:adjustRightInd w:val="0"/>
              <w:snapToGrid w:val="0"/>
              <w:ind w:firstLine="0"/>
              <w:jc w:val="center"/>
              <w:rPr>
                <w:rFonts w:hint="default" w:ascii="Times New Roman" w:hAnsi="Times New Roman" w:cs="Times New Roman"/>
                <w:color w:val="auto"/>
                <w:sz w:val="21"/>
                <w:szCs w:val="21"/>
                <w:highlight w:val="none"/>
              </w:rPr>
            </w:pPr>
            <w:r>
              <w:rPr>
                <w:rFonts w:hint="eastAsia" w:ascii="宋体" w:hAnsi="宋体" w:eastAsia="宋体" w:cs="宋体"/>
                <w:b w:val="0"/>
                <w:bCs w:val="0"/>
                <w:color w:val="auto"/>
                <w:sz w:val="18"/>
                <w:szCs w:val="18"/>
                <w:highlight w:val="none"/>
              </w:rPr>
              <w:t>▲-</w:t>
            </w:r>
          </w:p>
        </w:tc>
        <w:tc>
          <w:tcPr>
            <w:tcW w:w="345" w:type="pct"/>
            <w:tcBorders>
              <w:left w:val="single" w:color="auto" w:sz="4" w:space="0"/>
            </w:tcBorders>
            <w:noWrap w:val="0"/>
            <w:vAlign w:val="center"/>
          </w:tcPr>
          <w:p w14:paraId="66E0A9D0">
            <w:pPr>
              <w:pStyle w:val="410"/>
              <w:adjustRightInd w:val="0"/>
              <w:snapToGrid w:val="0"/>
              <w:ind w:firstLine="0"/>
              <w:jc w:val="center"/>
              <w:rPr>
                <w:rFonts w:hint="default" w:ascii="Times New Roman" w:hAnsi="Times New Roman" w:cs="Times New Roman"/>
                <w:color w:val="auto"/>
                <w:sz w:val="21"/>
                <w:szCs w:val="21"/>
                <w:highlight w:val="none"/>
              </w:rPr>
            </w:pPr>
          </w:p>
        </w:tc>
        <w:tc>
          <w:tcPr>
            <w:tcW w:w="506" w:type="pct"/>
            <w:tcBorders>
              <w:right w:val="single" w:color="auto" w:sz="4" w:space="0"/>
            </w:tcBorders>
            <w:noWrap w:val="0"/>
            <w:vAlign w:val="center"/>
          </w:tcPr>
          <w:p w14:paraId="7AB3198B">
            <w:pPr>
              <w:pStyle w:val="410"/>
              <w:adjustRightInd w:val="0"/>
              <w:snapToGrid w:val="0"/>
              <w:ind w:firstLine="0"/>
              <w:jc w:val="center"/>
              <w:rPr>
                <w:rFonts w:hint="default" w:ascii="Times New Roman" w:hAnsi="Times New Roman" w:cs="Times New Roman"/>
                <w:color w:val="auto"/>
                <w:sz w:val="21"/>
                <w:szCs w:val="21"/>
                <w:highlight w:val="none"/>
              </w:rPr>
            </w:pPr>
            <w:r>
              <w:rPr>
                <w:rFonts w:hint="eastAsia" w:ascii="宋体" w:hAnsi="宋体" w:eastAsia="宋体" w:cs="宋体"/>
                <w:b w:val="0"/>
                <w:bCs w:val="0"/>
                <w:color w:val="auto"/>
                <w:sz w:val="18"/>
                <w:szCs w:val="18"/>
                <w:highlight w:val="none"/>
              </w:rPr>
              <w:t>○-</w:t>
            </w:r>
          </w:p>
        </w:tc>
        <w:tc>
          <w:tcPr>
            <w:tcW w:w="711" w:type="pct"/>
            <w:tcBorders>
              <w:left w:val="single" w:color="auto" w:sz="4" w:space="0"/>
              <w:right w:val="single" w:color="auto" w:sz="4" w:space="0"/>
            </w:tcBorders>
            <w:noWrap w:val="0"/>
            <w:vAlign w:val="center"/>
          </w:tcPr>
          <w:p w14:paraId="629C4C0A">
            <w:pPr>
              <w:pStyle w:val="410"/>
              <w:adjustRightInd w:val="0"/>
              <w:snapToGrid w:val="0"/>
              <w:ind w:firstLine="0"/>
              <w:jc w:val="center"/>
              <w:rPr>
                <w:rFonts w:hint="default" w:ascii="Times New Roman" w:hAnsi="Times New Roman" w:cs="Times New Roman"/>
                <w:color w:val="auto"/>
                <w:sz w:val="21"/>
                <w:szCs w:val="21"/>
                <w:highlight w:val="none"/>
              </w:rPr>
            </w:pPr>
            <w:r>
              <w:rPr>
                <w:rFonts w:hint="eastAsia" w:ascii="宋体" w:hAnsi="宋体" w:eastAsia="宋体" w:cs="宋体"/>
                <w:b w:val="0"/>
                <w:bCs w:val="0"/>
                <w:color w:val="auto"/>
                <w:sz w:val="18"/>
                <w:szCs w:val="18"/>
                <w:highlight w:val="none"/>
              </w:rPr>
              <w:t>○-</w:t>
            </w:r>
          </w:p>
        </w:tc>
        <w:tc>
          <w:tcPr>
            <w:tcW w:w="432" w:type="pct"/>
            <w:tcBorders>
              <w:left w:val="single" w:color="auto" w:sz="4" w:space="0"/>
            </w:tcBorders>
            <w:noWrap w:val="0"/>
            <w:vAlign w:val="center"/>
          </w:tcPr>
          <w:p w14:paraId="1FAA29E4">
            <w:pPr>
              <w:pStyle w:val="410"/>
              <w:adjustRightInd w:val="0"/>
              <w:snapToGrid w:val="0"/>
              <w:ind w:firstLine="0"/>
              <w:jc w:val="center"/>
              <w:rPr>
                <w:rFonts w:hint="default" w:ascii="Times New Roman" w:hAnsi="Times New Roman" w:cs="Times New Roman"/>
                <w:color w:val="auto"/>
                <w:sz w:val="21"/>
                <w:szCs w:val="21"/>
                <w:highlight w:val="none"/>
              </w:rPr>
            </w:pPr>
            <w:r>
              <w:rPr>
                <w:rFonts w:hint="eastAsia" w:ascii="宋体" w:hAnsi="宋体" w:eastAsia="宋体" w:cs="宋体"/>
                <w:b w:val="0"/>
                <w:bCs w:val="0"/>
                <w:color w:val="auto"/>
                <w:sz w:val="18"/>
                <w:szCs w:val="18"/>
                <w:highlight w:val="none"/>
              </w:rPr>
              <w:t>●-</w:t>
            </w:r>
          </w:p>
        </w:tc>
      </w:tr>
      <w:tr w14:paraId="08428D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0" w:type="pct"/>
            <w:vMerge w:val="continue"/>
            <w:noWrap w:val="0"/>
            <w:vAlign w:val="center"/>
          </w:tcPr>
          <w:p w14:paraId="479E9718">
            <w:pPr>
              <w:pStyle w:val="410"/>
              <w:adjustRightInd w:val="0"/>
              <w:snapToGrid w:val="0"/>
              <w:ind w:firstLine="0"/>
              <w:jc w:val="center"/>
              <w:rPr>
                <w:rFonts w:hint="default" w:ascii="Times New Roman" w:hAnsi="Times New Roman" w:cs="Times New Roman"/>
                <w:color w:val="auto"/>
                <w:sz w:val="21"/>
                <w:szCs w:val="21"/>
                <w:highlight w:val="none"/>
              </w:rPr>
            </w:pPr>
          </w:p>
        </w:tc>
        <w:tc>
          <w:tcPr>
            <w:tcW w:w="1394" w:type="pct"/>
            <w:noWrap w:val="0"/>
            <w:vAlign w:val="center"/>
          </w:tcPr>
          <w:p w14:paraId="1A4BA9C3">
            <w:pPr>
              <w:pStyle w:val="410"/>
              <w:adjustRightInd w:val="0"/>
              <w:snapToGrid w:val="0"/>
              <w:ind w:firstLine="0"/>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主体工程（排水管工程、箱涵工程、排水沟工程、挡土墙工程）</w:t>
            </w:r>
          </w:p>
        </w:tc>
        <w:tc>
          <w:tcPr>
            <w:tcW w:w="298" w:type="pct"/>
            <w:tcBorders>
              <w:right w:val="single" w:color="auto" w:sz="4" w:space="0"/>
            </w:tcBorders>
            <w:noWrap w:val="0"/>
            <w:vAlign w:val="center"/>
          </w:tcPr>
          <w:p w14:paraId="047F16F1">
            <w:pPr>
              <w:pStyle w:val="698"/>
              <w:rPr>
                <w:rFonts w:hint="default" w:ascii="Times New Roman" w:hAnsi="Times New Roman" w:cs="Times New Roman"/>
                <w:color w:val="auto"/>
                <w:highlight w:val="none"/>
              </w:rPr>
            </w:pPr>
            <w:r>
              <w:rPr>
                <w:rFonts w:hint="eastAsia" w:ascii="宋体" w:hAnsi="宋体" w:eastAsia="宋体" w:cs="宋体"/>
                <w:b w:val="0"/>
                <w:bCs w:val="0"/>
                <w:color w:val="auto"/>
                <w:sz w:val="18"/>
                <w:szCs w:val="18"/>
                <w:highlight w:val="none"/>
              </w:rPr>
              <w:t>▲-</w:t>
            </w:r>
          </w:p>
        </w:tc>
        <w:tc>
          <w:tcPr>
            <w:tcW w:w="333" w:type="pct"/>
            <w:tcBorders>
              <w:left w:val="single" w:color="auto" w:sz="4" w:space="0"/>
              <w:right w:val="single" w:color="auto" w:sz="4" w:space="0"/>
            </w:tcBorders>
            <w:noWrap w:val="0"/>
            <w:vAlign w:val="center"/>
          </w:tcPr>
          <w:p w14:paraId="675F0506">
            <w:pPr>
              <w:pStyle w:val="41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宋体" w:hAnsi="宋体" w:eastAsia="宋体" w:cs="宋体"/>
                <w:b w:val="0"/>
                <w:bCs w:val="0"/>
                <w:color w:val="auto"/>
                <w:sz w:val="18"/>
                <w:szCs w:val="18"/>
                <w:highlight w:val="none"/>
              </w:rPr>
              <w:t>○-</w:t>
            </w:r>
          </w:p>
        </w:tc>
        <w:tc>
          <w:tcPr>
            <w:tcW w:w="338" w:type="pct"/>
            <w:tcBorders>
              <w:left w:val="single" w:color="auto" w:sz="4" w:space="0"/>
              <w:right w:val="single" w:color="auto" w:sz="4" w:space="0"/>
            </w:tcBorders>
            <w:noWrap w:val="0"/>
            <w:vAlign w:val="center"/>
          </w:tcPr>
          <w:p w14:paraId="081DF788">
            <w:pPr>
              <w:pStyle w:val="698"/>
              <w:rPr>
                <w:rFonts w:hint="default" w:ascii="Times New Roman" w:hAnsi="Times New Roman" w:cs="Times New Roman"/>
                <w:color w:val="auto"/>
                <w:highlight w:val="none"/>
              </w:rPr>
            </w:pPr>
            <w:r>
              <w:rPr>
                <w:rFonts w:hint="eastAsia" w:ascii="宋体" w:hAnsi="宋体" w:eastAsia="宋体" w:cs="宋体"/>
                <w:b w:val="0"/>
                <w:bCs w:val="0"/>
                <w:color w:val="auto"/>
                <w:sz w:val="18"/>
                <w:szCs w:val="18"/>
                <w:highlight w:val="none"/>
              </w:rPr>
              <w:t>▲-</w:t>
            </w:r>
          </w:p>
        </w:tc>
        <w:tc>
          <w:tcPr>
            <w:tcW w:w="345" w:type="pct"/>
            <w:tcBorders>
              <w:left w:val="single" w:color="auto" w:sz="4" w:space="0"/>
            </w:tcBorders>
            <w:noWrap w:val="0"/>
            <w:vAlign w:val="center"/>
          </w:tcPr>
          <w:p w14:paraId="5BF88AE1">
            <w:pPr>
              <w:pStyle w:val="698"/>
              <w:rPr>
                <w:rFonts w:hint="default" w:ascii="Times New Roman" w:hAnsi="Times New Roman" w:cs="Times New Roman"/>
                <w:color w:val="auto"/>
                <w:highlight w:val="none"/>
              </w:rPr>
            </w:pPr>
          </w:p>
        </w:tc>
        <w:tc>
          <w:tcPr>
            <w:tcW w:w="506" w:type="pct"/>
            <w:tcBorders>
              <w:right w:val="single" w:color="auto" w:sz="4" w:space="0"/>
            </w:tcBorders>
            <w:noWrap w:val="0"/>
            <w:vAlign w:val="center"/>
          </w:tcPr>
          <w:p w14:paraId="10F6D362">
            <w:pPr>
              <w:pStyle w:val="698"/>
              <w:rPr>
                <w:rFonts w:hint="default" w:ascii="Times New Roman" w:hAnsi="Times New Roman" w:cs="Times New Roman"/>
                <w:color w:val="auto"/>
                <w:highlight w:val="none"/>
              </w:rPr>
            </w:pPr>
            <w:r>
              <w:rPr>
                <w:rFonts w:hint="eastAsia" w:ascii="宋体" w:hAnsi="宋体" w:eastAsia="宋体" w:cs="宋体"/>
                <w:b w:val="0"/>
                <w:bCs w:val="0"/>
                <w:color w:val="auto"/>
                <w:sz w:val="18"/>
                <w:szCs w:val="18"/>
                <w:highlight w:val="none"/>
              </w:rPr>
              <w:t>○-</w:t>
            </w:r>
          </w:p>
        </w:tc>
        <w:tc>
          <w:tcPr>
            <w:tcW w:w="711" w:type="pct"/>
            <w:tcBorders>
              <w:left w:val="single" w:color="auto" w:sz="4" w:space="0"/>
              <w:right w:val="single" w:color="auto" w:sz="4" w:space="0"/>
            </w:tcBorders>
            <w:noWrap w:val="0"/>
            <w:vAlign w:val="center"/>
          </w:tcPr>
          <w:p w14:paraId="4A0C6389">
            <w:pPr>
              <w:pStyle w:val="410"/>
              <w:adjustRightInd w:val="0"/>
              <w:snapToGrid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宋体" w:hAnsi="宋体" w:eastAsia="宋体" w:cs="宋体"/>
                <w:b w:val="0"/>
                <w:bCs w:val="0"/>
                <w:color w:val="auto"/>
                <w:sz w:val="18"/>
                <w:szCs w:val="18"/>
                <w:highlight w:val="none"/>
              </w:rPr>
              <w:t>○-</w:t>
            </w:r>
          </w:p>
        </w:tc>
        <w:tc>
          <w:tcPr>
            <w:tcW w:w="432" w:type="pct"/>
            <w:tcBorders>
              <w:left w:val="single" w:color="auto" w:sz="4" w:space="0"/>
            </w:tcBorders>
            <w:noWrap w:val="0"/>
            <w:vAlign w:val="center"/>
          </w:tcPr>
          <w:p w14:paraId="581E455C">
            <w:pPr>
              <w:pStyle w:val="698"/>
              <w:rPr>
                <w:rFonts w:hint="default" w:ascii="Times New Roman" w:hAnsi="Times New Roman" w:cs="Times New Roman"/>
                <w:color w:val="auto"/>
                <w:highlight w:val="none"/>
              </w:rPr>
            </w:pPr>
            <w:r>
              <w:rPr>
                <w:rFonts w:hint="eastAsia" w:ascii="宋体" w:hAnsi="宋体" w:eastAsia="宋体" w:cs="宋体"/>
                <w:b w:val="0"/>
                <w:bCs w:val="0"/>
                <w:color w:val="auto"/>
                <w:sz w:val="18"/>
                <w:szCs w:val="18"/>
                <w:highlight w:val="none"/>
              </w:rPr>
              <w:t>●-</w:t>
            </w:r>
          </w:p>
        </w:tc>
      </w:tr>
      <w:tr w14:paraId="1BA0A2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0" w:type="pct"/>
            <w:vMerge w:val="continue"/>
            <w:noWrap w:val="0"/>
            <w:vAlign w:val="center"/>
          </w:tcPr>
          <w:p w14:paraId="4ECE11B4">
            <w:pPr>
              <w:pStyle w:val="410"/>
              <w:adjustRightInd w:val="0"/>
              <w:snapToGrid w:val="0"/>
              <w:ind w:firstLine="0"/>
              <w:jc w:val="center"/>
              <w:rPr>
                <w:rFonts w:hint="default" w:ascii="Times New Roman" w:hAnsi="Times New Roman" w:cs="Times New Roman"/>
                <w:color w:val="auto"/>
                <w:sz w:val="21"/>
                <w:szCs w:val="21"/>
                <w:highlight w:val="none"/>
              </w:rPr>
            </w:pPr>
          </w:p>
        </w:tc>
        <w:tc>
          <w:tcPr>
            <w:tcW w:w="1394" w:type="pct"/>
            <w:noWrap w:val="0"/>
            <w:vAlign w:val="center"/>
          </w:tcPr>
          <w:p w14:paraId="104D72E6">
            <w:pPr>
              <w:pStyle w:val="698"/>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机械作业</w:t>
            </w:r>
          </w:p>
        </w:tc>
        <w:tc>
          <w:tcPr>
            <w:tcW w:w="298" w:type="pct"/>
            <w:tcBorders>
              <w:right w:val="single" w:color="auto" w:sz="4" w:space="0"/>
            </w:tcBorders>
            <w:noWrap w:val="0"/>
            <w:vAlign w:val="center"/>
          </w:tcPr>
          <w:p w14:paraId="20B2F61E">
            <w:pPr>
              <w:pStyle w:val="698"/>
              <w:rPr>
                <w:rFonts w:hint="default" w:ascii="Times New Roman" w:hAnsi="Times New Roman" w:cs="Times New Roman"/>
                <w:color w:val="auto"/>
                <w:highlight w:val="none"/>
              </w:rPr>
            </w:pPr>
            <w:r>
              <w:rPr>
                <w:rFonts w:hint="eastAsia" w:ascii="宋体" w:hAnsi="宋体" w:eastAsia="宋体" w:cs="宋体"/>
                <w:b w:val="0"/>
                <w:bCs w:val="0"/>
                <w:color w:val="auto"/>
                <w:sz w:val="18"/>
                <w:szCs w:val="18"/>
                <w:highlight w:val="none"/>
              </w:rPr>
              <w:t>●-</w:t>
            </w:r>
          </w:p>
        </w:tc>
        <w:tc>
          <w:tcPr>
            <w:tcW w:w="333" w:type="pct"/>
            <w:tcBorders>
              <w:left w:val="single" w:color="auto" w:sz="4" w:space="0"/>
              <w:right w:val="single" w:color="auto" w:sz="4" w:space="0"/>
            </w:tcBorders>
            <w:noWrap w:val="0"/>
            <w:vAlign w:val="center"/>
          </w:tcPr>
          <w:p w14:paraId="55696FDC">
            <w:pPr>
              <w:pStyle w:val="698"/>
              <w:rPr>
                <w:rFonts w:hint="default" w:ascii="Times New Roman" w:hAnsi="Times New Roman" w:cs="Times New Roman"/>
                <w:color w:val="auto"/>
                <w:highlight w:val="none"/>
              </w:rPr>
            </w:pPr>
            <w:r>
              <w:rPr>
                <w:rFonts w:hint="eastAsia" w:ascii="宋体" w:hAnsi="宋体" w:eastAsia="宋体" w:cs="宋体"/>
                <w:b w:val="0"/>
                <w:bCs w:val="0"/>
                <w:color w:val="auto"/>
                <w:sz w:val="18"/>
                <w:szCs w:val="18"/>
                <w:highlight w:val="none"/>
              </w:rPr>
              <w:t>○-</w:t>
            </w:r>
          </w:p>
        </w:tc>
        <w:tc>
          <w:tcPr>
            <w:tcW w:w="338" w:type="pct"/>
            <w:tcBorders>
              <w:left w:val="single" w:color="auto" w:sz="4" w:space="0"/>
              <w:right w:val="single" w:color="auto" w:sz="4" w:space="0"/>
            </w:tcBorders>
            <w:noWrap w:val="0"/>
            <w:vAlign w:val="center"/>
          </w:tcPr>
          <w:p w14:paraId="5DEC03A9">
            <w:pPr>
              <w:pStyle w:val="698"/>
              <w:rPr>
                <w:rFonts w:hint="default" w:ascii="Times New Roman" w:hAnsi="Times New Roman" w:cs="Times New Roman"/>
                <w:color w:val="auto"/>
                <w:highlight w:val="none"/>
              </w:rPr>
            </w:pPr>
            <w:r>
              <w:rPr>
                <w:rFonts w:hint="eastAsia" w:ascii="宋体" w:hAnsi="宋体" w:eastAsia="宋体" w:cs="宋体"/>
                <w:b w:val="0"/>
                <w:bCs w:val="0"/>
                <w:color w:val="auto"/>
                <w:sz w:val="18"/>
                <w:szCs w:val="18"/>
                <w:highlight w:val="none"/>
              </w:rPr>
              <w:t>○-</w:t>
            </w:r>
          </w:p>
        </w:tc>
        <w:tc>
          <w:tcPr>
            <w:tcW w:w="345" w:type="pct"/>
            <w:tcBorders>
              <w:left w:val="single" w:color="auto" w:sz="4" w:space="0"/>
            </w:tcBorders>
            <w:noWrap w:val="0"/>
            <w:vAlign w:val="center"/>
          </w:tcPr>
          <w:p w14:paraId="7CE4E668">
            <w:pPr>
              <w:pStyle w:val="698"/>
              <w:rPr>
                <w:rFonts w:hint="default" w:ascii="Times New Roman" w:hAnsi="Times New Roman" w:cs="Times New Roman"/>
                <w:color w:val="auto"/>
                <w:highlight w:val="none"/>
              </w:rPr>
            </w:pPr>
            <w:r>
              <w:rPr>
                <w:rFonts w:hint="eastAsia" w:ascii="宋体" w:hAnsi="宋体" w:eastAsia="宋体" w:cs="宋体"/>
                <w:b w:val="0"/>
                <w:bCs w:val="0"/>
                <w:color w:val="auto"/>
                <w:sz w:val="18"/>
                <w:szCs w:val="18"/>
                <w:highlight w:val="none"/>
              </w:rPr>
              <w:t>○-</w:t>
            </w:r>
          </w:p>
        </w:tc>
        <w:tc>
          <w:tcPr>
            <w:tcW w:w="506" w:type="pct"/>
            <w:tcBorders>
              <w:right w:val="single" w:color="auto" w:sz="4" w:space="0"/>
            </w:tcBorders>
            <w:noWrap w:val="0"/>
            <w:vAlign w:val="center"/>
          </w:tcPr>
          <w:p w14:paraId="10F54372">
            <w:pPr>
              <w:pStyle w:val="698"/>
              <w:rPr>
                <w:rFonts w:hint="default" w:ascii="Times New Roman" w:hAnsi="Times New Roman" w:cs="Times New Roman"/>
                <w:color w:val="auto"/>
                <w:highlight w:val="none"/>
              </w:rPr>
            </w:pPr>
          </w:p>
        </w:tc>
        <w:tc>
          <w:tcPr>
            <w:tcW w:w="711" w:type="pct"/>
            <w:tcBorders>
              <w:left w:val="single" w:color="auto" w:sz="4" w:space="0"/>
              <w:right w:val="single" w:color="auto" w:sz="4" w:space="0"/>
            </w:tcBorders>
            <w:noWrap w:val="0"/>
            <w:vAlign w:val="center"/>
          </w:tcPr>
          <w:p w14:paraId="2136A8DE">
            <w:pPr>
              <w:pStyle w:val="698"/>
              <w:rPr>
                <w:rFonts w:hint="default" w:ascii="Times New Roman" w:hAnsi="Times New Roman" w:cs="Times New Roman"/>
                <w:color w:val="auto"/>
                <w:highlight w:val="none"/>
              </w:rPr>
            </w:pPr>
            <w:r>
              <w:rPr>
                <w:rFonts w:hint="eastAsia" w:ascii="宋体" w:hAnsi="宋体" w:eastAsia="宋体" w:cs="宋体"/>
                <w:b w:val="0"/>
                <w:bCs w:val="0"/>
                <w:color w:val="auto"/>
                <w:sz w:val="18"/>
                <w:szCs w:val="18"/>
                <w:highlight w:val="none"/>
              </w:rPr>
              <w:t>○-</w:t>
            </w:r>
          </w:p>
        </w:tc>
        <w:tc>
          <w:tcPr>
            <w:tcW w:w="432" w:type="pct"/>
            <w:tcBorders>
              <w:left w:val="single" w:color="auto" w:sz="4" w:space="0"/>
            </w:tcBorders>
            <w:noWrap w:val="0"/>
            <w:vAlign w:val="center"/>
          </w:tcPr>
          <w:p w14:paraId="265B721E">
            <w:pPr>
              <w:pStyle w:val="698"/>
              <w:rPr>
                <w:rFonts w:hint="default" w:ascii="Times New Roman" w:hAnsi="Times New Roman" w:cs="Times New Roman"/>
                <w:color w:val="auto"/>
                <w:highlight w:val="none"/>
              </w:rPr>
            </w:pPr>
            <w:r>
              <w:rPr>
                <w:rFonts w:hint="eastAsia" w:ascii="宋体" w:hAnsi="宋体" w:eastAsia="宋体" w:cs="宋体"/>
                <w:b w:val="0"/>
                <w:bCs w:val="0"/>
                <w:color w:val="auto"/>
                <w:sz w:val="18"/>
                <w:szCs w:val="18"/>
                <w:highlight w:val="none"/>
              </w:rPr>
              <w:t>○-</w:t>
            </w:r>
          </w:p>
        </w:tc>
      </w:tr>
      <w:tr w14:paraId="09CAF7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0" w:type="pct"/>
            <w:vMerge w:val="continue"/>
            <w:noWrap w:val="0"/>
            <w:vAlign w:val="center"/>
          </w:tcPr>
          <w:p w14:paraId="40BA7AF0">
            <w:pPr>
              <w:pStyle w:val="410"/>
              <w:adjustRightInd w:val="0"/>
              <w:snapToGrid w:val="0"/>
              <w:ind w:firstLine="0"/>
              <w:jc w:val="center"/>
              <w:rPr>
                <w:rFonts w:hint="default" w:ascii="Times New Roman" w:hAnsi="Times New Roman" w:cs="Times New Roman"/>
                <w:color w:val="auto"/>
                <w:sz w:val="21"/>
                <w:szCs w:val="21"/>
                <w:highlight w:val="none"/>
              </w:rPr>
            </w:pPr>
          </w:p>
        </w:tc>
        <w:tc>
          <w:tcPr>
            <w:tcW w:w="1394" w:type="pct"/>
            <w:noWrap w:val="0"/>
            <w:vAlign w:val="center"/>
          </w:tcPr>
          <w:p w14:paraId="08134E56">
            <w:pPr>
              <w:pStyle w:val="698"/>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建材堆放</w:t>
            </w:r>
          </w:p>
        </w:tc>
        <w:tc>
          <w:tcPr>
            <w:tcW w:w="298" w:type="pct"/>
            <w:tcBorders>
              <w:right w:val="single" w:color="auto" w:sz="4" w:space="0"/>
            </w:tcBorders>
            <w:noWrap w:val="0"/>
            <w:vAlign w:val="center"/>
          </w:tcPr>
          <w:p w14:paraId="7ACF1E7B">
            <w:pPr>
              <w:pStyle w:val="698"/>
              <w:rPr>
                <w:rFonts w:hint="default" w:ascii="Times New Roman" w:hAnsi="Times New Roman" w:cs="Times New Roman"/>
                <w:color w:val="auto"/>
                <w:highlight w:val="none"/>
              </w:rPr>
            </w:pPr>
          </w:p>
        </w:tc>
        <w:tc>
          <w:tcPr>
            <w:tcW w:w="333" w:type="pct"/>
            <w:tcBorders>
              <w:left w:val="single" w:color="auto" w:sz="4" w:space="0"/>
              <w:right w:val="single" w:color="auto" w:sz="4" w:space="0"/>
            </w:tcBorders>
            <w:noWrap w:val="0"/>
            <w:vAlign w:val="center"/>
          </w:tcPr>
          <w:p w14:paraId="7790B327">
            <w:pPr>
              <w:pStyle w:val="698"/>
              <w:rPr>
                <w:rFonts w:hint="default" w:ascii="Times New Roman" w:hAnsi="Times New Roman" w:cs="Times New Roman"/>
                <w:color w:val="auto"/>
                <w:highlight w:val="none"/>
              </w:rPr>
            </w:pPr>
            <w:r>
              <w:rPr>
                <w:rFonts w:hint="eastAsia" w:ascii="宋体" w:hAnsi="宋体" w:eastAsia="宋体" w:cs="宋体"/>
                <w:b w:val="0"/>
                <w:bCs w:val="0"/>
                <w:color w:val="auto"/>
                <w:sz w:val="18"/>
                <w:szCs w:val="18"/>
                <w:highlight w:val="none"/>
              </w:rPr>
              <w:t>○-</w:t>
            </w:r>
          </w:p>
        </w:tc>
        <w:tc>
          <w:tcPr>
            <w:tcW w:w="338" w:type="pct"/>
            <w:tcBorders>
              <w:left w:val="single" w:color="auto" w:sz="4" w:space="0"/>
              <w:right w:val="single" w:color="auto" w:sz="4" w:space="0"/>
            </w:tcBorders>
            <w:noWrap w:val="0"/>
            <w:vAlign w:val="center"/>
          </w:tcPr>
          <w:p w14:paraId="36799199">
            <w:pPr>
              <w:pStyle w:val="698"/>
              <w:rPr>
                <w:rFonts w:hint="default" w:ascii="Times New Roman" w:hAnsi="Times New Roman" w:cs="Times New Roman"/>
                <w:color w:val="auto"/>
                <w:highlight w:val="none"/>
              </w:rPr>
            </w:pPr>
            <w:r>
              <w:rPr>
                <w:rFonts w:hint="eastAsia" w:ascii="宋体" w:hAnsi="宋体" w:eastAsia="宋体" w:cs="宋体"/>
                <w:b w:val="0"/>
                <w:bCs w:val="0"/>
                <w:color w:val="auto"/>
                <w:sz w:val="18"/>
                <w:szCs w:val="18"/>
                <w:highlight w:val="none"/>
              </w:rPr>
              <w:t>○-</w:t>
            </w:r>
          </w:p>
        </w:tc>
        <w:tc>
          <w:tcPr>
            <w:tcW w:w="345" w:type="pct"/>
            <w:tcBorders>
              <w:left w:val="single" w:color="auto" w:sz="4" w:space="0"/>
            </w:tcBorders>
            <w:noWrap w:val="0"/>
            <w:vAlign w:val="center"/>
          </w:tcPr>
          <w:p w14:paraId="3E8891E5">
            <w:pPr>
              <w:pStyle w:val="698"/>
              <w:rPr>
                <w:rFonts w:hint="default" w:ascii="Times New Roman" w:hAnsi="Times New Roman" w:cs="Times New Roman"/>
                <w:color w:val="auto"/>
                <w:highlight w:val="none"/>
              </w:rPr>
            </w:pPr>
          </w:p>
        </w:tc>
        <w:tc>
          <w:tcPr>
            <w:tcW w:w="506" w:type="pct"/>
            <w:tcBorders>
              <w:right w:val="single" w:color="auto" w:sz="4" w:space="0"/>
            </w:tcBorders>
            <w:noWrap w:val="0"/>
            <w:vAlign w:val="center"/>
          </w:tcPr>
          <w:p w14:paraId="23BC923C">
            <w:pPr>
              <w:pStyle w:val="698"/>
              <w:rPr>
                <w:rFonts w:hint="default" w:ascii="Times New Roman" w:hAnsi="Times New Roman" w:cs="Times New Roman"/>
                <w:color w:val="auto"/>
                <w:highlight w:val="none"/>
              </w:rPr>
            </w:pPr>
          </w:p>
        </w:tc>
        <w:tc>
          <w:tcPr>
            <w:tcW w:w="711" w:type="pct"/>
            <w:tcBorders>
              <w:left w:val="single" w:color="auto" w:sz="4" w:space="0"/>
              <w:right w:val="single" w:color="auto" w:sz="4" w:space="0"/>
            </w:tcBorders>
            <w:noWrap w:val="0"/>
            <w:vAlign w:val="center"/>
          </w:tcPr>
          <w:p w14:paraId="587333E0">
            <w:pPr>
              <w:pStyle w:val="698"/>
              <w:rPr>
                <w:rFonts w:hint="default" w:ascii="Times New Roman" w:hAnsi="Times New Roman" w:cs="Times New Roman"/>
                <w:color w:val="auto"/>
                <w:highlight w:val="none"/>
              </w:rPr>
            </w:pPr>
            <w:r>
              <w:rPr>
                <w:rFonts w:hint="eastAsia" w:ascii="宋体" w:hAnsi="宋体" w:eastAsia="宋体" w:cs="宋体"/>
                <w:b w:val="0"/>
                <w:bCs w:val="0"/>
                <w:color w:val="auto"/>
                <w:sz w:val="18"/>
                <w:szCs w:val="18"/>
                <w:highlight w:val="none"/>
              </w:rPr>
              <w:t>○-</w:t>
            </w:r>
          </w:p>
        </w:tc>
        <w:tc>
          <w:tcPr>
            <w:tcW w:w="432" w:type="pct"/>
            <w:tcBorders>
              <w:left w:val="single" w:color="auto" w:sz="4" w:space="0"/>
            </w:tcBorders>
            <w:noWrap w:val="0"/>
            <w:vAlign w:val="center"/>
          </w:tcPr>
          <w:p w14:paraId="199F4625">
            <w:pPr>
              <w:pStyle w:val="698"/>
              <w:rPr>
                <w:rFonts w:hint="default" w:ascii="Times New Roman" w:hAnsi="Times New Roman" w:cs="Times New Roman"/>
                <w:color w:val="auto"/>
                <w:highlight w:val="none"/>
              </w:rPr>
            </w:pPr>
            <w:r>
              <w:rPr>
                <w:rFonts w:hint="eastAsia" w:ascii="宋体" w:hAnsi="宋体" w:eastAsia="宋体" w:cs="宋体"/>
                <w:b w:val="0"/>
                <w:bCs w:val="0"/>
                <w:color w:val="auto"/>
                <w:sz w:val="18"/>
                <w:szCs w:val="18"/>
                <w:highlight w:val="none"/>
              </w:rPr>
              <w:t>○-</w:t>
            </w:r>
          </w:p>
        </w:tc>
      </w:tr>
      <w:tr w14:paraId="10BFCD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0" w:type="pct"/>
            <w:vMerge w:val="continue"/>
            <w:noWrap w:val="0"/>
            <w:vAlign w:val="center"/>
          </w:tcPr>
          <w:p w14:paraId="3F53053E">
            <w:pPr>
              <w:pStyle w:val="410"/>
              <w:adjustRightInd w:val="0"/>
              <w:snapToGrid w:val="0"/>
              <w:ind w:firstLine="0"/>
              <w:jc w:val="center"/>
              <w:rPr>
                <w:rFonts w:hint="default" w:ascii="Times New Roman" w:hAnsi="Times New Roman" w:cs="Times New Roman"/>
                <w:color w:val="auto"/>
                <w:sz w:val="21"/>
                <w:szCs w:val="21"/>
                <w:highlight w:val="none"/>
              </w:rPr>
            </w:pPr>
          </w:p>
        </w:tc>
        <w:tc>
          <w:tcPr>
            <w:tcW w:w="1394" w:type="pct"/>
            <w:noWrap w:val="0"/>
            <w:vAlign w:val="center"/>
          </w:tcPr>
          <w:p w14:paraId="2FB6B97C">
            <w:pPr>
              <w:pStyle w:val="698"/>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材料运输</w:t>
            </w:r>
          </w:p>
        </w:tc>
        <w:tc>
          <w:tcPr>
            <w:tcW w:w="298" w:type="pct"/>
            <w:tcBorders>
              <w:right w:val="single" w:color="auto" w:sz="4" w:space="0"/>
            </w:tcBorders>
            <w:noWrap w:val="0"/>
            <w:vAlign w:val="center"/>
          </w:tcPr>
          <w:p w14:paraId="3F3AFD02">
            <w:pPr>
              <w:pStyle w:val="698"/>
              <w:rPr>
                <w:rFonts w:hint="default" w:ascii="Times New Roman" w:hAnsi="Times New Roman" w:cs="Times New Roman"/>
                <w:color w:val="auto"/>
                <w:highlight w:val="none"/>
              </w:rPr>
            </w:pPr>
            <w:r>
              <w:rPr>
                <w:rFonts w:hint="eastAsia" w:ascii="宋体" w:hAnsi="宋体" w:eastAsia="宋体" w:cs="宋体"/>
                <w:b w:val="0"/>
                <w:bCs w:val="0"/>
                <w:color w:val="auto"/>
                <w:sz w:val="18"/>
                <w:szCs w:val="18"/>
                <w:highlight w:val="none"/>
              </w:rPr>
              <w:t>▲-</w:t>
            </w:r>
          </w:p>
        </w:tc>
        <w:tc>
          <w:tcPr>
            <w:tcW w:w="333" w:type="pct"/>
            <w:tcBorders>
              <w:left w:val="single" w:color="auto" w:sz="4" w:space="0"/>
              <w:right w:val="single" w:color="auto" w:sz="4" w:space="0"/>
            </w:tcBorders>
            <w:noWrap w:val="0"/>
            <w:vAlign w:val="center"/>
          </w:tcPr>
          <w:p w14:paraId="0124313D">
            <w:pPr>
              <w:pStyle w:val="698"/>
              <w:rPr>
                <w:rFonts w:hint="default" w:ascii="Times New Roman" w:hAnsi="Times New Roman" w:cs="Times New Roman"/>
                <w:color w:val="auto"/>
                <w:highlight w:val="none"/>
              </w:rPr>
            </w:pPr>
          </w:p>
        </w:tc>
        <w:tc>
          <w:tcPr>
            <w:tcW w:w="338" w:type="pct"/>
            <w:tcBorders>
              <w:left w:val="single" w:color="auto" w:sz="4" w:space="0"/>
              <w:right w:val="single" w:color="auto" w:sz="4" w:space="0"/>
            </w:tcBorders>
            <w:noWrap w:val="0"/>
            <w:vAlign w:val="center"/>
          </w:tcPr>
          <w:p w14:paraId="78EC643C">
            <w:pPr>
              <w:pStyle w:val="698"/>
              <w:rPr>
                <w:rFonts w:hint="default" w:ascii="Times New Roman" w:hAnsi="Times New Roman" w:cs="Times New Roman"/>
                <w:color w:val="auto"/>
                <w:highlight w:val="none"/>
              </w:rPr>
            </w:pPr>
            <w:r>
              <w:rPr>
                <w:rFonts w:hint="eastAsia" w:ascii="宋体" w:hAnsi="宋体" w:eastAsia="宋体" w:cs="宋体"/>
                <w:b w:val="0"/>
                <w:bCs w:val="0"/>
                <w:color w:val="auto"/>
                <w:sz w:val="18"/>
                <w:szCs w:val="18"/>
                <w:highlight w:val="none"/>
              </w:rPr>
              <w:t>○-</w:t>
            </w:r>
          </w:p>
        </w:tc>
        <w:tc>
          <w:tcPr>
            <w:tcW w:w="345" w:type="pct"/>
            <w:tcBorders>
              <w:left w:val="single" w:color="auto" w:sz="4" w:space="0"/>
            </w:tcBorders>
            <w:noWrap w:val="0"/>
            <w:vAlign w:val="center"/>
          </w:tcPr>
          <w:p w14:paraId="23C25FE9">
            <w:pPr>
              <w:pStyle w:val="698"/>
              <w:rPr>
                <w:rFonts w:hint="default" w:ascii="Times New Roman" w:hAnsi="Times New Roman" w:cs="Times New Roman"/>
                <w:color w:val="auto"/>
                <w:highlight w:val="none"/>
              </w:rPr>
            </w:pPr>
          </w:p>
        </w:tc>
        <w:tc>
          <w:tcPr>
            <w:tcW w:w="506" w:type="pct"/>
            <w:tcBorders>
              <w:right w:val="single" w:color="auto" w:sz="4" w:space="0"/>
            </w:tcBorders>
            <w:noWrap w:val="0"/>
            <w:vAlign w:val="center"/>
          </w:tcPr>
          <w:p w14:paraId="45D00B8E">
            <w:pPr>
              <w:pStyle w:val="698"/>
              <w:rPr>
                <w:rFonts w:hint="default" w:ascii="Times New Roman" w:hAnsi="Times New Roman" w:cs="Times New Roman"/>
                <w:color w:val="auto"/>
                <w:highlight w:val="none"/>
              </w:rPr>
            </w:pPr>
          </w:p>
        </w:tc>
        <w:tc>
          <w:tcPr>
            <w:tcW w:w="711" w:type="pct"/>
            <w:tcBorders>
              <w:left w:val="single" w:color="auto" w:sz="4" w:space="0"/>
              <w:right w:val="single" w:color="auto" w:sz="4" w:space="0"/>
            </w:tcBorders>
            <w:noWrap w:val="0"/>
            <w:vAlign w:val="center"/>
          </w:tcPr>
          <w:p w14:paraId="115C259D">
            <w:pPr>
              <w:pStyle w:val="698"/>
              <w:rPr>
                <w:rFonts w:hint="default" w:ascii="Times New Roman" w:hAnsi="Times New Roman" w:cs="Times New Roman"/>
                <w:color w:val="auto"/>
                <w:highlight w:val="none"/>
              </w:rPr>
            </w:pPr>
            <w:r>
              <w:rPr>
                <w:rFonts w:hint="eastAsia" w:ascii="宋体" w:hAnsi="宋体" w:eastAsia="宋体" w:cs="宋体"/>
                <w:b w:val="0"/>
                <w:bCs w:val="0"/>
                <w:color w:val="auto"/>
                <w:sz w:val="18"/>
                <w:szCs w:val="18"/>
                <w:highlight w:val="none"/>
              </w:rPr>
              <w:t>○-</w:t>
            </w:r>
          </w:p>
        </w:tc>
        <w:tc>
          <w:tcPr>
            <w:tcW w:w="432" w:type="pct"/>
            <w:tcBorders>
              <w:left w:val="single" w:color="auto" w:sz="4" w:space="0"/>
            </w:tcBorders>
            <w:noWrap w:val="0"/>
            <w:vAlign w:val="center"/>
          </w:tcPr>
          <w:p w14:paraId="4602125F">
            <w:pPr>
              <w:pStyle w:val="698"/>
              <w:rPr>
                <w:rFonts w:hint="default" w:ascii="Times New Roman" w:hAnsi="Times New Roman" w:cs="Times New Roman"/>
                <w:color w:val="auto"/>
                <w:highlight w:val="none"/>
              </w:rPr>
            </w:pPr>
          </w:p>
        </w:tc>
      </w:tr>
      <w:tr w14:paraId="4C4939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0" w:type="pct"/>
            <w:vMerge w:val="continue"/>
            <w:noWrap w:val="0"/>
            <w:vAlign w:val="center"/>
          </w:tcPr>
          <w:p w14:paraId="3845DBB8">
            <w:pPr>
              <w:pStyle w:val="410"/>
              <w:adjustRightInd w:val="0"/>
              <w:snapToGrid w:val="0"/>
              <w:ind w:firstLine="0"/>
              <w:jc w:val="center"/>
              <w:rPr>
                <w:rFonts w:hint="default" w:ascii="Times New Roman" w:hAnsi="Times New Roman" w:cs="Times New Roman"/>
                <w:color w:val="auto"/>
                <w:sz w:val="21"/>
                <w:szCs w:val="21"/>
                <w:highlight w:val="none"/>
              </w:rPr>
            </w:pPr>
          </w:p>
        </w:tc>
        <w:tc>
          <w:tcPr>
            <w:tcW w:w="1394" w:type="pct"/>
            <w:noWrap w:val="0"/>
            <w:vAlign w:val="center"/>
          </w:tcPr>
          <w:p w14:paraId="56E76703">
            <w:pPr>
              <w:pStyle w:val="698"/>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临时中转场</w:t>
            </w:r>
          </w:p>
        </w:tc>
        <w:tc>
          <w:tcPr>
            <w:tcW w:w="298" w:type="pct"/>
            <w:tcBorders>
              <w:right w:val="single" w:color="auto" w:sz="4" w:space="0"/>
            </w:tcBorders>
            <w:noWrap w:val="0"/>
            <w:vAlign w:val="center"/>
          </w:tcPr>
          <w:p w14:paraId="5D7905F7">
            <w:pPr>
              <w:pStyle w:val="698"/>
              <w:rPr>
                <w:rFonts w:hint="default" w:ascii="Times New Roman" w:hAnsi="Times New Roman" w:cs="Times New Roman"/>
                <w:color w:val="auto"/>
                <w:highlight w:val="none"/>
              </w:rPr>
            </w:pPr>
          </w:p>
        </w:tc>
        <w:tc>
          <w:tcPr>
            <w:tcW w:w="333" w:type="pct"/>
            <w:tcBorders>
              <w:left w:val="single" w:color="auto" w:sz="4" w:space="0"/>
              <w:right w:val="single" w:color="auto" w:sz="4" w:space="0"/>
            </w:tcBorders>
            <w:noWrap w:val="0"/>
            <w:vAlign w:val="center"/>
          </w:tcPr>
          <w:p w14:paraId="604A2C27">
            <w:pPr>
              <w:pStyle w:val="698"/>
              <w:rPr>
                <w:rFonts w:hint="default" w:ascii="Times New Roman" w:hAnsi="Times New Roman" w:cs="Times New Roman"/>
                <w:color w:val="auto"/>
                <w:highlight w:val="none"/>
              </w:rPr>
            </w:pPr>
            <w:r>
              <w:rPr>
                <w:rFonts w:hint="eastAsia" w:ascii="宋体" w:hAnsi="宋体" w:eastAsia="宋体" w:cs="宋体"/>
                <w:b w:val="0"/>
                <w:bCs w:val="0"/>
                <w:color w:val="auto"/>
                <w:sz w:val="18"/>
                <w:szCs w:val="18"/>
                <w:highlight w:val="none"/>
              </w:rPr>
              <w:t>○-</w:t>
            </w:r>
          </w:p>
        </w:tc>
        <w:tc>
          <w:tcPr>
            <w:tcW w:w="338" w:type="pct"/>
            <w:tcBorders>
              <w:left w:val="single" w:color="auto" w:sz="4" w:space="0"/>
              <w:right w:val="single" w:color="auto" w:sz="4" w:space="0"/>
            </w:tcBorders>
            <w:noWrap w:val="0"/>
            <w:vAlign w:val="center"/>
          </w:tcPr>
          <w:p w14:paraId="1BBDA2A5">
            <w:pPr>
              <w:pStyle w:val="698"/>
              <w:rPr>
                <w:rFonts w:hint="default" w:ascii="Times New Roman" w:hAnsi="Times New Roman" w:cs="Times New Roman"/>
                <w:color w:val="auto"/>
                <w:highlight w:val="none"/>
              </w:rPr>
            </w:pPr>
            <w:r>
              <w:rPr>
                <w:rFonts w:hint="eastAsia" w:ascii="宋体" w:hAnsi="宋体" w:eastAsia="宋体" w:cs="宋体"/>
                <w:b w:val="0"/>
                <w:bCs w:val="0"/>
                <w:color w:val="auto"/>
                <w:sz w:val="18"/>
                <w:szCs w:val="18"/>
                <w:highlight w:val="none"/>
              </w:rPr>
              <w:t>○-</w:t>
            </w:r>
          </w:p>
        </w:tc>
        <w:tc>
          <w:tcPr>
            <w:tcW w:w="345" w:type="pct"/>
            <w:tcBorders>
              <w:left w:val="single" w:color="auto" w:sz="4" w:space="0"/>
            </w:tcBorders>
            <w:noWrap w:val="0"/>
            <w:vAlign w:val="center"/>
          </w:tcPr>
          <w:p w14:paraId="1E7A933C">
            <w:pPr>
              <w:pStyle w:val="698"/>
              <w:rPr>
                <w:rFonts w:hint="default" w:ascii="Times New Roman" w:hAnsi="Times New Roman" w:cs="Times New Roman"/>
                <w:color w:val="auto"/>
                <w:highlight w:val="none"/>
              </w:rPr>
            </w:pPr>
          </w:p>
        </w:tc>
        <w:tc>
          <w:tcPr>
            <w:tcW w:w="506" w:type="pct"/>
            <w:tcBorders>
              <w:right w:val="single" w:color="auto" w:sz="4" w:space="0"/>
            </w:tcBorders>
            <w:noWrap w:val="0"/>
            <w:vAlign w:val="center"/>
          </w:tcPr>
          <w:p w14:paraId="5657C814">
            <w:pPr>
              <w:pStyle w:val="698"/>
              <w:rPr>
                <w:rFonts w:hint="default" w:ascii="Times New Roman" w:hAnsi="Times New Roman" w:cs="Times New Roman"/>
                <w:color w:val="auto"/>
                <w:highlight w:val="none"/>
              </w:rPr>
            </w:pPr>
          </w:p>
        </w:tc>
        <w:tc>
          <w:tcPr>
            <w:tcW w:w="711" w:type="pct"/>
            <w:tcBorders>
              <w:left w:val="single" w:color="auto" w:sz="4" w:space="0"/>
              <w:right w:val="single" w:color="auto" w:sz="4" w:space="0"/>
            </w:tcBorders>
            <w:noWrap w:val="0"/>
            <w:vAlign w:val="center"/>
          </w:tcPr>
          <w:p w14:paraId="065D4480">
            <w:pPr>
              <w:pStyle w:val="698"/>
              <w:rPr>
                <w:rFonts w:hint="default" w:ascii="Times New Roman" w:hAnsi="Times New Roman" w:cs="Times New Roman"/>
                <w:color w:val="auto"/>
                <w:highlight w:val="none"/>
              </w:rPr>
            </w:pPr>
            <w:r>
              <w:rPr>
                <w:rFonts w:hint="eastAsia" w:ascii="宋体" w:hAnsi="宋体" w:eastAsia="宋体" w:cs="宋体"/>
                <w:b w:val="0"/>
                <w:bCs w:val="0"/>
                <w:color w:val="auto"/>
                <w:sz w:val="18"/>
                <w:szCs w:val="18"/>
                <w:highlight w:val="none"/>
              </w:rPr>
              <w:t>○-</w:t>
            </w:r>
          </w:p>
        </w:tc>
        <w:tc>
          <w:tcPr>
            <w:tcW w:w="432" w:type="pct"/>
            <w:tcBorders>
              <w:left w:val="single" w:color="auto" w:sz="4" w:space="0"/>
            </w:tcBorders>
            <w:noWrap w:val="0"/>
            <w:vAlign w:val="center"/>
          </w:tcPr>
          <w:p w14:paraId="57D22A8B">
            <w:pPr>
              <w:pStyle w:val="698"/>
              <w:rPr>
                <w:rFonts w:hint="default" w:ascii="Times New Roman" w:hAnsi="Times New Roman" w:cs="Times New Roman"/>
                <w:color w:val="auto"/>
                <w:highlight w:val="none"/>
              </w:rPr>
            </w:pPr>
          </w:p>
        </w:tc>
      </w:tr>
      <w:tr w14:paraId="41E3BA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0" w:type="pct"/>
            <w:vMerge w:val="continue"/>
            <w:noWrap w:val="0"/>
            <w:vAlign w:val="center"/>
          </w:tcPr>
          <w:p w14:paraId="21DCB51B">
            <w:pPr>
              <w:pStyle w:val="410"/>
              <w:adjustRightInd w:val="0"/>
              <w:snapToGrid w:val="0"/>
              <w:ind w:firstLine="0"/>
              <w:jc w:val="center"/>
              <w:rPr>
                <w:rFonts w:hint="default" w:ascii="Times New Roman" w:hAnsi="Times New Roman" w:cs="Times New Roman"/>
                <w:color w:val="auto"/>
                <w:sz w:val="21"/>
                <w:szCs w:val="21"/>
                <w:highlight w:val="none"/>
              </w:rPr>
            </w:pPr>
          </w:p>
        </w:tc>
        <w:tc>
          <w:tcPr>
            <w:tcW w:w="1394" w:type="pct"/>
            <w:noWrap w:val="0"/>
            <w:vAlign w:val="center"/>
          </w:tcPr>
          <w:p w14:paraId="1EA9D7FD">
            <w:pPr>
              <w:pStyle w:val="698"/>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施工废水</w:t>
            </w:r>
          </w:p>
        </w:tc>
        <w:tc>
          <w:tcPr>
            <w:tcW w:w="298" w:type="pct"/>
            <w:tcBorders>
              <w:right w:val="single" w:color="auto" w:sz="4" w:space="0"/>
            </w:tcBorders>
            <w:noWrap w:val="0"/>
            <w:vAlign w:val="center"/>
          </w:tcPr>
          <w:p w14:paraId="69BA2F7F">
            <w:pPr>
              <w:pStyle w:val="698"/>
              <w:rPr>
                <w:rFonts w:hint="default" w:ascii="Times New Roman" w:hAnsi="Times New Roman" w:cs="Times New Roman"/>
                <w:color w:val="auto"/>
                <w:highlight w:val="none"/>
              </w:rPr>
            </w:pPr>
          </w:p>
        </w:tc>
        <w:tc>
          <w:tcPr>
            <w:tcW w:w="333" w:type="pct"/>
            <w:tcBorders>
              <w:left w:val="single" w:color="auto" w:sz="4" w:space="0"/>
              <w:right w:val="single" w:color="auto" w:sz="4" w:space="0"/>
            </w:tcBorders>
            <w:noWrap w:val="0"/>
            <w:vAlign w:val="center"/>
          </w:tcPr>
          <w:p w14:paraId="5888C68F">
            <w:pPr>
              <w:pStyle w:val="698"/>
              <w:rPr>
                <w:rFonts w:hint="default" w:ascii="Times New Roman" w:hAnsi="Times New Roman" w:cs="Times New Roman"/>
                <w:color w:val="auto"/>
                <w:highlight w:val="none"/>
              </w:rPr>
            </w:pPr>
            <w:r>
              <w:rPr>
                <w:rFonts w:hint="eastAsia" w:ascii="宋体" w:hAnsi="宋体" w:eastAsia="宋体" w:cs="宋体"/>
                <w:b w:val="0"/>
                <w:bCs w:val="0"/>
                <w:color w:val="auto"/>
                <w:sz w:val="18"/>
                <w:szCs w:val="18"/>
                <w:highlight w:val="none"/>
              </w:rPr>
              <w:t>▲-</w:t>
            </w:r>
          </w:p>
        </w:tc>
        <w:tc>
          <w:tcPr>
            <w:tcW w:w="338" w:type="pct"/>
            <w:tcBorders>
              <w:left w:val="single" w:color="auto" w:sz="4" w:space="0"/>
              <w:right w:val="single" w:color="auto" w:sz="4" w:space="0"/>
            </w:tcBorders>
            <w:noWrap w:val="0"/>
            <w:vAlign w:val="center"/>
          </w:tcPr>
          <w:p w14:paraId="2615E4DF">
            <w:pPr>
              <w:pStyle w:val="698"/>
              <w:rPr>
                <w:rFonts w:hint="default" w:ascii="Times New Roman" w:hAnsi="Times New Roman" w:cs="Times New Roman"/>
                <w:color w:val="auto"/>
                <w:highlight w:val="none"/>
              </w:rPr>
            </w:pPr>
          </w:p>
        </w:tc>
        <w:tc>
          <w:tcPr>
            <w:tcW w:w="345" w:type="pct"/>
            <w:tcBorders>
              <w:left w:val="single" w:color="auto" w:sz="4" w:space="0"/>
            </w:tcBorders>
            <w:noWrap w:val="0"/>
            <w:vAlign w:val="center"/>
          </w:tcPr>
          <w:p w14:paraId="07551CE0">
            <w:pPr>
              <w:pStyle w:val="698"/>
              <w:rPr>
                <w:rFonts w:hint="default" w:ascii="Times New Roman" w:hAnsi="Times New Roman" w:cs="Times New Roman"/>
                <w:color w:val="auto"/>
                <w:highlight w:val="none"/>
              </w:rPr>
            </w:pPr>
          </w:p>
        </w:tc>
        <w:tc>
          <w:tcPr>
            <w:tcW w:w="506" w:type="pct"/>
            <w:tcBorders>
              <w:right w:val="single" w:color="auto" w:sz="4" w:space="0"/>
            </w:tcBorders>
            <w:noWrap w:val="0"/>
            <w:vAlign w:val="center"/>
          </w:tcPr>
          <w:p w14:paraId="4A3A69FE">
            <w:pPr>
              <w:pStyle w:val="698"/>
              <w:rPr>
                <w:rFonts w:hint="default" w:ascii="Times New Roman" w:hAnsi="Times New Roman" w:cs="Times New Roman"/>
                <w:color w:val="auto"/>
                <w:highlight w:val="none"/>
              </w:rPr>
            </w:pPr>
            <w:r>
              <w:rPr>
                <w:rFonts w:hint="eastAsia" w:ascii="宋体" w:hAnsi="宋体" w:eastAsia="宋体" w:cs="宋体"/>
                <w:b w:val="0"/>
                <w:bCs w:val="0"/>
                <w:color w:val="auto"/>
                <w:sz w:val="18"/>
                <w:szCs w:val="18"/>
                <w:highlight w:val="none"/>
              </w:rPr>
              <w:t>○-</w:t>
            </w:r>
          </w:p>
        </w:tc>
        <w:tc>
          <w:tcPr>
            <w:tcW w:w="711" w:type="pct"/>
            <w:tcBorders>
              <w:left w:val="single" w:color="auto" w:sz="4" w:space="0"/>
              <w:right w:val="single" w:color="auto" w:sz="4" w:space="0"/>
            </w:tcBorders>
            <w:noWrap w:val="0"/>
            <w:vAlign w:val="center"/>
          </w:tcPr>
          <w:p w14:paraId="4EFFEA4D">
            <w:pPr>
              <w:pStyle w:val="698"/>
              <w:rPr>
                <w:rFonts w:hint="default" w:ascii="Times New Roman" w:hAnsi="Times New Roman" w:cs="Times New Roman"/>
                <w:color w:val="auto"/>
                <w:highlight w:val="none"/>
              </w:rPr>
            </w:pPr>
            <w:r>
              <w:rPr>
                <w:rFonts w:hint="eastAsia" w:ascii="宋体" w:hAnsi="宋体" w:eastAsia="宋体" w:cs="宋体"/>
                <w:b w:val="0"/>
                <w:bCs w:val="0"/>
                <w:color w:val="auto"/>
                <w:sz w:val="18"/>
                <w:szCs w:val="18"/>
                <w:highlight w:val="none"/>
              </w:rPr>
              <w:t>○-</w:t>
            </w:r>
          </w:p>
        </w:tc>
        <w:tc>
          <w:tcPr>
            <w:tcW w:w="432" w:type="pct"/>
            <w:tcBorders>
              <w:left w:val="single" w:color="auto" w:sz="4" w:space="0"/>
            </w:tcBorders>
            <w:noWrap w:val="0"/>
            <w:vAlign w:val="center"/>
          </w:tcPr>
          <w:p w14:paraId="5A8CB8E8">
            <w:pPr>
              <w:pStyle w:val="698"/>
              <w:rPr>
                <w:rFonts w:hint="default" w:ascii="Times New Roman" w:hAnsi="Times New Roman" w:cs="Times New Roman"/>
                <w:color w:val="auto"/>
                <w:highlight w:val="none"/>
              </w:rPr>
            </w:pPr>
          </w:p>
        </w:tc>
      </w:tr>
      <w:tr w14:paraId="180DB6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0" w:type="pct"/>
            <w:noWrap w:val="0"/>
            <w:vAlign w:val="center"/>
          </w:tcPr>
          <w:p w14:paraId="2B153DB2">
            <w:pPr>
              <w:pStyle w:val="410"/>
              <w:adjustRightInd w:val="0"/>
              <w:snapToGrid w:val="0"/>
              <w:ind w:firstLine="0"/>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运营期</w:t>
            </w:r>
          </w:p>
        </w:tc>
        <w:tc>
          <w:tcPr>
            <w:tcW w:w="1394" w:type="pct"/>
            <w:noWrap w:val="0"/>
            <w:vAlign w:val="center"/>
          </w:tcPr>
          <w:p w14:paraId="46CB5CB5">
            <w:pPr>
              <w:pStyle w:val="410"/>
              <w:adjustRightInd w:val="0"/>
              <w:snapToGrid w:val="0"/>
              <w:ind w:firstLine="0"/>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水系改造段水文情势及行洪变化</w:t>
            </w:r>
          </w:p>
        </w:tc>
        <w:tc>
          <w:tcPr>
            <w:tcW w:w="298" w:type="pct"/>
            <w:tcBorders>
              <w:right w:val="single" w:color="auto" w:sz="4" w:space="0"/>
            </w:tcBorders>
            <w:noWrap w:val="0"/>
            <w:vAlign w:val="center"/>
          </w:tcPr>
          <w:p w14:paraId="3511E6A0">
            <w:pPr>
              <w:pStyle w:val="410"/>
              <w:adjustRightInd w:val="0"/>
              <w:snapToGrid w:val="0"/>
              <w:ind w:firstLine="0"/>
              <w:jc w:val="center"/>
              <w:rPr>
                <w:rFonts w:hint="default" w:ascii="Times New Roman" w:hAnsi="Times New Roman" w:cs="Times New Roman"/>
                <w:color w:val="auto"/>
                <w:sz w:val="21"/>
                <w:szCs w:val="21"/>
                <w:highlight w:val="none"/>
              </w:rPr>
            </w:pPr>
          </w:p>
        </w:tc>
        <w:tc>
          <w:tcPr>
            <w:tcW w:w="333" w:type="pct"/>
            <w:tcBorders>
              <w:left w:val="single" w:color="auto" w:sz="4" w:space="0"/>
              <w:right w:val="single" w:color="auto" w:sz="4" w:space="0"/>
            </w:tcBorders>
            <w:noWrap w:val="0"/>
            <w:vAlign w:val="center"/>
          </w:tcPr>
          <w:p w14:paraId="01B4F2B6">
            <w:pPr>
              <w:pStyle w:val="410"/>
              <w:adjustRightInd w:val="0"/>
              <w:snapToGrid w:val="0"/>
              <w:ind w:firstLine="0"/>
              <w:jc w:val="center"/>
              <w:rPr>
                <w:rFonts w:hint="default" w:ascii="Times New Roman" w:hAnsi="Times New Roman" w:cs="Times New Roman"/>
                <w:color w:val="auto"/>
                <w:sz w:val="21"/>
                <w:szCs w:val="21"/>
                <w:highlight w:val="none"/>
              </w:rPr>
            </w:pPr>
            <w:r>
              <w:rPr>
                <w:rFonts w:hint="eastAsia" w:ascii="宋体" w:hAnsi="宋体" w:eastAsia="宋体" w:cs="宋体"/>
                <w:b w:val="0"/>
                <w:bCs w:val="0"/>
                <w:color w:val="auto"/>
                <w:sz w:val="18"/>
                <w:szCs w:val="18"/>
                <w:highlight w:val="none"/>
              </w:rPr>
              <w:t>○+</w:t>
            </w:r>
          </w:p>
        </w:tc>
        <w:tc>
          <w:tcPr>
            <w:tcW w:w="338" w:type="pct"/>
            <w:tcBorders>
              <w:left w:val="single" w:color="auto" w:sz="4" w:space="0"/>
              <w:right w:val="single" w:color="auto" w:sz="4" w:space="0"/>
            </w:tcBorders>
            <w:noWrap w:val="0"/>
            <w:vAlign w:val="center"/>
          </w:tcPr>
          <w:p w14:paraId="551AA4A2">
            <w:pPr>
              <w:pStyle w:val="410"/>
              <w:adjustRightInd w:val="0"/>
              <w:snapToGrid w:val="0"/>
              <w:ind w:firstLine="0"/>
              <w:jc w:val="center"/>
              <w:rPr>
                <w:rFonts w:hint="default" w:ascii="Times New Roman" w:hAnsi="Times New Roman" w:cs="Times New Roman"/>
                <w:color w:val="auto"/>
                <w:sz w:val="21"/>
                <w:szCs w:val="21"/>
                <w:highlight w:val="none"/>
              </w:rPr>
            </w:pPr>
          </w:p>
        </w:tc>
        <w:tc>
          <w:tcPr>
            <w:tcW w:w="345" w:type="pct"/>
            <w:tcBorders>
              <w:left w:val="single" w:color="auto" w:sz="4" w:space="0"/>
            </w:tcBorders>
            <w:noWrap w:val="0"/>
            <w:vAlign w:val="center"/>
          </w:tcPr>
          <w:p w14:paraId="3BBDE78E">
            <w:pPr>
              <w:pStyle w:val="410"/>
              <w:adjustRightInd w:val="0"/>
              <w:snapToGrid w:val="0"/>
              <w:ind w:firstLine="0"/>
              <w:jc w:val="center"/>
              <w:rPr>
                <w:rFonts w:hint="default" w:ascii="Times New Roman" w:hAnsi="Times New Roman" w:cs="Times New Roman"/>
                <w:color w:val="auto"/>
                <w:sz w:val="21"/>
                <w:szCs w:val="21"/>
                <w:highlight w:val="none"/>
              </w:rPr>
            </w:pPr>
          </w:p>
        </w:tc>
        <w:tc>
          <w:tcPr>
            <w:tcW w:w="506" w:type="pct"/>
            <w:tcBorders>
              <w:right w:val="single" w:color="auto" w:sz="4" w:space="0"/>
            </w:tcBorders>
            <w:noWrap w:val="0"/>
            <w:vAlign w:val="center"/>
          </w:tcPr>
          <w:p w14:paraId="1F48EDC8">
            <w:pPr>
              <w:pStyle w:val="410"/>
              <w:adjustRightInd w:val="0"/>
              <w:snapToGrid w:val="0"/>
              <w:ind w:firstLine="0"/>
              <w:jc w:val="center"/>
              <w:rPr>
                <w:rFonts w:hint="default" w:ascii="Times New Roman" w:hAnsi="Times New Roman" w:eastAsia="宋体" w:cs="Times New Roman"/>
                <w:color w:val="auto"/>
                <w:sz w:val="21"/>
                <w:szCs w:val="21"/>
                <w:highlight w:val="none"/>
                <w:lang w:val="en-US" w:eastAsia="zh-CN"/>
              </w:rPr>
            </w:pPr>
          </w:p>
        </w:tc>
        <w:tc>
          <w:tcPr>
            <w:tcW w:w="711" w:type="pct"/>
            <w:tcBorders>
              <w:left w:val="single" w:color="auto" w:sz="4" w:space="0"/>
              <w:right w:val="single" w:color="auto" w:sz="4" w:space="0"/>
            </w:tcBorders>
            <w:noWrap w:val="0"/>
            <w:vAlign w:val="center"/>
          </w:tcPr>
          <w:p w14:paraId="7EBD3C94">
            <w:pPr>
              <w:pStyle w:val="410"/>
              <w:adjustRightInd w:val="0"/>
              <w:snapToGrid w:val="0"/>
              <w:ind w:firstLine="0"/>
              <w:jc w:val="center"/>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b w:val="0"/>
                <w:bCs w:val="0"/>
                <w:color w:val="auto"/>
                <w:sz w:val="18"/>
                <w:szCs w:val="18"/>
                <w:highlight w:val="none"/>
              </w:rPr>
              <w:t>○-</w:t>
            </w:r>
          </w:p>
        </w:tc>
        <w:tc>
          <w:tcPr>
            <w:tcW w:w="432" w:type="pct"/>
            <w:tcBorders>
              <w:left w:val="single" w:color="auto" w:sz="4" w:space="0"/>
            </w:tcBorders>
            <w:noWrap w:val="0"/>
            <w:vAlign w:val="center"/>
          </w:tcPr>
          <w:p w14:paraId="7581DDDC">
            <w:pPr>
              <w:pStyle w:val="410"/>
              <w:adjustRightInd w:val="0"/>
              <w:snapToGrid w:val="0"/>
              <w:ind w:firstLine="0"/>
              <w:jc w:val="center"/>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b w:val="0"/>
                <w:bCs w:val="0"/>
                <w:color w:val="auto"/>
                <w:sz w:val="18"/>
                <w:szCs w:val="18"/>
                <w:highlight w:val="none"/>
              </w:rPr>
              <w:t>○-</w:t>
            </w:r>
          </w:p>
        </w:tc>
      </w:tr>
    </w:tbl>
    <w:p w14:paraId="00A399BA">
      <w:pPr>
        <w:rPr>
          <w:rFonts w:hint="default"/>
          <w:color w:val="auto"/>
          <w:highlight w:val="none"/>
        </w:rPr>
      </w:pPr>
      <w:r>
        <w:rPr>
          <w:rFonts w:hint="eastAsia" w:ascii="宋体" w:hAnsi="宋体" w:eastAsia="宋体" w:cs="宋体"/>
          <w:b w:val="0"/>
          <w:bCs w:val="0"/>
          <w:color w:val="auto"/>
          <w:sz w:val="18"/>
          <w:szCs w:val="18"/>
          <w:highlight w:val="none"/>
        </w:rPr>
        <w:t>注：“●” 重大影响；“▲”中等影响；“○”轻度影响；“+”正影响；“-”负影响。</w:t>
      </w:r>
    </w:p>
    <w:p w14:paraId="1F57C80B">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r>
        <w:rPr>
          <w:rFonts w:hint="default"/>
          <w:color w:val="auto"/>
          <w:highlight w:val="none"/>
        </w:rPr>
        <w:t>评价因子筛选结果</w:t>
      </w:r>
      <w:bookmarkEnd w:id="21"/>
    </w:p>
    <w:tbl>
      <w:tblPr>
        <w:tblStyle w:val="87"/>
        <w:tblW w:w="873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67"/>
        <w:gridCol w:w="1259"/>
        <w:gridCol w:w="6404"/>
      </w:tblGrid>
      <w:tr w14:paraId="1BA57A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7" w:type="dxa"/>
            <w:noWrap w:val="0"/>
            <w:tcMar>
              <w:top w:w="0" w:type="dxa"/>
              <w:left w:w="0" w:type="dxa"/>
              <w:bottom w:w="0" w:type="dxa"/>
              <w:right w:w="0" w:type="dxa"/>
            </w:tcMar>
            <w:vAlign w:val="center"/>
          </w:tcPr>
          <w:p w14:paraId="299867E7">
            <w:pPr>
              <w:pStyle w:val="69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影响要素</w:t>
            </w:r>
          </w:p>
        </w:tc>
        <w:tc>
          <w:tcPr>
            <w:tcW w:w="1259" w:type="dxa"/>
            <w:noWrap w:val="0"/>
            <w:tcMar>
              <w:top w:w="0" w:type="dxa"/>
              <w:left w:w="0" w:type="dxa"/>
              <w:bottom w:w="0" w:type="dxa"/>
              <w:right w:w="0" w:type="dxa"/>
            </w:tcMar>
            <w:vAlign w:val="center"/>
          </w:tcPr>
          <w:p w14:paraId="6377E69B">
            <w:pPr>
              <w:pStyle w:val="69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评价类别</w:t>
            </w:r>
          </w:p>
        </w:tc>
        <w:tc>
          <w:tcPr>
            <w:tcW w:w="6404" w:type="dxa"/>
            <w:noWrap w:val="0"/>
            <w:tcMar>
              <w:top w:w="0" w:type="dxa"/>
              <w:left w:w="0" w:type="dxa"/>
              <w:bottom w:w="0" w:type="dxa"/>
              <w:right w:w="0" w:type="dxa"/>
            </w:tcMar>
            <w:vAlign w:val="center"/>
          </w:tcPr>
          <w:p w14:paraId="7A342F57">
            <w:pPr>
              <w:pStyle w:val="69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评价因子</w:t>
            </w:r>
          </w:p>
        </w:tc>
      </w:tr>
      <w:tr w14:paraId="76B203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67" w:type="dxa"/>
            <w:vMerge w:val="restart"/>
            <w:noWrap w:val="0"/>
            <w:tcMar>
              <w:top w:w="0" w:type="dxa"/>
              <w:left w:w="0" w:type="dxa"/>
              <w:bottom w:w="0" w:type="dxa"/>
              <w:right w:w="0" w:type="dxa"/>
            </w:tcMar>
            <w:vAlign w:val="center"/>
          </w:tcPr>
          <w:p w14:paraId="0ED5843C">
            <w:pPr>
              <w:pStyle w:val="698"/>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生态环境</w:t>
            </w:r>
          </w:p>
        </w:tc>
        <w:tc>
          <w:tcPr>
            <w:tcW w:w="1259" w:type="dxa"/>
            <w:noWrap w:val="0"/>
            <w:tcMar>
              <w:top w:w="0" w:type="dxa"/>
              <w:left w:w="0" w:type="dxa"/>
              <w:bottom w:w="0" w:type="dxa"/>
              <w:right w:w="0" w:type="dxa"/>
            </w:tcMar>
            <w:vAlign w:val="center"/>
          </w:tcPr>
          <w:p w14:paraId="67B22467">
            <w:pPr>
              <w:pStyle w:val="698"/>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现状评价</w:t>
            </w:r>
          </w:p>
        </w:tc>
        <w:tc>
          <w:tcPr>
            <w:tcW w:w="6404" w:type="dxa"/>
            <w:noWrap w:val="0"/>
            <w:tcMar>
              <w:top w:w="0" w:type="dxa"/>
              <w:left w:w="0" w:type="dxa"/>
              <w:bottom w:w="0" w:type="dxa"/>
              <w:right w:w="0" w:type="dxa"/>
            </w:tcMar>
            <w:vAlign w:val="center"/>
          </w:tcPr>
          <w:p w14:paraId="3D7CE234">
            <w:pPr>
              <w:pStyle w:val="698"/>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物种分布、生境质量、生物群落物种组成、群落组合结构、水生生境。</w:t>
            </w:r>
          </w:p>
        </w:tc>
      </w:tr>
      <w:tr w14:paraId="32810E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7" w:type="dxa"/>
            <w:vMerge w:val="continue"/>
            <w:noWrap w:val="0"/>
            <w:tcMar>
              <w:top w:w="0" w:type="dxa"/>
              <w:left w:w="0" w:type="dxa"/>
              <w:bottom w:w="0" w:type="dxa"/>
              <w:right w:w="0" w:type="dxa"/>
            </w:tcMar>
            <w:vAlign w:val="center"/>
          </w:tcPr>
          <w:p w14:paraId="6DE23F74">
            <w:pPr>
              <w:pStyle w:val="698"/>
              <w:rPr>
                <w:rFonts w:hint="default" w:ascii="Times New Roman" w:hAnsi="Times New Roman" w:cs="Times New Roman"/>
                <w:color w:val="auto"/>
                <w:highlight w:val="none"/>
              </w:rPr>
            </w:pPr>
          </w:p>
        </w:tc>
        <w:tc>
          <w:tcPr>
            <w:tcW w:w="1259" w:type="dxa"/>
            <w:noWrap w:val="0"/>
            <w:tcMar>
              <w:top w:w="0" w:type="dxa"/>
              <w:left w:w="0" w:type="dxa"/>
              <w:bottom w:w="0" w:type="dxa"/>
              <w:right w:w="0" w:type="dxa"/>
            </w:tcMar>
            <w:vAlign w:val="center"/>
          </w:tcPr>
          <w:p w14:paraId="459BEA42">
            <w:pPr>
              <w:pStyle w:val="698"/>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影响分析</w:t>
            </w:r>
          </w:p>
        </w:tc>
        <w:tc>
          <w:tcPr>
            <w:tcW w:w="6404" w:type="dxa"/>
            <w:noWrap w:val="0"/>
            <w:tcMar>
              <w:top w:w="0" w:type="dxa"/>
              <w:left w:w="0" w:type="dxa"/>
              <w:bottom w:w="0" w:type="dxa"/>
              <w:right w:w="0" w:type="dxa"/>
            </w:tcMar>
            <w:vAlign w:val="center"/>
          </w:tcPr>
          <w:p w14:paraId="31D5CEB8">
            <w:pPr>
              <w:pStyle w:val="698"/>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物种分布、生境质量、生物群落物种组成、群落组合结构、水生生境。</w:t>
            </w:r>
          </w:p>
        </w:tc>
      </w:tr>
      <w:tr w14:paraId="4E47F4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7" w:type="dxa"/>
            <w:vMerge w:val="restart"/>
            <w:noWrap w:val="0"/>
            <w:tcMar>
              <w:top w:w="0" w:type="dxa"/>
              <w:left w:w="0" w:type="dxa"/>
              <w:bottom w:w="0" w:type="dxa"/>
              <w:right w:w="0" w:type="dxa"/>
            </w:tcMar>
            <w:vAlign w:val="center"/>
          </w:tcPr>
          <w:p w14:paraId="1E506BAB">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大气环境</w:t>
            </w:r>
          </w:p>
        </w:tc>
        <w:tc>
          <w:tcPr>
            <w:tcW w:w="1259" w:type="dxa"/>
            <w:noWrap w:val="0"/>
            <w:tcMar>
              <w:top w:w="0" w:type="dxa"/>
              <w:left w:w="0" w:type="dxa"/>
              <w:bottom w:w="0" w:type="dxa"/>
              <w:right w:w="0" w:type="dxa"/>
            </w:tcMar>
            <w:vAlign w:val="center"/>
          </w:tcPr>
          <w:p w14:paraId="7CF174D8">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现状评价</w:t>
            </w:r>
          </w:p>
        </w:tc>
        <w:tc>
          <w:tcPr>
            <w:tcW w:w="6404" w:type="dxa"/>
            <w:noWrap w:val="0"/>
            <w:tcMar>
              <w:top w:w="0" w:type="dxa"/>
              <w:left w:w="0" w:type="dxa"/>
              <w:bottom w:w="0" w:type="dxa"/>
              <w:right w:w="0" w:type="dxa"/>
            </w:tcMar>
            <w:vAlign w:val="center"/>
          </w:tcPr>
          <w:p w14:paraId="5E2D04E4">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、CO、O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2.5</w:t>
            </w:r>
          </w:p>
        </w:tc>
      </w:tr>
      <w:tr w14:paraId="619CF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7" w:type="dxa"/>
            <w:vMerge w:val="continue"/>
            <w:noWrap w:val="0"/>
            <w:vAlign w:val="center"/>
          </w:tcPr>
          <w:p w14:paraId="336E0097">
            <w:pPr>
              <w:pStyle w:val="698"/>
              <w:rPr>
                <w:rFonts w:hint="default" w:ascii="Times New Roman" w:hAnsi="Times New Roman" w:cs="Times New Roman"/>
                <w:color w:val="auto"/>
                <w:highlight w:val="none"/>
              </w:rPr>
            </w:pPr>
          </w:p>
        </w:tc>
        <w:tc>
          <w:tcPr>
            <w:tcW w:w="1259" w:type="dxa"/>
            <w:noWrap w:val="0"/>
            <w:tcMar>
              <w:top w:w="0" w:type="dxa"/>
              <w:left w:w="0" w:type="dxa"/>
              <w:bottom w:w="0" w:type="dxa"/>
              <w:right w:w="0" w:type="dxa"/>
            </w:tcMar>
            <w:vAlign w:val="center"/>
          </w:tcPr>
          <w:p w14:paraId="39D69F3D">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影响评价</w:t>
            </w:r>
          </w:p>
        </w:tc>
        <w:tc>
          <w:tcPr>
            <w:tcW w:w="6404" w:type="dxa"/>
            <w:noWrap w:val="0"/>
            <w:tcMar>
              <w:top w:w="0" w:type="dxa"/>
              <w:left w:w="0" w:type="dxa"/>
              <w:bottom w:w="0" w:type="dxa"/>
              <w:right w:w="0" w:type="dxa"/>
            </w:tcMar>
            <w:vAlign w:val="center"/>
          </w:tcPr>
          <w:p w14:paraId="4766C4C3">
            <w:pPr>
              <w:pStyle w:val="698"/>
              <w:rPr>
                <w:rFonts w:hint="default" w:ascii="Times New Roman" w:hAnsi="Times New Roman" w:cs="Times New Roman"/>
                <w:color w:val="auto"/>
                <w:highlight w:val="none"/>
              </w:rPr>
            </w:pPr>
            <w:r>
              <w:rPr>
                <w:rFonts w:hint="default" w:ascii="Times New Roman" w:hAnsi="Times New Roman" w:eastAsia="宋体" w:cs="Times New Roman"/>
                <w:color w:val="auto"/>
                <w:sz w:val="21"/>
                <w:szCs w:val="21"/>
                <w:highlight w:val="none"/>
                <w:lang w:val="en-US" w:eastAsia="zh-CN" w:bidi="ar-SA"/>
              </w:rPr>
              <w:t>TSP</w:t>
            </w:r>
          </w:p>
        </w:tc>
      </w:tr>
      <w:tr w14:paraId="58D51E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7" w:type="dxa"/>
            <w:vMerge w:val="restart"/>
            <w:noWrap w:val="0"/>
            <w:tcMar>
              <w:top w:w="0" w:type="dxa"/>
              <w:left w:w="0" w:type="dxa"/>
              <w:bottom w:w="0" w:type="dxa"/>
              <w:right w:w="0" w:type="dxa"/>
            </w:tcMar>
            <w:vAlign w:val="center"/>
          </w:tcPr>
          <w:p w14:paraId="41983E5B">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地表水环境</w:t>
            </w:r>
          </w:p>
        </w:tc>
        <w:tc>
          <w:tcPr>
            <w:tcW w:w="1259" w:type="dxa"/>
            <w:noWrap w:val="0"/>
            <w:tcMar>
              <w:top w:w="0" w:type="dxa"/>
              <w:left w:w="0" w:type="dxa"/>
              <w:bottom w:w="0" w:type="dxa"/>
              <w:right w:w="0" w:type="dxa"/>
            </w:tcMar>
            <w:vAlign w:val="center"/>
          </w:tcPr>
          <w:p w14:paraId="13D125E5">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现状评价</w:t>
            </w:r>
          </w:p>
        </w:tc>
        <w:tc>
          <w:tcPr>
            <w:tcW w:w="6404" w:type="dxa"/>
            <w:noWrap w:val="0"/>
            <w:tcMar>
              <w:top w:w="0" w:type="dxa"/>
              <w:left w:w="0" w:type="dxa"/>
              <w:bottom w:w="0" w:type="dxa"/>
              <w:right w:w="0" w:type="dxa"/>
            </w:tcMar>
            <w:vAlign w:val="center"/>
          </w:tcPr>
          <w:p w14:paraId="4D3BEBE6">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水温、pH值、溶解氧、COD、BOD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、SS、氨氮、</w:t>
            </w:r>
            <w:r>
              <w:rPr>
                <w:rFonts w:hint="eastAsia" w:ascii="Times New Roman" w:hAnsi="Times New Roman" w:cs="Times New Roman"/>
                <w:color w:val="auto"/>
                <w:highlight w:val="none"/>
                <w:lang w:eastAsia="zh-CN"/>
              </w:rPr>
              <w:t>阴离子表面活性剂</w:t>
            </w:r>
            <w:r>
              <w:rPr>
                <w:rFonts w:hint="default" w:ascii="Times New Roman" w:hAnsi="Times New Roman" w:cs="Times New Roman"/>
                <w:color w:val="auto"/>
                <w:highlight w:val="none"/>
              </w:rPr>
              <w:t>、总磷、高锰酸盐指数等共计10项</w:t>
            </w:r>
          </w:p>
        </w:tc>
      </w:tr>
      <w:tr w14:paraId="5F16E0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7" w:type="dxa"/>
            <w:vMerge w:val="continue"/>
            <w:noWrap w:val="0"/>
            <w:vAlign w:val="center"/>
          </w:tcPr>
          <w:p w14:paraId="11443D69">
            <w:pPr>
              <w:pStyle w:val="698"/>
              <w:rPr>
                <w:rFonts w:hint="default" w:ascii="Times New Roman" w:hAnsi="Times New Roman" w:cs="Times New Roman"/>
                <w:color w:val="auto"/>
                <w:highlight w:val="none"/>
              </w:rPr>
            </w:pPr>
          </w:p>
        </w:tc>
        <w:tc>
          <w:tcPr>
            <w:tcW w:w="1259" w:type="dxa"/>
            <w:noWrap w:val="0"/>
            <w:tcMar>
              <w:top w:w="0" w:type="dxa"/>
              <w:left w:w="0" w:type="dxa"/>
              <w:bottom w:w="0" w:type="dxa"/>
              <w:right w:w="0" w:type="dxa"/>
            </w:tcMar>
            <w:vAlign w:val="center"/>
          </w:tcPr>
          <w:p w14:paraId="35BECCF2">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影响评价</w:t>
            </w:r>
          </w:p>
        </w:tc>
        <w:tc>
          <w:tcPr>
            <w:tcW w:w="6404" w:type="dxa"/>
            <w:noWrap w:val="0"/>
            <w:tcMar>
              <w:top w:w="0" w:type="dxa"/>
              <w:left w:w="0" w:type="dxa"/>
              <w:bottom w:w="0" w:type="dxa"/>
              <w:right w:w="0" w:type="dxa"/>
            </w:tcMar>
            <w:vAlign w:val="center"/>
          </w:tcPr>
          <w:p w14:paraId="6F2E249D">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无废水外排，定性分析水文要素等如流速和冲淤变化</w:t>
            </w:r>
          </w:p>
        </w:tc>
      </w:tr>
      <w:tr w14:paraId="764586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7" w:type="dxa"/>
            <w:vMerge w:val="restart"/>
            <w:noWrap w:val="0"/>
            <w:tcMar>
              <w:top w:w="0" w:type="dxa"/>
              <w:left w:w="0" w:type="dxa"/>
              <w:bottom w:w="0" w:type="dxa"/>
              <w:right w:w="0" w:type="dxa"/>
            </w:tcMar>
            <w:vAlign w:val="center"/>
          </w:tcPr>
          <w:p w14:paraId="208A3A99">
            <w:pPr>
              <w:pStyle w:val="698"/>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地下水环境</w:t>
            </w:r>
          </w:p>
        </w:tc>
        <w:tc>
          <w:tcPr>
            <w:tcW w:w="1259" w:type="dxa"/>
            <w:noWrap w:val="0"/>
            <w:tcMar>
              <w:top w:w="0" w:type="dxa"/>
              <w:left w:w="0" w:type="dxa"/>
              <w:bottom w:w="0" w:type="dxa"/>
              <w:right w:w="0" w:type="dxa"/>
            </w:tcMar>
            <w:vAlign w:val="center"/>
          </w:tcPr>
          <w:p w14:paraId="1841ACEF">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现状评价</w:t>
            </w:r>
          </w:p>
        </w:tc>
        <w:tc>
          <w:tcPr>
            <w:tcW w:w="6404" w:type="dxa"/>
            <w:noWrap w:val="0"/>
            <w:tcMar>
              <w:top w:w="0" w:type="dxa"/>
              <w:left w:w="0" w:type="dxa"/>
              <w:bottom w:w="0" w:type="dxa"/>
              <w:right w:w="0" w:type="dxa"/>
            </w:tcMar>
            <w:vAlign w:val="center"/>
          </w:tcPr>
          <w:p w14:paraId="6A324EA9">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K</w:t>
            </w:r>
            <w:r>
              <w:rPr>
                <w:rFonts w:hint="default" w:ascii="Times New Roman" w:hAnsi="Times New Roman" w:cs="Times New Roman"/>
                <w:color w:val="auto"/>
                <w:highlight w:val="none"/>
                <w:vertAlign w:val="superscript"/>
              </w:rPr>
              <w:t>+</w:t>
            </w:r>
            <w:r>
              <w:rPr>
                <w:rFonts w:hint="default" w:ascii="Times New Roman" w:hAnsi="Times New Roman" w:cs="Times New Roman"/>
                <w:color w:val="auto"/>
                <w:highlight w:val="none"/>
              </w:rPr>
              <w:t>、Na</w:t>
            </w:r>
            <w:r>
              <w:rPr>
                <w:rFonts w:hint="default" w:ascii="Times New Roman" w:hAnsi="Times New Roman" w:cs="Times New Roman"/>
                <w:color w:val="auto"/>
                <w:highlight w:val="none"/>
                <w:vertAlign w:val="superscript"/>
              </w:rPr>
              <w:t>+</w:t>
            </w:r>
            <w:r>
              <w:rPr>
                <w:rFonts w:hint="default" w:ascii="Times New Roman" w:hAnsi="Times New Roman" w:cs="Times New Roman"/>
                <w:color w:val="auto"/>
                <w:highlight w:val="none"/>
              </w:rPr>
              <w:t>、Ca</w:t>
            </w:r>
            <w:r>
              <w:rPr>
                <w:rFonts w:hint="eastAsia" w:ascii="Times New Roman" w:cs="Times New Roman"/>
                <w:color w:val="auto"/>
                <w:highlight w:val="none"/>
                <w:vertAlign w:val="superscript"/>
                <w:lang w:val="en-US" w:eastAsia="zh-CN"/>
              </w:rPr>
              <w:t>2</w:t>
            </w:r>
            <w:r>
              <w:rPr>
                <w:rFonts w:hint="default" w:ascii="Times New Roman" w:hAnsi="Times New Roman" w:cs="Times New Roman"/>
                <w:color w:val="auto"/>
                <w:highlight w:val="none"/>
                <w:vertAlign w:val="superscript"/>
              </w:rPr>
              <w:t>+</w:t>
            </w:r>
            <w:r>
              <w:rPr>
                <w:rFonts w:hint="default" w:ascii="Times New Roman" w:hAnsi="Times New Roman" w:cs="Times New Roman"/>
                <w:color w:val="auto"/>
                <w:highlight w:val="none"/>
              </w:rPr>
              <w:t>、Mg</w:t>
            </w:r>
            <w:r>
              <w:rPr>
                <w:rFonts w:hint="eastAsia" w:ascii="Times New Roman" w:cs="Times New Roman"/>
                <w:color w:val="auto"/>
                <w:highlight w:val="none"/>
                <w:vertAlign w:val="superscript"/>
                <w:lang w:val="en-US" w:eastAsia="zh-CN"/>
              </w:rPr>
              <w:t>2</w:t>
            </w:r>
            <w:r>
              <w:rPr>
                <w:rFonts w:hint="default" w:ascii="Times New Roman" w:hAnsi="Times New Roman" w:cs="Times New Roman"/>
                <w:color w:val="auto"/>
                <w:highlight w:val="none"/>
                <w:vertAlign w:val="superscript"/>
              </w:rPr>
              <w:t>+</w:t>
            </w:r>
            <w:r>
              <w:rPr>
                <w:rFonts w:hint="default" w:ascii="Times New Roman" w:hAnsi="Times New Roman" w:cs="Times New Roman"/>
                <w:color w:val="auto"/>
                <w:highlight w:val="none"/>
              </w:rPr>
              <w:t>、CO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、HCO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vertAlign w:val="superscript"/>
              </w:rPr>
              <w:t>-</w:t>
            </w:r>
            <w:r>
              <w:rPr>
                <w:rFonts w:hint="default" w:ascii="Times New Roman" w:hAnsi="Times New Roman" w:cs="Times New Roman"/>
                <w:color w:val="auto"/>
                <w:highlight w:val="none"/>
              </w:rPr>
              <w:t>、Cl</w:t>
            </w:r>
            <w:r>
              <w:rPr>
                <w:rFonts w:hint="default" w:ascii="Times New Roman" w:hAnsi="Times New Roman" w:cs="Times New Roman"/>
                <w:color w:val="auto"/>
                <w:highlight w:val="none"/>
                <w:vertAlign w:val="superscript"/>
              </w:rPr>
              <w:t>-</w:t>
            </w: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4</w:t>
            </w:r>
            <w:r>
              <w:rPr>
                <w:rFonts w:hint="default" w:ascii="Times New Roman" w:hAnsi="Times New Roman" w:cs="Times New Roman"/>
                <w:color w:val="auto"/>
                <w:highlight w:val="none"/>
                <w:vertAlign w:val="superscript"/>
              </w:rPr>
              <w:t>2-</w:t>
            </w:r>
          </w:p>
          <w:p w14:paraId="59B44519">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水温、pH值、氨氮、硝酸盐氮、亚硝酸盐氮、挥发性酚类、砷、汞、六价铬、总硬度、铅、镉、铁、锰、溶解性总固体、耗氧量、总大肠菌群</w:t>
            </w:r>
          </w:p>
        </w:tc>
      </w:tr>
      <w:tr w14:paraId="587768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7" w:type="dxa"/>
            <w:vMerge w:val="continue"/>
            <w:noWrap w:val="0"/>
            <w:vAlign w:val="center"/>
          </w:tcPr>
          <w:p w14:paraId="669D3CD2">
            <w:pPr>
              <w:pStyle w:val="698"/>
              <w:rPr>
                <w:rFonts w:hint="default" w:ascii="Times New Roman" w:hAnsi="Times New Roman" w:cs="Times New Roman"/>
                <w:color w:val="auto"/>
                <w:highlight w:val="none"/>
              </w:rPr>
            </w:pPr>
          </w:p>
        </w:tc>
        <w:tc>
          <w:tcPr>
            <w:tcW w:w="1259" w:type="dxa"/>
            <w:noWrap w:val="0"/>
            <w:tcMar>
              <w:top w:w="0" w:type="dxa"/>
              <w:left w:w="0" w:type="dxa"/>
              <w:bottom w:w="0" w:type="dxa"/>
              <w:right w:w="0" w:type="dxa"/>
            </w:tcMar>
            <w:vAlign w:val="center"/>
          </w:tcPr>
          <w:p w14:paraId="260081C6">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影响评价</w:t>
            </w:r>
          </w:p>
        </w:tc>
        <w:tc>
          <w:tcPr>
            <w:tcW w:w="6404" w:type="dxa"/>
            <w:noWrap w:val="0"/>
            <w:tcMar>
              <w:top w:w="0" w:type="dxa"/>
              <w:left w:w="0" w:type="dxa"/>
              <w:bottom w:w="0" w:type="dxa"/>
              <w:right w:w="0" w:type="dxa"/>
            </w:tcMar>
            <w:vAlign w:val="center"/>
          </w:tcPr>
          <w:p w14:paraId="10BFA8E3">
            <w:pPr>
              <w:pStyle w:val="698"/>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地下水水位、水质</w:t>
            </w:r>
          </w:p>
        </w:tc>
      </w:tr>
      <w:tr w14:paraId="606B22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7" w:type="dxa"/>
            <w:vMerge w:val="restart"/>
            <w:noWrap w:val="0"/>
            <w:vAlign w:val="center"/>
          </w:tcPr>
          <w:p w14:paraId="25769BD3">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底泥</w:t>
            </w:r>
          </w:p>
        </w:tc>
        <w:tc>
          <w:tcPr>
            <w:tcW w:w="1259" w:type="dxa"/>
            <w:noWrap w:val="0"/>
            <w:tcMar>
              <w:top w:w="0" w:type="dxa"/>
              <w:left w:w="0" w:type="dxa"/>
              <w:bottom w:w="0" w:type="dxa"/>
              <w:right w:w="0" w:type="dxa"/>
            </w:tcMar>
            <w:vAlign w:val="center"/>
          </w:tcPr>
          <w:p w14:paraId="18B9697E">
            <w:pPr>
              <w:pStyle w:val="698"/>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rPr>
              <w:t>现状评价</w:t>
            </w:r>
          </w:p>
        </w:tc>
        <w:tc>
          <w:tcPr>
            <w:tcW w:w="6404" w:type="dxa"/>
            <w:noWrap w:val="0"/>
            <w:tcMar>
              <w:top w:w="0" w:type="dxa"/>
              <w:left w:w="0" w:type="dxa"/>
              <w:bottom w:w="0" w:type="dxa"/>
              <w:right w:w="0" w:type="dxa"/>
            </w:tcMar>
            <w:vAlign w:val="center"/>
          </w:tcPr>
          <w:p w14:paraId="6DDF0530">
            <w:pPr>
              <w:pStyle w:val="698"/>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rPr>
              <w:t>pH值、铅、锌、铜、镉、汞、砷、铬、镍</w:t>
            </w:r>
          </w:p>
        </w:tc>
      </w:tr>
      <w:tr w14:paraId="1BF999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067" w:type="dxa"/>
            <w:vMerge w:val="continue"/>
            <w:noWrap w:val="0"/>
            <w:vAlign w:val="center"/>
          </w:tcPr>
          <w:p w14:paraId="53FD1FF9">
            <w:pPr>
              <w:pStyle w:val="698"/>
              <w:rPr>
                <w:rFonts w:hint="default" w:ascii="Times New Roman" w:hAnsi="Times New Roman" w:cs="Times New Roman"/>
                <w:color w:val="auto"/>
                <w:highlight w:val="none"/>
              </w:rPr>
            </w:pPr>
          </w:p>
        </w:tc>
        <w:tc>
          <w:tcPr>
            <w:tcW w:w="1259" w:type="dxa"/>
            <w:noWrap w:val="0"/>
            <w:tcMar>
              <w:top w:w="0" w:type="dxa"/>
              <w:left w:w="0" w:type="dxa"/>
              <w:bottom w:w="0" w:type="dxa"/>
              <w:right w:w="0" w:type="dxa"/>
            </w:tcMar>
            <w:vAlign w:val="center"/>
          </w:tcPr>
          <w:p w14:paraId="2F54316D">
            <w:pPr>
              <w:pStyle w:val="698"/>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rPr>
              <w:t>影响评价</w:t>
            </w:r>
          </w:p>
        </w:tc>
        <w:tc>
          <w:tcPr>
            <w:tcW w:w="6404" w:type="dxa"/>
            <w:noWrap w:val="0"/>
            <w:tcMar>
              <w:top w:w="0" w:type="dxa"/>
              <w:left w:w="0" w:type="dxa"/>
              <w:bottom w:w="0" w:type="dxa"/>
              <w:right w:w="0" w:type="dxa"/>
            </w:tcMar>
            <w:vAlign w:val="center"/>
          </w:tcPr>
          <w:p w14:paraId="42C69CB9">
            <w:pPr>
              <w:pStyle w:val="698"/>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rPr>
              <w:t>/</w:t>
            </w:r>
          </w:p>
        </w:tc>
      </w:tr>
      <w:tr w14:paraId="072DF0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7" w:type="dxa"/>
            <w:vMerge w:val="restart"/>
            <w:noWrap w:val="0"/>
            <w:vAlign w:val="center"/>
          </w:tcPr>
          <w:p w14:paraId="6DA2065C">
            <w:pPr>
              <w:pStyle w:val="698"/>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土壤环境</w:t>
            </w:r>
          </w:p>
        </w:tc>
        <w:tc>
          <w:tcPr>
            <w:tcW w:w="1259" w:type="dxa"/>
            <w:noWrap w:val="0"/>
            <w:tcMar>
              <w:top w:w="0" w:type="dxa"/>
              <w:left w:w="0" w:type="dxa"/>
              <w:bottom w:w="0" w:type="dxa"/>
              <w:right w:w="0" w:type="dxa"/>
            </w:tcMar>
            <w:vAlign w:val="center"/>
          </w:tcPr>
          <w:p w14:paraId="77D66F5C">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现状评价</w:t>
            </w:r>
          </w:p>
        </w:tc>
        <w:tc>
          <w:tcPr>
            <w:tcW w:w="6404" w:type="dxa"/>
            <w:noWrap w:val="0"/>
            <w:tcMar>
              <w:top w:w="0" w:type="dxa"/>
              <w:left w:w="0" w:type="dxa"/>
              <w:bottom w:w="0" w:type="dxa"/>
              <w:right w:w="0" w:type="dxa"/>
            </w:tcMar>
            <w:vAlign w:val="center"/>
          </w:tcPr>
          <w:p w14:paraId="7A9B5DF3">
            <w:pPr>
              <w:pStyle w:val="698"/>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pH值、镉、汞、砷、铅、铬、铜、镍、锌等</w:t>
            </w:r>
          </w:p>
        </w:tc>
      </w:tr>
      <w:tr w14:paraId="514FDC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7" w:type="dxa"/>
            <w:vMerge w:val="continue"/>
            <w:noWrap w:val="0"/>
            <w:vAlign w:val="center"/>
          </w:tcPr>
          <w:p w14:paraId="5B2259B8">
            <w:pPr>
              <w:pStyle w:val="698"/>
              <w:rPr>
                <w:rFonts w:hint="default" w:ascii="Times New Roman" w:hAnsi="Times New Roman" w:cs="Times New Roman"/>
                <w:color w:val="auto"/>
                <w:highlight w:val="none"/>
              </w:rPr>
            </w:pPr>
          </w:p>
        </w:tc>
        <w:tc>
          <w:tcPr>
            <w:tcW w:w="1259" w:type="dxa"/>
            <w:noWrap w:val="0"/>
            <w:tcMar>
              <w:top w:w="0" w:type="dxa"/>
              <w:left w:w="0" w:type="dxa"/>
              <w:bottom w:w="0" w:type="dxa"/>
              <w:right w:w="0" w:type="dxa"/>
            </w:tcMar>
            <w:vAlign w:val="center"/>
          </w:tcPr>
          <w:p w14:paraId="514C8CC1">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影响评价</w:t>
            </w:r>
          </w:p>
        </w:tc>
        <w:tc>
          <w:tcPr>
            <w:tcW w:w="6404" w:type="dxa"/>
            <w:noWrap w:val="0"/>
            <w:tcMar>
              <w:top w:w="0" w:type="dxa"/>
              <w:left w:w="0" w:type="dxa"/>
              <w:bottom w:w="0" w:type="dxa"/>
              <w:right w:w="0" w:type="dxa"/>
            </w:tcMar>
            <w:vAlign w:val="center"/>
          </w:tcPr>
          <w:p w14:paraId="3863CC58">
            <w:pPr>
              <w:pStyle w:val="698"/>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r>
      <w:tr w14:paraId="59DECE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7" w:type="dxa"/>
            <w:vMerge w:val="restart"/>
            <w:noWrap w:val="0"/>
            <w:tcMar>
              <w:top w:w="0" w:type="dxa"/>
              <w:left w:w="0" w:type="dxa"/>
              <w:bottom w:w="0" w:type="dxa"/>
              <w:right w:w="0" w:type="dxa"/>
            </w:tcMar>
            <w:vAlign w:val="center"/>
          </w:tcPr>
          <w:p w14:paraId="2C41CC71">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声环境</w:t>
            </w:r>
          </w:p>
        </w:tc>
        <w:tc>
          <w:tcPr>
            <w:tcW w:w="1259" w:type="dxa"/>
            <w:noWrap w:val="0"/>
            <w:tcMar>
              <w:top w:w="0" w:type="dxa"/>
              <w:left w:w="0" w:type="dxa"/>
              <w:bottom w:w="0" w:type="dxa"/>
              <w:right w:w="0" w:type="dxa"/>
            </w:tcMar>
            <w:vAlign w:val="center"/>
          </w:tcPr>
          <w:p w14:paraId="7B02A438">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现状评价</w:t>
            </w:r>
          </w:p>
        </w:tc>
        <w:tc>
          <w:tcPr>
            <w:tcW w:w="6404" w:type="dxa"/>
            <w:vMerge w:val="restart"/>
            <w:noWrap w:val="0"/>
            <w:tcMar>
              <w:top w:w="0" w:type="dxa"/>
              <w:left w:w="0" w:type="dxa"/>
              <w:bottom w:w="0" w:type="dxa"/>
              <w:right w:w="0" w:type="dxa"/>
            </w:tcMar>
            <w:vAlign w:val="center"/>
          </w:tcPr>
          <w:p w14:paraId="5E142965">
            <w:pPr>
              <w:pStyle w:val="698"/>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等效连续A声级</w:t>
            </w:r>
          </w:p>
        </w:tc>
      </w:tr>
      <w:tr w14:paraId="15D69C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7" w:type="dxa"/>
            <w:vMerge w:val="continue"/>
            <w:noWrap w:val="0"/>
            <w:vAlign w:val="center"/>
          </w:tcPr>
          <w:p w14:paraId="358703AD">
            <w:pPr>
              <w:pStyle w:val="698"/>
              <w:rPr>
                <w:rFonts w:hint="default" w:ascii="Times New Roman" w:hAnsi="Times New Roman" w:cs="Times New Roman"/>
                <w:color w:val="auto"/>
                <w:highlight w:val="none"/>
              </w:rPr>
            </w:pPr>
          </w:p>
        </w:tc>
        <w:tc>
          <w:tcPr>
            <w:tcW w:w="1259" w:type="dxa"/>
            <w:noWrap w:val="0"/>
            <w:tcMar>
              <w:top w:w="0" w:type="dxa"/>
              <w:left w:w="0" w:type="dxa"/>
              <w:bottom w:w="0" w:type="dxa"/>
              <w:right w:w="0" w:type="dxa"/>
            </w:tcMar>
            <w:vAlign w:val="center"/>
          </w:tcPr>
          <w:p w14:paraId="4A704B94">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影响评价</w:t>
            </w:r>
          </w:p>
        </w:tc>
        <w:tc>
          <w:tcPr>
            <w:tcW w:w="6404" w:type="dxa"/>
            <w:vMerge w:val="continue"/>
            <w:noWrap w:val="0"/>
            <w:vAlign w:val="center"/>
          </w:tcPr>
          <w:p w14:paraId="334E452C">
            <w:pPr>
              <w:pStyle w:val="698"/>
              <w:rPr>
                <w:rFonts w:hint="default" w:ascii="Times New Roman" w:hAnsi="Times New Roman" w:eastAsia="宋体" w:cs="Times New Roman"/>
                <w:color w:val="auto"/>
                <w:sz w:val="21"/>
                <w:szCs w:val="21"/>
                <w:highlight w:val="none"/>
                <w:lang w:val="en-US" w:eastAsia="zh-CN" w:bidi="ar-SA"/>
              </w:rPr>
            </w:pPr>
          </w:p>
        </w:tc>
      </w:tr>
      <w:tr w14:paraId="4A3020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7" w:type="dxa"/>
            <w:vMerge w:val="restart"/>
            <w:noWrap w:val="0"/>
            <w:tcMar>
              <w:top w:w="0" w:type="dxa"/>
              <w:left w:w="0" w:type="dxa"/>
              <w:bottom w:w="0" w:type="dxa"/>
              <w:right w:w="0" w:type="dxa"/>
            </w:tcMar>
            <w:vAlign w:val="center"/>
          </w:tcPr>
          <w:p w14:paraId="776F31FB">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固体废物</w:t>
            </w:r>
          </w:p>
        </w:tc>
        <w:tc>
          <w:tcPr>
            <w:tcW w:w="1259" w:type="dxa"/>
            <w:noWrap w:val="0"/>
            <w:tcMar>
              <w:top w:w="0" w:type="dxa"/>
              <w:left w:w="0" w:type="dxa"/>
              <w:bottom w:w="0" w:type="dxa"/>
              <w:right w:w="0" w:type="dxa"/>
            </w:tcMar>
            <w:vAlign w:val="center"/>
          </w:tcPr>
          <w:p w14:paraId="7E3C0E18">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现状评价</w:t>
            </w:r>
          </w:p>
        </w:tc>
        <w:tc>
          <w:tcPr>
            <w:tcW w:w="6404" w:type="dxa"/>
            <w:noWrap w:val="0"/>
            <w:tcMar>
              <w:top w:w="0" w:type="dxa"/>
              <w:left w:w="0" w:type="dxa"/>
              <w:bottom w:w="0" w:type="dxa"/>
              <w:right w:w="0" w:type="dxa"/>
            </w:tcMar>
            <w:vAlign w:val="center"/>
          </w:tcPr>
          <w:p w14:paraId="6B4FCAD0">
            <w:pPr>
              <w:pStyle w:val="698"/>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r>
      <w:tr w14:paraId="2FC19A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7" w:type="dxa"/>
            <w:vMerge w:val="continue"/>
            <w:noWrap w:val="0"/>
            <w:vAlign w:val="center"/>
          </w:tcPr>
          <w:p w14:paraId="7784AE57">
            <w:pPr>
              <w:pStyle w:val="698"/>
              <w:rPr>
                <w:rFonts w:hint="default" w:ascii="Times New Roman" w:hAnsi="Times New Roman" w:cs="Times New Roman"/>
                <w:color w:val="auto"/>
                <w:highlight w:val="none"/>
              </w:rPr>
            </w:pPr>
          </w:p>
        </w:tc>
        <w:tc>
          <w:tcPr>
            <w:tcW w:w="1259" w:type="dxa"/>
            <w:noWrap w:val="0"/>
            <w:tcMar>
              <w:top w:w="0" w:type="dxa"/>
              <w:left w:w="0" w:type="dxa"/>
              <w:bottom w:w="0" w:type="dxa"/>
              <w:right w:w="0" w:type="dxa"/>
            </w:tcMar>
            <w:vAlign w:val="center"/>
          </w:tcPr>
          <w:p w14:paraId="1DA6B7A6">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影响评价</w:t>
            </w:r>
          </w:p>
        </w:tc>
        <w:tc>
          <w:tcPr>
            <w:tcW w:w="6404" w:type="dxa"/>
            <w:noWrap w:val="0"/>
            <w:tcMar>
              <w:top w:w="0" w:type="dxa"/>
              <w:left w:w="0" w:type="dxa"/>
              <w:bottom w:w="0" w:type="dxa"/>
              <w:right w:w="0" w:type="dxa"/>
            </w:tcMar>
            <w:vAlign w:val="center"/>
          </w:tcPr>
          <w:p w14:paraId="2FDBF8EC">
            <w:pPr>
              <w:pStyle w:val="698"/>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弃土石方、建筑垃圾、隔油池污油</w:t>
            </w:r>
          </w:p>
        </w:tc>
      </w:tr>
      <w:tr w14:paraId="05327A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67" w:type="dxa"/>
            <w:noWrap w:val="0"/>
            <w:tcMar>
              <w:top w:w="0" w:type="dxa"/>
              <w:left w:w="0" w:type="dxa"/>
              <w:bottom w:w="0" w:type="dxa"/>
              <w:right w:w="0" w:type="dxa"/>
            </w:tcMar>
            <w:vAlign w:val="center"/>
          </w:tcPr>
          <w:p w14:paraId="313A9459">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风险评价</w:t>
            </w:r>
          </w:p>
        </w:tc>
        <w:tc>
          <w:tcPr>
            <w:tcW w:w="1259" w:type="dxa"/>
            <w:noWrap w:val="0"/>
            <w:tcMar>
              <w:top w:w="0" w:type="dxa"/>
              <w:left w:w="0" w:type="dxa"/>
              <w:bottom w:w="0" w:type="dxa"/>
              <w:right w:w="0" w:type="dxa"/>
            </w:tcMar>
            <w:vAlign w:val="center"/>
          </w:tcPr>
          <w:p w14:paraId="6C100AC5">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影响评价</w:t>
            </w:r>
          </w:p>
        </w:tc>
        <w:tc>
          <w:tcPr>
            <w:tcW w:w="6404" w:type="dxa"/>
            <w:noWrap w:val="0"/>
            <w:tcMar>
              <w:top w:w="0" w:type="dxa"/>
              <w:left w:w="0" w:type="dxa"/>
              <w:bottom w:w="0" w:type="dxa"/>
              <w:right w:w="0" w:type="dxa"/>
            </w:tcMar>
            <w:vAlign w:val="center"/>
          </w:tcPr>
          <w:p w14:paraId="7FB88710">
            <w:pPr>
              <w:pStyle w:val="698"/>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环境风险分析并提出相应防范措施</w:t>
            </w:r>
          </w:p>
        </w:tc>
      </w:tr>
    </w:tbl>
    <w:p w14:paraId="50DBE7A3">
      <w:pPr>
        <w:pStyle w:val="4"/>
        <w:bidi w:val="0"/>
        <w:ind w:left="678" w:leftChars="0" w:firstLine="0" w:firstLineChars="0"/>
        <w:rPr>
          <w:rFonts w:hint="default"/>
          <w:color w:val="auto"/>
          <w:highlight w:val="none"/>
        </w:rPr>
      </w:pPr>
      <w:bookmarkStart w:id="22" w:name="_Toc20071"/>
      <w:r>
        <w:rPr>
          <w:rFonts w:hint="default"/>
          <w:color w:val="auto"/>
          <w:highlight w:val="none"/>
        </w:rPr>
        <w:t>评价等级和评价范围</w:t>
      </w:r>
      <w:bookmarkEnd w:id="8"/>
      <w:bookmarkEnd w:id="22"/>
    </w:p>
    <w:p w14:paraId="00A29471">
      <w:pPr>
        <w:pStyle w:val="5"/>
        <w:bidi w:val="0"/>
        <w:ind w:left="452" w:leftChars="0" w:firstLine="0" w:firstLineChars="0"/>
        <w:rPr>
          <w:rFonts w:hint="default"/>
          <w:color w:val="auto"/>
          <w:highlight w:val="none"/>
        </w:rPr>
      </w:pPr>
      <w:r>
        <w:rPr>
          <w:rFonts w:hint="default"/>
          <w:color w:val="auto"/>
          <w:highlight w:val="none"/>
        </w:rPr>
        <w:t>评价等级</w:t>
      </w:r>
    </w:p>
    <w:p w14:paraId="71A79C2E">
      <w:pPr>
        <w:pStyle w:val="6"/>
        <w:bidi w:val="0"/>
        <w:ind w:left="0" w:leftChars="0" w:firstLine="0" w:firstLineChars="0"/>
        <w:rPr>
          <w:rFonts w:hint="default"/>
          <w:color w:val="auto"/>
          <w:highlight w:val="none"/>
        </w:rPr>
      </w:pPr>
      <w:r>
        <w:rPr>
          <w:rFonts w:hint="default"/>
          <w:color w:val="auto"/>
          <w:highlight w:val="none"/>
        </w:rPr>
        <w:t>生态环境</w:t>
      </w:r>
    </w:p>
    <w:p w14:paraId="5C4B59DC">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建设项目为</w:t>
      </w:r>
      <w:r>
        <w:rPr>
          <w:rFonts w:hint="default" w:ascii="Times New Roman" w:hAnsi="Times New Roman" w:cs="Times New Roman"/>
          <w:color w:val="auto"/>
          <w:highlight w:val="none"/>
          <w:lang w:eastAsia="zh-CN"/>
        </w:rPr>
        <w:t>防洪治涝工程</w:t>
      </w:r>
      <w:r>
        <w:rPr>
          <w:rFonts w:hint="default" w:ascii="Times New Roman" w:hAnsi="Times New Roman" w:cs="Times New Roman"/>
          <w:color w:val="auto"/>
          <w:highlight w:val="none"/>
        </w:rPr>
        <w:t>，同时涉及陆生、水生生态影响，以下针对陆生生态、水生生态分别判定评价等级，根据《环境影响评价技术导则 生态影响》（HJ19-2022）中的“6 评价等级和评价范围确定”，项目评价等级划分原则见表1.5-1。根据划分原则，本项目属于a ）、b）、c）、d）、e）、f）以外的情况，确定陆生生态及水生生态评价等级均为三级。</w:t>
      </w:r>
    </w:p>
    <w:p w14:paraId="2E68C731">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r>
        <w:rPr>
          <w:rFonts w:hint="default"/>
          <w:color w:val="auto"/>
          <w:highlight w:val="none"/>
        </w:rPr>
        <w:t>生态影响评价工作等级划分表</w:t>
      </w:r>
    </w:p>
    <w:tbl>
      <w:tblPr>
        <w:tblStyle w:val="87"/>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724"/>
        <w:gridCol w:w="4254"/>
        <w:gridCol w:w="3664"/>
      </w:tblGrid>
      <w:tr w14:paraId="41A1C5E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724" w:type="dxa"/>
            <w:noWrap w:val="0"/>
            <w:vAlign w:val="center"/>
          </w:tcPr>
          <w:p w14:paraId="69A63670">
            <w:pPr>
              <w:pStyle w:val="32"/>
              <w:adjustRightInd w:val="0"/>
              <w:snapToGrid w:val="0"/>
              <w:jc w:val="center"/>
              <w:rPr>
                <w:rFonts w:hint="default" w:ascii="Times New Roman" w:hAnsi="Times New Roman" w:cs="Times New Roman"/>
                <w:snapToGrid w:val="0"/>
                <w:color w:val="auto"/>
                <w:szCs w:val="21"/>
                <w:highlight w:val="none"/>
              </w:rPr>
            </w:pPr>
            <w:r>
              <w:rPr>
                <w:rFonts w:hint="default" w:ascii="Times New Roman" w:hAnsi="Times New Roman" w:cs="Times New Roman"/>
                <w:snapToGrid w:val="0"/>
                <w:color w:val="auto"/>
                <w:szCs w:val="21"/>
                <w:highlight w:val="none"/>
              </w:rPr>
              <w:t>序号</w:t>
            </w:r>
          </w:p>
        </w:tc>
        <w:tc>
          <w:tcPr>
            <w:tcW w:w="4254" w:type="dxa"/>
            <w:noWrap w:val="0"/>
            <w:vAlign w:val="center"/>
          </w:tcPr>
          <w:p w14:paraId="628420A5">
            <w:pPr>
              <w:pStyle w:val="32"/>
              <w:adjustRightInd w:val="0"/>
              <w:snapToGrid w:val="0"/>
              <w:jc w:val="center"/>
              <w:rPr>
                <w:rFonts w:hint="default" w:ascii="Times New Roman" w:hAnsi="Times New Roman" w:cs="Times New Roman"/>
                <w:snapToGrid w:val="0"/>
                <w:color w:val="auto"/>
                <w:szCs w:val="21"/>
                <w:highlight w:val="none"/>
              </w:rPr>
            </w:pPr>
            <w:r>
              <w:rPr>
                <w:rFonts w:hint="default" w:ascii="Times New Roman" w:hAnsi="Times New Roman" w:cs="Times New Roman"/>
                <w:snapToGrid w:val="0"/>
                <w:color w:val="auto"/>
                <w:szCs w:val="21"/>
                <w:highlight w:val="none"/>
              </w:rPr>
              <w:t>评价等级划分原则</w:t>
            </w:r>
          </w:p>
        </w:tc>
        <w:tc>
          <w:tcPr>
            <w:tcW w:w="3664" w:type="dxa"/>
            <w:noWrap w:val="0"/>
            <w:vAlign w:val="center"/>
          </w:tcPr>
          <w:p w14:paraId="10910BD5">
            <w:pPr>
              <w:pStyle w:val="32"/>
              <w:adjustRightInd w:val="0"/>
              <w:snapToGrid w:val="0"/>
              <w:jc w:val="center"/>
              <w:rPr>
                <w:rFonts w:hint="default" w:ascii="Times New Roman" w:hAnsi="Times New Roman" w:cs="Times New Roman"/>
                <w:snapToGrid w:val="0"/>
                <w:color w:val="auto"/>
                <w:szCs w:val="21"/>
                <w:highlight w:val="none"/>
              </w:rPr>
            </w:pPr>
            <w:r>
              <w:rPr>
                <w:rFonts w:hint="default" w:ascii="Times New Roman" w:hAnsi="Times New Roman" w:cs="Times New Roman"/>
                <w:snapToGrid w:val="0"/>
                <w:color w:val="auto"/>
                <w:szCs w:val="21"/>
                <w:highlight w:val="none"/>
              </w:rPr>
              <w:t>判断情况</w:t>
            </w:r>
          </w:p>
        </w:tc>
      </w:tr>
      <w:tr w14:paraId="2D73B7F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724" w:type="dxa"/>
            <w:noWrap w:val="0"/>
            <w:vAlign w:val="center"/>
          </w:tcPr>
          <w:p w14:paraId="493A8F69">
            <w:pPr>
              <w:pStyle w:val="32"/>
              <w:adjustRightInd w:val="0"/>
              <w:snapToGrid w:val="0"/>
              <w:jc w:val="center"/>
              <w:rPr>
                <w:rFonts w:hint="default" w:ascii="Times New Roman" w:hAnsi="Times New Roman" w:cs="Times New Roman"/>
                <w:snapToGrid w:val="0"/>
                <w:color w:val="auto"/>
                <w:szCs w:val="21"/>
                <w:highlight w:val="none"/>
              </w:rPr>
            </w:pPr>
            <w:r>
              <w:rPr>
                <w:rFonts w:hint="default" w:ascii="Times New Roman" w:hAnsi="Times New Roman" w:cs="Times New Roman"/>
                <w:snapToGrid w:val="0"/>
                <w:color w:val="auto"/>
                <w:szCs w:val="21"/>
                <w:highlight w:val="none"/>
              </w:rPr>
              <w:t>a</w:t>
            </w:r>
          </w:p>
        </w:tc>
        <w:tc>
          <w:tcPr>
            <w:tcW w:w="4254" w:type="dxa"/>
            <w:noWrap w:val="0"/>
            <w:vAlign w:val="center"/>
          </w:tcPr>
          <w:p w14:paraId="016E9DEB">
            <w:pPr>
              <w:pStyle w:val="32"/>
              <w:adjustRightInd w:val="0"/>
              <w:snapToGrid w:val="0"/>
              <w:jc w:val="center"/>
              <w:rPr>
                <w:rFonts w:hint="default" w:ascii="Times New Roman" w:hAnsi="Times New Roman" w:cs="Times New Roman"/>
                <w:snapToGrid w:val="0"/>
                <w:color w:val="auto"/>
                <w:szCs w:val="21"/>
                <w:highlight w:val="none"/>
              </w:rPr>
            </w:pPr>
            <w:r>
              <w:rPr>
                <w:rFonts w:hint="default" w:ascii="Times New Roman" w:hAnsi="Times New Roman" w:cs="Times New Roman"/>
                <w:snapToGrid w:val="0"/>
                <w:color w:val="auto"/>
                <w:szCs w:val="21"/>
                <w:highlight w:val="none"/>
              </w:rPr>
              <w:t>涉及国家公园、自然保护区、世界自然遗产、重要生境时，评价等级为一级；</w:t>
            </w:r>
          </w:p>
        </w:tc>
        <w:tc>
          <w:tcPr>
            <w:tcW w:w="3664" w:type="dxa"/>
            <w:noWrap w:val="0"/>
            <w:vAlign w:val="center"/>
          </w:tcPr>
          <w:p w14:paraId="2FB830AA">
            <w:pPr>
              <w:pStyle w:val="32"/>
              <w:adjustRightInd w:val="0"/>
              <w:snapToGrid w:val="0"/>
              <w:jc w:val="center"/>
              <w:rPr>
                <w:rFonts w:hint="default" w:ascii="Times New Roman" w:hAnsi="Times New Roman" w:cs="Times New Roman"/>
                <w:snapToGrid w:val="0"/>
                <w:color w:val="auto"/>
                <w:szCs w:val="21"/>
                <w:highlight w:val="none"/>
              </w:rPr>
            </w:pPr>
            <w:r>
              <w:rPr>
                <w:rFonts w:hint="default" w:ascii="Times New Roman" w:hAnsi="Times New Roman" w:cs="Times New Roman"/>
                <w:snapToGrid w:val="0"/>
                <w:color w:val="auto"/>
                <w:szCs w:val="21"/>
                <w:highlight w:val="none"/>
              </w:rPr>
              <w:t>项目陆域、水域均不涉及前述区域</w:t>
            </w:r>
          </w:p>
        </w:tc>
      </w:tr>
      <w:tr w14:paraId="77B779C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724" w:type="dxa"/>
            <w:noWrap w:val="0"/>
            <w:vAlign w:val="center"/>
          </w:tcPr>
          <w:p w14:paraId="7CB13784">
            <w:pPr>
              <w:pStyle w:val="32"/>
              <w:adjustRightInd w:val="0"/>
              <w:snapToGrid w:val="0"/>
              <w:jc w:val="center"/>
              <w:rPr>
                <w:rFonts w:hint="default" w:ascii="Times New Roman" w:hAnsi="Times New Roman" w:cs="Times New Roman"/>
                <w:snapToGrid w:val="0"/>
                <w:color w:val="auto"/>
                <w:szCs w:val="21"/>
                <w:highlight w:val="none"/>
              </w:rPr>
            </w:pPr>
            <w:r>
              <w:rPr>
                <w:rFonts w:hint="default" w:ascii="Times New Roman" w:hAnsi="Times New Roman" w:cs="Times New Roman"/>
                <w:snapToGrid w:val="0"/>
                <w:color w:val="auto"/>
                <w:szCs w:val="21"/>
                <w:highlight w:val="none"/>
              </w:rPr>
              <w:t>b</w:t>
            </w:r>
          </w:p>
        </w:tc>
        <w:tc>
          <w:tcPr>
            <w:tcW w:w="4254" w:type="dxa"/>
            <w:noWrap w:val="0"/>
            <w:vAlign w:val="center"/>
          </w:tcPr>
          <w:p w14:paraId="248A80C2">
            <w:pPr>
              <w:pStyle w:val="32"/>
              <w:adjustRightInd w:val="0"/>
              <w:snapToGrid w:val="0"/>
              <w:jc w:val="center"/>
              <w:rPr>
                <w:rFonts w:hint="default" w:ascii="Times New Roman" w:hAnsi="Times New Roman" w:cs="Times New Roman"/>
                <w:snapToGrid w:val="0"/>
                <w:color w:val="auto"/>
                <w:szCs w:val="21"/>
                <w:highlight w:val="none"/>
              </w:rPr>
            </w:pPr>
            <w:r>
              <w:rPr>
                <w:rFonts w:hint="default" w:ascii="Times New Roman" w:hAnsi="Times New Roman" w:cs="Times New Roman"/>
                <w:snapToGrid w:val="0"/>
                <w:color w:val="auto"/>
                <w:szCs w:val="21"/>
                <w:highlight w:val="none"/>
              </w:rPr>
              <w:t>涉及自然公园时，评价等级为二级；</w:t>
            </w:r>
          </w:p>
        </w:tc>
        <w:tc>
          <w:tcPr>
            <w:tcW w:w="3664" w:type="dxa"/>
            <w:noWrap w:val="0"/>
            <w:vAlign w:val="center"/>
          </w:tcPr>
          <w:p w14:paraId="1A07E539">
            <w:pPr>
              <w:pStyle w:val="32"/>
              <w:adjustRightInd w:val="0"/>
              <w:snapToGrid w:val="0"/>
              <w:jc w:val="center"/>
              <w:rPr>
                <w:rFonts w:hint="default" w:ascii="Times New Roman" w:hAnsi="Times New Roman" w:cs="Times New Roman"/>
                <w:snapToGrid w:val="0"/>
                <w:color w:val="auto"/>
                <w:szCs w:val="21"/>
                <w:highlight w:val="none"/>
              </w:rPr>
            </w:pPr>
            <w:r>
              <w:rPr>
                <w:rFonts w:hint="default" w:ascii="Times New Roman" w:hAnsi="Times New Roman" w:cs="Times New Roman"/>
                <w:snapToGrid w:val="0"/>
                <w:color w:val="auto"/>
                <w:szCs w:val="21"/>
                <w:highlight w:val="none"/>
              </w:rPr>
              <w:t>项目陆域、水域均不涉及自然公园</w:t>
            </w:r>
          </w:p>
        </w:tc>
      </w:tr>
      <w:tr w14:paraId="352E2CF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724" w:type="dxa"/>
            <w:noWrap w:val="0"/>
            <w:vAlign w:val="center"/>
          </w:tcPr>
          <w:p w14:paraId="505A075B">
            <w:pPr>
              <w:pStyle w:val="32"/>
              <w:adjustRightInd w:val="0"/>
              <w:snapToGrid w:val="0"/>
              <w:jc w:val="center"/>
              <w:rPr>
                <w:rFonts w:hint="default" w:ascii="Times New Roman" w:hAnsi="Times New Roman" w:cs="Times New Roman"/>
                <w:snapToGrid w:val="0"/>
                <w:color w:val="auto"/>
                <w:szCs w:val="21"/>
                <w:highlight w:val="none"/>
              </w:rPr>
            </w:pPr>
            <w:r>
              <w:rPr>
                <w:rFonts w:hint="default" w:ascii="Times New Roman" w:hAnsi="Times New Roman" w:cs="Times New Roman"/>
                <w:snapToGrid w:val="0"/>
                <w:color w:val="auto"/>
                <w:szCs w:val="21"/>
                <w:highlight w:val="none"/>
              </w:rPr>
              <w:t>c</w:t>
            </w:r>
          </w:p>
        </w:tc>
        <w:tc>
          <w:tcPr>
            <w:tcW w:w="4254" w:type="dxa"/>
            <w:noWrap w:val="0"/>
            <w:vAlign w:val="center"/>
          </w:tcPr>
          <w:p w14:paraId="3131A86E">
            <w:pPr>
              <w:pStyle w:val="32"/>
              <w:adjustRightInd w:val="0"/>
              <w:snapToGrid w:val="0"/>
              <w:jc w:val="center"/>
              <w:rPr>
                <w:rFonts w:hint="default" w:ascii="Times New Roman" w:hAnsi="Times New Roman" w:cs="Times New Roman"/>
                <w:snapToGrid w:val="0"/>
                <w:color w:val="auto"/>
                <w:szCs w:val="21"/>
                <w:highlight w:val="none"/>
              </w:rPr>
            </w:pPr>
            <w:r>
              <w:rPr>
                <w:rFonts w:hint="default" w:ascii="Times New Roman" w:hAnsi="Times New Roman" w:cs="Times New Roman"/>
                <w:snapToGrid w:val="0"/>
                <w:color w:val="auto"/>
                <w:szCs w:val="21"/>
                <w:highlight w:val="none"/>
              </w:rPr>
              <w:t>涉及生态保护红线时，评价等级不低于二级；</w:t>
            </w:r>
          </w:p>
        </w:tc>
        <w:tc>
          <w:tcPr>
            <w:tcW w:w="3664" w:type="dxa"/>
            <w:noWrap w:val="0"/>
            <w:vAlign w:val="center"/>
          </w:tcPr>
          <w:p w14:paraId="60F7A4BA">
            <w:pPr>
              <w:pStyle w:val="32"/>
              <w:adjustRightInd w:val="0"/>
              <w:snapToGrid w:val="0"/>
              <w:jc w:val="center"/>
              <w:rPr>
                <w:rFonts w:hint="default" w:ascii="Times New Roman" w:hAnsi="Times New Roman" w:eastAsia="宋体" w:cs="Times New Roman"/>
                <w:snapToGrid w:val="0"/>
                <w:color w:val="auto"/>
                <w:szCs w:val="21"/>
                <w:highlight w:val="none"/>
                <w:lang w:val="en-US" w:eastAsia="zh-CN"/>
              </w:rPr>
            </w:pPr>
            <w:r>
              <w:rPr>
                <w:rFonts w:hint="default" w:ascii="Times New Roman" w:hAnsi="Times New Roman" w:cs="Times New Roman"/>
                <w:snapToGrid w:val="0"/>
                <w:color w:val="auto"/>
                <w:szCs w:val="21"/>
                <w:highlight w:val="none"/>
              </w:rPr>
              <w:t>根据《广西“生态云”平台建设项目智能研判报告》项目</w:t>
            </w:r>
            <w:r>
              <w:rPr>
                <w:rFonts w:hint="default" w:ascii="Times New Roman" w:hAnsi="Times New Roman" w:cs="Times New Roman"/>
                <w:snapToGrid w:val="0"/>
                <w:color w:val="auto"/>
                <w:szCs w:val="21"/>
                <w:highlight w:val="none"/>
                <w:u w:val="single"/>
              </w:rPr>
              <w:t>陆域、水域</w:t>
            </w:r>
            <w:r>
              <w:rPr>
                <w:rFonts w:hint="eastAsia" w:ascii="Times New Roman" w:cs="Times New Roman"/>
                <w:snapToGrid w:val="0"/>
                <w:color w:val="auto"/>
                <w:szCs w:val="21"/>
                <w:highlight w:val="none"/>
                <w:u w:val="single"/>
                <w:lang w:val="en-US" w:eastAsia="zh-CN"/>
              </w:rPr>
              <w:t>评价范围</w:t>
            </w:r>
            <w:r>
              <w:rPr>
                <w:rFonts w:hint="default" w:ascii="Times New Roman" w:hAnsi="Times New Roman" w:cs="Times New Roman"/>
                <w:snapToGrid w:val="0"/>
                <w:color w:val="auto"/>
                <w:szCs w:val="21"/>
                <w:highlight w:val="none"/>
                <w:u w:val="single"/>
              </w:rPr>
              <w:t>均不涉及生态保护红线</w:t>
            </w:r>
            <w:r>
              <w:rPr>
                <w:rFonts w:hint="eastAsia" w:ascii="Times New Roman" w:cs="Times New Roman"/>
                <w:snapToGrid w:val="0"/>
                <w:color w:val="auto"/>
                <w:szCs w:val="21"/>
                <w:highlight w:val="none"/>
                <w:u w:val="single"/>
                <w:lang w:eastAsia="zh-CN"/>
              </w:rPr>
              <w:t>；</w:t>
            </w:r>
          </w:p>
        </w:tc>
      </w:tr>
      <w:tr w14:paraId="3A5FFAB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724" w:type="dxa"/>
            <w:noWrap w:val="0"/>
            <w:vAlign w:val="center"/>
          </w:tcPr>
          <w:p w14:paraId="4902DF8A">
            <w:pPr>
              <w:pStyle w:val="32"/>
              <w:adjustRightInd w:val="0"/>
              <w:snapToGrid w:val="0"/>
              <w:jc w:val="center"/>
              <w:rPr>
                <w:rFonts w:hint="default" w:ascii="Times New Roman" w:hAnsi="Times New Roman" w:cs="Times New Roman"/>
                <w:snapToGrid w:val="0"/>
                <w:color w:val="auto"/>
                <w:szCs w:val="21"/>
                <w:highlight w:val="none"/>
              </w:rPr>
            </w:pPr>
            <w:r>
              <w:rPr>
                <w:rFonts w:hint="default" w:ascii="Times New Roman" w:hAnsi="Times New Roman" w:cs="Times New Roman"/>
                <w:snapToGrid w:val="0"/>
                <w:color w:val="auto"/>
                <w:szCs w:val="21"/>
                <w:highlight w:val="none"/>
              </w:rPr>
              <w:t>d</w:t>
            </w:r>
          </w:p>
        </w:tc>
        <w:tc>
          <w:tcPr>
            <w:tcW w:w="4254" w:type="dxa"/>
            <w:noWrap w:val="0"/>
            <w:vAlign w:val="center"/>
          </w:tcPr>
          <w:p w14:paraId="3E9F6FD5">
            <w:pPr>
              <w:pStyle w:val="32"/>
              <w:adjustRightInd w:val="0"/>
              <w:snapToGrid w:val="0"/>
              <w:jc w:val="center"/>
              <w:rPr>
                <w:rFonts w:hint="default" w:ascii="Times New Roman" w:hAnsi="Times New Roman" w:cs="Times New Roman"/>
                <w:snapToGrid w:val="0"/>
                <w:color w:val="auto"/>
                <w:szCs w:val="21"/>
                <w:highlight w:val="none"/>
              </w:rPr>
            </w:pPr>
            <w:r>
              <w:rPr>
                <w:rFonts w:hint="default" w:ascii="Times New Roman" w:hAnsi="Times New Roman" w:cs="Times New Roman"/>
                <w:snapToGrid w:val="0"/>
                <w:color w:val="auto"/>
                <w:szCs w:val="21"/>
                <w:highlight w:val="none"/>
              </w:rPr>
              <w:t>根据 HJ 2.3 判断属于水文要素影响型且地表水评价等级不低于二级的建设项目，生态影响评价等级不低于二级；</w:t>
            </w:r>
          </w:p>
        </w:tc>
        <w:tc>
          <w:tcPr>
            <w:tcW w:w="3664" w:type="dxa"/>
            <w:noWrap w:val="0"/>
            <w:vAlign w:val="center"/>
          </w:tcPr>
          <w:p w14:paraId="12B1CF55">
            <w:pPr>
              <w:pStyle w:val="32"/>
              <w:adjustRightInd w:val="0"/>
              <w:snapToGrid w:val="0"/>
              <w:jc w:val="center"/>
              <w:rPr>
                <w:rFonts w:hint="default" w:ascii="Times New Roman" w:hAnsi="Times New Roman" w:cs="Times New Roman"/>
                <w:snapToGrid w:val="0"/>
                <w:color w:val="auto"/>
                <w:szCs w:val="21"/>
                <w:highlight w:val="none"/>
              </w:rPr>
            </w:pPr>
            <w:r>
              <w:rPr>
                <w:rFonts w:hint="default" w:ascii="Times New Roman" w:hAnsi="Times New Roman" w:cs="Times New Roman"/>
                <w:snapToGrid w:val="0"/>
                <w:color w:val="auto"/>
                <w:szCs w:val="21"/>
                <w:highlight w:val="none"/>
              </w:rPr>
              <w:t>项目为</w:t>
            </w:r>
            <w:r>
              <w:rPr>
                <w:rFonts w:hint="default" w:ascii="Times New Roman" w:hAnsi="Times New Roman" w:cs="Times New Roman"/>
                <w:snapToGrid w:val="0"/>
                <w:color w:val="auto"/>
                <w:szCs w:val="21"/>
                <w:highlight w:val="none"/>
                <w:lang w:val="en-US" w:eastAsia="zh-CN"/>
              </w:rPr>
              <w:t>复合影响型</w:t>
            </w:r>
            <w:r>
              <w:rPr>
                <w:rFonts w:hint="default" w:ascii="Times New Roman" w:hAnsi="Times New Roman" w:cs="Times New Roman"/>
                <w:snapToGrid w:val="0"/>
                <w:color w:val="auto"/>
                <w:szCs w:val="21"/>
                <w:highlight w:val="none"/>
              </w:rPr>
              <w:t>地表水评价等级为三级</w:t>
            </w:r>
          </w:p>
        </w:tc>
      </w:tr>
      <w:tr w14:paraId="338CE99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724" w:type="dxa"/>
            <w:noWrap w:val="0"/>
            <w:vAlign w:val="center"/>
          </w:tcPr>
          <w:p w14:paraId="07D06E94">
            <w:pPr>
              <w:pStyle w:val="32"/>
              <w:adjustRightInd w:val="0"/>
              <w:snapToGrid w:val="0"/>
              <w:jc w:val="center"/>
              <w:rPr>
                <w:rFonts w:hint="default" w:ascii="Times New Roman" w:hAnsi="Times New Roman" w:cs="Times New Roman"/>
                <w:snapToGrid w:val="0"/>
                <w:color w:val="auto"/>
                <w:szCs w:val="21"/>
                <w:highlight w:val="none"/>
              </w:rPr>
            </w:pPr>
            <w:r>
              <w:rPr>
                <w:rFonts w:hint="default" w:ascii="Times New Roman" w:hAnsi="Times New Roman" w:cs="Times New Roman"/>
                <w:snapToGrid w:val="0"/>
                <w:color w:val="auto"/>
                <w:szCs w:val="21"/>
                <w:highlight w:val="none"/>
              </w:rPr>
              <w:t>e</w:t>
            </w:r>
          </w:p>
        </w:tc>
        <w:tc>
          <w:tcPr>
            <w:tcW w:w="4254" w:type="dxa"/>
            <w:noWrap w:val="0"/>
            <w:vAlign w:val="center"/>
          </w:tcPr>
          <w:p w14:paraId="239161C2">
            <w:pPr>
              <w:pStyle w:val="32"/>
              <w:adjustRightInd w:val="0"/>
              <w:snapToGrid w:val="0"/>
              <w:jc w:val="center"/>
              <w:rPr>
                <w:rFonts w:hint="default" w:ascii="Times New Roman" w:hAnsi="Times New Roman" w:cs="Times New Roman"/>
                <w:snapToGrid w:val="0"/>
                <w:color w:val="auto"/>
                <w:szCs w:val="21"/>
                <w:highlight w:val="none"/>
              </w:rPr>
            </w:pPr>
            <w:r>
              <w:rPr>
                <w:rFonts w:hint="default" w:ascii="Times New Roman" w:hAnsi="Times New Roman" w:cs="Times New Roman"/>
                <w:snapToGrid w:val="0"/>
                <w:color w:val="auto"/>
                <w:szCs w:val="21"/>
                <w:highlight w:val="none"/>
              </w:rPr>
              <w:t>根据 HJ 610 、HJ 964 判断地下水水位或土壤影响范围内分布有天然林、公益林、湿地等生态保护目标的建设项目，生态影响评价等级不低于二级；</w:t>
            </w:r>
          </w:p>
        </w:tc>
        <w:tc>
          <w:tcPr>
            <w:tcW w:w="3664" w:type="dxa"/>
            <w:noWrap w:val="0"/>
            <w:vAlign w:val="center"/>
          </w:tcPr>
          <w:p w14:paraId="59E193C9">
            <w:pPr>
              <w:pStyle w:val="32"/>
              <w:adjustRightInd w:val="0"/>
              <w:snapToGrid w:val="0"/>
              <w:jc w:val="center"/>
              <w:rPr>
                <w:rFonts w:hint="default" w:ascii="Times New Roman" w:hAnsi="Times New Roman" w:cs="Times New Roman"/>
                <w:snapToGrid w:val="0"/>
                <w:color w:val="auto"/>
                <w:szCs w:val="21"/>
                <w:highlight w:val="none"/>
              </w:rPr>
            </w:pPr>
            <w:r>
              <w:rPr>
                <w:rFonts w:hint="default" w:ascii="Times New Roman" w:hAnsi="Times New Roman" w:cs="Times New Roman"/>
                <w:snapToGrid w:val="0"/>
                <w:color w:val="auto"/>
                <w:szCs w:val="21"/>
                <w:highlight w:val="none"/>
              </w:rPr>
              <w:t>项目影响范围内不涉及前述生态保护目标</w:t>
            </w:r>
            <w:r>
              <w:rPr>
                <w:rFonts w:hint="eastAsia" w:ascii="Times New Roman" w:cs="Times New Roman"/>
                <w:snapToGrid w:val="0"/>
                <w:color w:val="auto"/>
                <w:szCs w:val="21"/>
                <w:highlight w:val="none"/>
                <w:lang w:eastAsia="zh-CN"/>
              </w:rPr>
              <w:t>，</w:t>
            </w:r>
            <w:r>
              <w:rPr>
                <w:rFonts w:hint="eastAsia" w:ascii="Times New Roman" w:cs="Times New Roman"/>
                <w:snapToGrid w:val="0"/>
                <w:color w:val="auto"/>
                <w:szCs w:val="21"/>
                <w:highlight w:val="none"/>
                <w:u w:val="single"/>
                <w:lang w:val="en-US" w:eastAsia="zh-CN"/>
              </w:rPr>
              <w:t>项目评价范围内无红树林分布。</w:t>
            </w:r>
          </w:p>
        </w:tc>
      </w:tr>
      <w:tr w14:paraId="6DFA06D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724" w:type="dxa"/>
            <w:noWrap w:val="0"/>
            <w:vAlign w:val="center"/>
          </w:tcPr>
          <w:p w14:paraId="74DE7F75">
            <w:pPr>
              <w:pStyle w:val="32"/>
              <w:adjustRightInd w:val="0"/>
              <w:snapToGrid w:val="0"/>
              <w:jc w:val="center"/>
              <w:rPr>
                <w:rFonts w:hint="default" w:ascii="Times New Roman" w:hAnsi="Times New Roman" w:cs="Times New Roman"/>
                <w:snapToGrid w:val="0"/>
                <w:color w:val="auto"/>
                <w:szCs w:val="21"/>
                <w:highlight w:val="none"/>
              </w:rPr>
            </w:pPr>
            <w:r>
              <w:rPr>
                <w:rFonts w:hint="default" w:ascii="Times New Roman" w:hAnsi="Times New Roman" w:cs="Times New Roman"/>
                <w:snapToGrid w:val="0"/>
                <w:color w:val="auto"/>
                <w:szCs w:val="21"/>
                <w:highlight w:val="none"/>
              </w:rPr>
              <w:t>f</w:t>
            </w:r>
          </w:p>
        </w:tc>
        <w:tc>
          <w:tcPr>
            <w:tcW w:w="4254" w:type="dxa"/>
            <w:noWrap w:val="0"/>
            <w:vAlign w:val="center"/>
          </w:tcPr>
          <w:p w14:paraId="276A17F2">
            <w:pPr>
              <w:pStyle w:val="32"/>
              <w:adjustRightInd w:val="0"/>
              <w:snapToGrid w:val="0"/>
              <w:jc w:val="center"/>
              <w:rPr>
                <w:rFonts w:hint="default" w:ascii="Times New Roman" w:hAnsi="Times New Roman" w:cs="Times New Roman"/>
                <w:snapToGrid w:val="0"/>
                <w:color w:val="auto"/>
                <w:szCs w:val="21"/>
                <w:highlight w:val="none"/>
              </w:rPr>
            </w:pPr>
            <w:r>
              <w:rPr>
                <w:rFonts w:hint="default" w:ascii="Times New Roman" w:hAnsi="Times New Roman" w:cs="Times New Roman"/>
                <w:snapToGrid w:val="0"/>
                <w:color w:val="auto"/>
                <w:szCs w:val="21"/>
                <w:highlight w:val="none"/>
              </w:rPr>
              <w:t>当工程占地规模大于20 km</w:t>
            </w:r>
            <w:r>
              <w:rPr>
                <w:rFonts w:hint="default" w:ascii="Times New Roman" w:hAnsi="Times New Roman" w:cs="Times New Roman"/>
                <w:snapToGrid w:val="0"/>
                <w:color w:val="auto"/>
                <w:szCs w:val="21"/>
                <w:highlight w:val="none"/>
                <w:vertAlign w:val="superscript"/>
              </w:rPr>
              <w:t>2</w:t>
            </w:r>
            <w:r>
              <w:rPr>
                <w:rFonts w:hint="default" w:ascii="Times New Roman" w:hAnsi="Times New Roman" w:cs="Times New Roman"/>
                <w:snapToGrid w:val="0"/>
                <w:color w:val="auto"/>
                <w:szCs w:val="21"/>
                <w:highlight w:val="none"/>
              </w:rPr>
              <w:t>时（包括永久和临时占用陆域和水域），评价等级不低于二级；改扩建项目的占地范围以新增占地（包括陆域和水域）确定；</w:t>
            </w:r>
          </w:p>
        </w:tc>
        <w:tc>
          <w:tcPr>
            <w:tcW w:w="3664" w:type="dxa"/>
            <w:noWrap w:val="0"/>
            <w:vAlign w:val="center"/>
          </w:tcPr>
          <w:p w14:paraId="08D72440">
            <w:pPr>
              <w:pStyle w:val="32"/>
              <w:adjustRightInd w:val="0"/>
              <w:snapToGrid w:val="0"/>
              <w:jc w:val="center"/>
              <w:rPr>
                <w:rFonts w:hint="default" w:ascii="Times New Roman" w:hAnsi="Times New Roman" w:eastAsia="宋体" w:cs="Times New Roman"/>
                <w:snapToGrid w:val="0"/>
                <w:color w:val="auto"/>
                <w:szCs w:val="21"/>
                <w:highlight w:val="none"/>
                <w:vertAlign w:val="subscript"/>
                <w:lang w:val="en-US" w:eastAsia="zh-CN"/>
              </w:rPr>
            </w:pPr>
            <w:r>
              <w:rPr>
                <w:rFonts w:hint="default" w:ascii="Times New Roman" w:hAnsi="Times New Roman" w:cs="Times New Roman"/>
                <w:snapToGrid w:val="0"/>
                <w:color w:val="auto"/>
                <w:szCs w:val="21"/>
                <w:highlight w:val="none"/>
                <w:lang w:val="en-US" w:eastAsia="zh-CN"/>
              </w:rPr>
              <w:t>项目总占地面积为5.71hm</w:t>
            </w:r>
            <w:r>
              <w:rPr>
                <w:rFonts w:hint="default" w:ascii="Times New Roman" w:hAnsi="Times New Roman" w:cs="Times New Roman"/>
                <w:snapToGrid w:val="0"/>
                <w:color w:val="auto"/>
                <w:szCs w:val="21"/>
                <w:highlight w:val="none"/>
                <w:vertAlign w:val="superscript"/>
                <w:lang w:val="en-US" w:eastAsia="zh-CN"/>
              </w:rPr>
              <w:t>2</w:t>
            </w:r>
            <w:r>
              <w:rPr>
                <w:rFonts w:hint="default" w:ascii="Times New Roman" w:hAnsi="Times New Roman" w:cs="Times New Roman"/>
                <w:snapToGrid w:val="0"/>
                <w:color w:val="auto"/>
                <w:szCs w:val="21"/>
                <w:highlight w:val="none"/>
                <w:vertAlign w:val="baseline"/>
                <w:lang w:val="en-US" w:eastAsia="zh-CN"/>
              </w:rPr>
              <w:t>（0.0571</w:t>
            </w:r>
            <w:r>
              <w:rPr>
                <w:rFonts w:hint="default" w:ascii="Times New Roman" w:hAnsi="Times New Roman" w:cs="Times New Roman"/>
                <w:snapToGrid w:val="0"/>
                <w:color w:val="auto"/>
                <w:szCs w:val="21"/>
                <w:highlight w:val="none"/>
              </w:rPr>
              <w:t>km</w:t>
            </w:r>
            <w:r>
              <w:rPr>
                <w:rFonts w:hint="default" w:ascii="Times New Roman" w:hAnsi="Times New Roman" w:cs="Times New Roman"/>
                <w:snapToGrid w:val="0"/>
                <w:color w:val="auto"/>
                <w:szCs w:val="21"/>
                <w:highlight w:val="none"/>
                <w:vertAlign w:val="superscript"/>
              </w:rPr>
              <w:t>2</w:t>
            </w:r>
            <w:r>
              <w:rPr>
                <w:rFonts w:hint="default" w:ascii="Times New Roman" w:hAnsi="Times New Roman" w:cs="Times New Roman"/>
                <w:snapToGrid w:val="0"/>
                <w:color w:val="auto"/>
                <w:szCs w:val="21"/>
                <w:highlight w:val="none"/>
                <w:vertAlign w:val="baseline"/>
                <w:lang w:val="en-US" w:eastAsia="zh-CN"/>
              </w:rPr>
              <w:t>）</w:t>
            </w:r>
            <w:r>
              <w:rPr>
                <w:rFonts w:hint="default" w:ascii="Times New Roman" w:hAnsi="Times New Roman" w:cs="Times New Roman"/>
                <w:snapToGrid w:val="0"/>
                <w:color w:val="auto"/>
                <w:szCs w:val="21"/>
                <w:highlight w:val="none"/>
                <w:lang w:val="en-US" w:eastAsia="zh-CN"/>
              </w:rPr>
              <w:t>占地面积小于20</w:t>
            </w:r>
            <w:r>
              <w:rPr>
                <w:rFonts w:hint="default" w:ascii="Times New Roman" w:hAnsi="Times New Roman" w:cs="Times New Roman"/>
                <w:snapToGrid w:val="0"/>
                <w:color w:val="auto"/>
                <w:szCs w:val="21"/>
                <w:highlight w:val="none"/>
              </w:rPr>
              <w:t>km</w:t>
            </w:r>
            <w:r>
              <w:rPr>
                <w:rFonts w:hint="default" w:ascii="Times New Roman" w:hAnsi="Times New Roman" w:cs="Times New Roman"/>
                <w:snapToGrid w:val="0"/>
                <w:color w:val="auto"/>
                <w:szCs w:val="21"/>
                <w:highlight w:val="none"/>
                <w:vertAlign w:val="superscript"/>
              </w:rPr>
              <w:t>2</w:t>
            </w:r>
          </w:p>
        </w:tc>
      </w:tr>
      <w:tr w14:paraId="775AD90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724" w:type="dxa"/>
            <w:noWrap w:val="0"/>
            <w:vAlign w:val="center"/>
          </w:tcPr>
          <w:p w14:paraId="4AD8A5DE">
            <w:pPr>
              <w:pStyle w:val="32"/>
              <w:adjustRightInd w:val="0"/>
              <w:snapToGrid w:val="0"/>
              <w:jc w:val="center"/>
              <w:rPr>
                <w:rFonts w:hint="default" w:ascii="Times New Roman" w:hAnsi="Times New Roman" w:cs="Times New Roman"/>
                <w:snapToGrid w:val="0"/>
                <w:color w:val="auto"/>
                <w:szCs w:val="21"/>
                <w:highlight w:val="none"/>
              </w:rPr>
            </w:pPr>
            <w:r>
              <w:rPr>
                <w:rFonts w:hint="default" w:ascii="Times New Roman" w:hAnsi="Times New Roman" w:cs="Times New Roman"/>
                <w:snapToGrid w:val="0"/>
                <w:color w:val="auto"/>
                <w:szCs w:val="21"/>
                <w:highlight w:val="none"/>
              </w:rPr>
              <w:t>g</w:t>
            </w:r>
          </w:p>
        </w:tc>
        <w:tc>
          <w:tcPr>
            <w:tcW w:w="4254" w:type="dxa"/>
            <w:noWrap w:val="0"/>
            <w:vAlign w:val="center"/>
          </w:tcPr>
          <w:p w14:paraId="24CF17DD">
            <w:pPr>
              <w:pStyle w:val="32"/>
              <w:adjustRightInd w:val="0"/>
              <w:snapToGrid w:val="0"/>
              <w:jc w:val="center"/>
              <w:rPr>
                <w:rFonts w:hint="default" w:ascii="Times New Roman" w:hAnsi="Times New Roman" w:cs="Times New Roman"/>
                <w:snapToGrid w:val="0"/>
                <w:color w:val="auto"/>
                <w:szCs w:val="21"/>
                <w:highlight w:val="none"/>
              </w:rPr>
            </w:pPr>
            <w:r>
              <w:rPr>
                <w:rFonts w:hint="default" w:ascii="Times New Roman" w:hAnsi="Times New Roman" w:cs="Times New Roman"/>
                <w:snapToGrid w:val="0"/>
                <w:color w:val="auto"/>
                <w:szCs w:val="21"/>
                <w:highlight w:val="none"/>
              </w:rPr>
              <w:t>除本条 a）、 b）、 c）、 d）、 e）、 f）以外的情况，评价等级为三级</w:t>
            </w:r>
          </w:p>
        </w:tc>
        <w:tc>
          <w:tcPr>
            <w:tcW w:w="3664" w:type="dxa"/>
            <w:noWrap w:val="0"/>
            <w:vAlign w:val="center"/>
          </w:tcPr>
          <w:p w14:paraId="461D5060">
            <w:pPr>
              <w:pStyle w:val="32"/>
              <w:adjustRightInd w:val="0"/>
              <w:snapToGrid w:val="0"/>
              <w:jc w:val="center"/>
              <w:rPr>
                <w:rFonts w:hint="default" w:ascii="Times New Roman" w:hAnsi="Times New Roman" w:cs="Times New Roman"/>
                <w:snapToGrid w:val="0"/>
                <w:color w:val="auto"/>
                <w:szCs w:val="21"/>
                <w:highlight w:val="none"/>
              </w:rPr>
            </w:pPr>
            <w:r>
              <w:rPr>
                <w:rFonts w:hint="default" w:ascii="Times New Roman" w:hAnsi="Times New Roman" w:cs="Times New Roman"/>
                <w:snapToGrid w:val="0"/>
                <w:color w:val="auto"/>
                <w:szCs w:val="21"/>
                <w:highlight w:val="none"/>
              </w:rPr>
              <w:t>项目评价等级为</w:t>
            </w:r>
            <w:r>
              <w:rPr>
                <w:rFonts w:hint="default" w:ascii="Times New Roman" w:hAnsi="Times New Roman" w:cs="Times New Roman"/>
                <w:b/>
                <w:bCs/>
                <w:snapToGrid w:val="0"/>
                <w:color w:val="auto"/>
                <w:szCs w:val="21"/>
                <w:highlight w:val="none"/>
              </w:rPr>
              <w:t>三级</w:t>
            </w:r>
          </w:p>
        </w:tc>
      </w:tr>
    </w:tbl>
    <w:p w14:paraId="010C4A47">
      <w:pPr>
        <w:pStyle w:val="6"/>
        <w:bidi w:val="0"/>
        <w:ind w:left="0" w:leftChars="0" w:firstLine="0" w:firstLineChars="0"/>
        <w:rPr>
          <w:rFonts w:hint="default"/>
          <w:color w:val="auto"/>
          <w:highlight w:val="none"/>
        </w:rPr>
      </w:pPr>
      <w:r>
        <w:rPr>
          <w:rFonts w:hint="default"/>
          <w:color w:val="auto"/>
          <w:highlight w:val="none"/>
        </w:rPr>
        <w:t>大气环境</w:t>
      </w:r>
    </w:p>
    <w:p w14:paraId="6F4B402E">
      <w:pPr>
        <w:pStyle w:val="41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（1）等级判断依据</w:t>
      </w:r>
    </w:p>
    <w:p w14:paraId="6F17BC6B">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大气环境》（HJ2.2-2018）评价工作分级方法，采用附录A推荐模型中的估算模型，计算项目排放主要污染物的最大地面空气质量浓度占标率Pi（第i个污染物，简称“最大浓度占标率”），及第i个污染物的地面空气质量浓度达到标准值的10%时所对应的最远距离D10%。最大地面浓度占标率Pi计算公式为：</w:t>
      </w:r>
    </w:p>
    <w:p w14:paraId="0F9F860B">
      <w:pPr>
        <w:ind w:firstLine="454"/>
        <w:jc w:val="center"/>
        <w:rPr>
          <w:rFonts w:hint="default" w:ascii="Times New Roman" w:hAnsi="Times New Roman" w:cs="Times New Roman"/>
          <w:i/>
          <w:color w:val="auto"/>
          <w:kern w:val="0"/>
          <w:highlight w:val="none"/>
          <w:lang w:val="zh-CN"/>
        </w:rPr>
      </w:pPr>
      <m:oMathPara>
        <m:oMath>
          <m:sSub>
            <m:sSubPr>
              <m:ctrlPr>
                <w:rPr>
                  <w:rFonts w:hint="default" w:ascii="Cambria Math" w:hAnsi="Cambria Math"/>
                  <w:i/>
                  <w:color w:val="auto"/>
                  <w:kern w:val="0"/>
                  <w:highlight w:val="none"/>
                  <w:lang w:val="zh-CN"/>
                </w:rPr>
              </m:ctrlPr>
            </m:sSubPr>
            <m:e>
              <m:r>
                <m:rPr/>
                <w:rPr>
                  <w:rFonts w:hint="default" w:ascii="Cambria Math" w:hAnsi="Cambria Math"/>
                  <w:color w:val="auto"/>
                  <w:kern w:val="0"/>
                  <w:highlight w:val="none"/>
                  <w:lang w:val="zh-CN"/>
                </w:rPr>
                <m:t>P</m:t>
              </m:r>
              <m:ctrlPr>
                <w:rPr>
                  <w:rFonts w:hint="default" w:ascii="Cambria Math" w:hAnsi="Cambria Math"/>
                  <w:i/>
                  <w:color w:val="auto"/>
                  <w:kern w:val="0"/>
                  <w:highlight w:val="none"/>
                  <w:lang w:val="zh-CN"/>
                </w:rPr>
              </m:ctrlPr>
            </m:e>
            <m:sub>
              <m:r>
                <m:rPr/>
                <w:rPr>
                  <w:rFonts w:hint="default" w:ascii="Cambria Math" w:hAnsi="Cambria Math"/>
                  <w:color w:val="auto"/>
                  <w:kern w:val="0"/>
                  <w:highlight w:val="none"/>
                  <w:lang w:val="zh-CN"/>
                </w:rPr>
                <m:t>i</m:t>
              </m:r>
              <m:ctrlPr>
                <w:rPr>
                  <w:rFonts w:hint="default" w:ascii="Cambria Math" w:hAnsi="Cambria Math"/>
                  <w:i/>
                  <w:color w:val="auto"/>
                  <w:kern w:val="0"/>
                  <w:highlight w:val="none"/>
                  <w:lang w:val="zh-CN"/>
                </w:rPr>
              </m:ctrlPr>
            </m:sub>
          </m:sSub>
          <m:r>
            <m:rPr>
              <m:sty m:val="p"/>
            </m:rPr>
            <w:rPr>
              <w:rFonts w:hint="default" w:ascii="Cambria Math" w:hAnsi="Cambria Math"/>
              <w:color w:val="auto"/>
              <w:kern w:val="0"/>
              <w:highlight w:val="none"/>
              <w:lang w:val="zh-CN"/>
            </w:rPr>
            <m:t>=</m:t>
          </m:r>
          <m:f>
            <m:fPr>
              <m:ctrlPr>
                <w:rPr>
                  <w:rFonts w:hint="default" w:ascii="Cambria Math" w:hAnsi="Cambria Math"/>
                  <w:color w:val="auto"/>
                  <w:kern w:val="0"/>
                  <w:highlight w:val="none"/>
                  <w:lang w:val="zh-CN"/>
                </w:rPr>
              </m:ctrlPr>
            </m:fPr>
            <m:num>
              <m:sSub>
                <m:sSubPr>
                  <m:ctrlPr>
                    <w:rPr>
                      <w:rFonts w:hint="default" w:ascii="Cambria Math" w:hAnsi="Cambria Math"/>
                      <w:color w:val="auto"/>
                      <w:kern w:val="0"/>
                      <w:highlight w:val="none"/>
                      <w:lang w:val="zh-CN"/>
                    </w:rPr>
                  </m:ctrlPr>
                </m:sSubPr>
                <m:e>
                  <m:r>
                    <m:rPr/>
                    <w:rPr>
                      <w:rFonts w:hint="default" w:ascii="Cambria Math" w:hAnsi="Cambria Math"/>
                      <w:color w:val="auto"/>
                      <w:kern w:val="0"/>
                      <w:highlight w:val="none"/>
                      <w:lang w:val="zh-CN"/>
                    </w:rPr>
                    <m:t>C</m:t>
                  </m:r>
                  <m:ctrlPr>
                    <w:rPr>
                      <w:rFonts w:hint="default" w:ascii="Cambria Math" w:hAnsi="Cambria Math"/>
                      <w:color w:val="auto"/>
                      <w:kern w:val="0"/>
                      <w:highlight w:val="none"/>
                      <w:lang w:val="zh-CN"/>
                    </w:rPr>
                  </m:ctrlPr>
                </m:e>
                <m:sub>
                  <m:r>
                    <m:rPr/>
                    <w:rPr>
                      <w:rFonts w:hint="default" w:ascii="Cambria Math" w:hAnsi="Cambria Math"/>
                      <w:color w:val="auto"/>
                      <w:kern w:val="0"/>
                      <w:highlight w:val="none"/>
                      <w:lang w:val="zh-CN"/>
                    </w:rPr>
                    <m:t>i</m:t>
                  </m:r>
                  <m:ctrlPr>
                    <w:rPr>
                      <w:rFonts w:hint="default" w:ascii="Cambria Math" w:hAnsi="Cambria Math"/>
                      <w:color w:val="auto"/>
                      <w:kern w:val="0"/>
                      <w:highlight w:val="none"/>
                      <w:lang w:val="zh-CN"/>
                    </w:rPr>
                  </m:ctrlPr>
                </m:sub>
              </m:sSub>
              <m:ctrlPr>
                <w:rPr>
                  <w:rFonts w:hint="default" w:ascii="Cambria Math" w:hAnsi="Cambria Math"/>
                  <w:color w:val="auto"/>
                  <w:kern w:val="0"/>
                  <w:highlight w:val="none"/>
                  <w:lang w:val="zh-CN"/>
                </w:rPr>
              </m:ctrlPr>
            </m:num>
            <m:den>
              <m:sSub>
                <m:sSubPr>
                  <m:ctrlPr>
                    <w:rPr>
                      <w:rFonts w:hint="default" w:ascii="Cambria Math" w:hAnsi="Cambria Math"/>
                      <w:color w:val="auto"/>
                      <w:kern w:val="0"/>
                      <w:highlight w:val="none"/>
                      <w:lang w:val="zh-CN"/>
                    </w:rPr>
                  </m:ctrlPr>
                </m:sSubPr>
                <m:e>
                  <m:r>
                    <m:rPr/>
                    <w:rPr>
                      <w:rFonts w:hint="default" w:ascii="Cambria Math" w:hAnsi="Cambria Math"/>
                      <w:color w:val="auto"/>
                      <w:kern w:val="0"/>
                      <w:highlight w:val="none"/>
                      <w:lang w:val="zh-CN"/>
                    </w:rPr>
                    <m:t>C</m:t>
                  </m:r>
                  <m:ctrlPr>
                    <w:rPr>
                      <w:rFonts w:hint="default" w:ascii="Cambria Math" w:hAnsi="Cambria Math"/>
                      <w:color w:val="auto"/>
                      <w:kern w:val="0"/>
                      <w:highlight w:val="none"/>
                      <w:lang w:val="zh-CN"/>
                    </w:rPr>
                  </m:ctrlPr>
                </m:e>
                <m:sub>
                  <m:r>
                    <m:rPr/>
                    <w:rPr>
                      <w:rFonts w:hint="default" w:ascii="Cambria Math" w:hAnsi="Cambria Math"/>
                      <w:color w:val="auto"/>
                      <w:kern w:val="0"/>
                      <w:highlight w:val="none"/>
                      <w:lang w:val="zh-CN"/>
                    </w:rPr>
                    <m:t>0i</m:t>
                  </m:r>
                  <m:ctrlPr>
                    <w:rPr>
                      <w:rFonts w:hint="default" w:ascii="Cambria Math" w:hAnsi="Cambria Math"/>
                      <w:color w:val="auto"/>
                      <w:kern w:val="0"/>
                      <w:highlight w:val="none"/>
                      <w:lang w:val="zh-CN"/>
                    </w:rPr>
                  </m:ctrlPr>
                </m:sub>
              </m:sSub>
              <m:ctrlPr>
                <w:rPr>
                  <w:rFonts w:hint="default" w:ascii="Cambria Math" w:hAnsi="Cambria Math"/>
                  <w:color w:val="auto"/>
                  <w:kern w:val="0"/>
                  <w:highlight w:val="none"/>
                  <w:lang w:val="zh-CN"/>
                </w:rPr>
              </m:ctrlPr>
            </m:den>
          </m:f>
          <m:r>
            <m:rPr/>
            <w:rPr>
              <w:rFonts w:hint="default" w:ascii="Cambria Math" w:hAnsi="Cambria Math"/>
              <w:color w:val="auto"/>
              <w:kern w:val="0"/>
              <w:highlight w:val="none"/>
              <w:lang w:val="zh-CN"/>
            </w:rPr>
            <m:t>×100%</m:t>
          </m:r>
        </m:oMath>
      </m:oMathPara>
    </w:p>
    <w:p w14:paraId="536EAD8C">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式中：</w:t>
      </w:r>
    </w:p>
    <w:p w14:paraId="185C455F">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Pi——第i个污染物的最大地面浓度占标率，%；</w:t>
      </w:r>
    </w:p>
    <w:p w14:paraId="6C4C5440">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Ci——采用估算模式计算出的第i个污染物的最大地面浓度，μg/m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p w14:paraId="6474E5B5">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C0i——第i个污染物的环境空气质量标准，μg/m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p w14:paraId="69E07339">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C0i一般选用GB3095中1小时平均质量浓度的二级浓度限值，如已有地方环境质量标准，应选用地方标准中的浓度限值；对于GB3095及地方环境质量标准中未包含的污染物，可参照HJ2.2附录D中的浓度限值；对于上述标准中均未包含的污染物，可参照选用其他国家、国际组织发布的环境质量浓度限值或基准值，但应作出说明。对仅有8h平均质量浓度限值、日平均质量浓度限值或年均质量浓度限值的，可分别按2倍、3倍、6倍折算为1h平均质量浓度限值。</w:t>
      </w:r>
    </w:p>
    <w:p w14:paraId="3466A4D4">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r>
        <w:rPr>
          <w:rFonts w:hint="default"/>
          <w:color w:val="auto"/>
          <w:highlight w:val="none"/>
        </w:rPr>
        <w:t>环境空气评价等级划分表</w:t>
      </w:r>
    </w:p>
    <w:tbl>
      <w:tblPr>
        <w:tblStyle w:val="8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340"/>
        <w:gridCol w:w="5488"/>
      </w:tblGrid>
      <w:tr w14:paraId="5CFAA3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blHeader/>
          <w:jc w:val="center"/>
        </w:trPr>
        <w:tc>
          <w:tcPr>
            <w:tcW w:w="3340" w:type="dxa"/>
            <w:noWrap w:val="0"/>
            <w:vAlign w:val="center"/>
          </w:tcPr>
          <w:p w14:paraId="22921717">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评价工作等级</w:t>
            </w:r>
          </w:p>
        </w:tc>
        <w:tc>
          <w:tcPr>
            <w:tcW w:w="5488" w:type="dxa"/>
            <w:noWrap w:val="0"/>
            <w:vAlign w:val="center"/>
          </w:tcPr>
          <w:p w14:paraId="518E440A">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评价工作分级判据</w:t>
            </w:r>
          </w:p>
        </w:tc>
      </w:tr>
      <w:tr w14:paraId="1FF7FD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3340" w:type="dxa"/>
            <w:noWrap w:val="0"/>
            <w:vAlign w:val="center"/>
          </w:tcPr>
          <w:p w14:paraId="74CFD469">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一级</w:t>
            </w:r>
          </w:p>
        </w:tc>
        <w:tc>
          <w:tcPr>
            <w:tcW w:w="5488" w:type="dxa"/>
            <w:noWrap w:val="0"/>
            <w:vAlign w:val="center"/>
          </w:tcPr>
          <w:p w14:paraId="39924E8C">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P</w:t>
            </w:r>
            <w:r>
              <w:rPr>
                <w:rFonts w:hint="default" w:ascii="Times New Roman" w:hAnsi="Times New Roman" w:cs="Times New Roman"/>
                <w:color w:val="auto"/>
                <w:highlight w:val="none"/>
                <w:vertAlign w:val="subscript"/>
              </w:rPr>
              <w:t>max</w:t>
            </w:r>
            <w:r>
              <w:rPr>
                <w:rFonts w:hint="default" w:ascii="Times New Roman" w:hAnsi="Times New Roman" w:cs="Times New Roman"/>
                <w:color w:val="auto"/>
                <w:highlight w:val="none"/>
              </w:rPr>
              <w:t>≥10%</w:t>
            </w:r>
          </w:p>
        </w:tc>
      </w:tr>
      <w:tr w14:paraId="77B80A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40" w:type="dxa"/>
            <w:noWrap w:val="0"/>
            <w:vAlign w:val="center"/>
          </w:tcPr>
          <w:p w14:paraId="739A5064">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二级</w:t>
            </w:r>
          </w:p>
        </w:tc>
        <w:tc>
          <w:tcPr>
            <w:tcW w:w="5488" w:type="dxa"/>
            <w:noWrap w:val="0"/>
            <w:vAlign w:val="center"/>
          </w:tcPr>
          <w:p w14:paraId="79CEEEDD">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1%≤P</w:t>
            </w:r>
            <w:r>
              <w:rPr>
                <w:rFonts w:hint="default" w:ascii="Times New Roman" w:hAnsi="Times New Roman" w:cs="Times New Roman"/>
                <w:color w:val="auto"/>
                <w:highlight w:val="none"/>
                <w:vertAlign w:val="subscript"/>
              </w:rPr>
              <w:t>max</w:t>
            </w:r>
            <w:r>
              <w:rPr>
                <w:rFonts w:hint="default" w:ascii="Times New Roman" w:hAnsi="Times New Roman" w:cs="Times New Roman"/>
                <w:color w:val="auto"/>
                <w:highlight w:val="none"/>
              </w:rPr>
              <w:t>＜10%</w:t>
            </w:r>
          </w:p>
        </w:tc>
      </w:tr>
      <w:tr w14:paraId="3A89CF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40" w:type="dxa"/>
            <w:noWrap w:val="0"/>
            <w:vAlign w:val="center"/>
          </w:tcPr>
          <w:p w14:paraId="3EC95F81">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三级</w:t>
            </w:r>
          </w:p>
        </w:tc>
        <w:tc>
          <w:tcPr>
            <w:tcW w:w="5488" w:type="dxa"/>
            <w:noWrap w:val="0"/>
            <w:vAlign w:val="center"/>
          </w:tcPr>
          <w:p w14:paraId="7D573153">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P</w:t>
            </w:r>
            <w:r>
              <w:rPr>
                <w:rFonts w:hint="default" w:ascii="Times New Roman" w:hAnsi="Times New Roman" w:cs="Times New Roman"/>
                <w:color w:val="auto"/>
                <w:highlight w:val="none"/>
                <w:vertAlign w:val="subscript"/>
              </w:rPr>
              <w:t>max</w:t>
            </w:r>
            <w:r>
              <w:rPr>
                <w:rFonts w:hint="default" w:ascii="Times New Roman" w:hAnsi="Times New Roman" w:cs="Times New Roman"/>
                <w:color w:val="auto"/>
                <w:highlight w:val="none"/>
              </w:rPr>
              <w:t>＜1%</w:t>
            </w:r>
          </w:p>
        </w:tc>
      </w:tr>
    </w:tbl>
    <w:p w14:paraId="5207DF22">
      <w:pPr>
        <w:pStyle w:val="410"/>
        <w:rPr>
          <w:rFonts w:hint="default" w:ascii="Times New Roman" w:hAnsi="Times New Roman" w:cs="Times New Roman"/>
          <w:b/>
          <w:bCs/>
          <w:color w:val="auto"/>
          <w:highlight w:val="none"/>
          <w:u w:val="none"/>
        </w:rPr>
      </w:pPr>
      <w:r>
        <w:rPr>
          <w:rFonts w:hint="default" w:ascii="Times New Roman" w:hAnsi="Times New Roman" w:cs="Times New Roman"/>
          <w:b/>
          <w:bCs/>
          <w:color w:val="auto"/>
          <w:highlight w:val="none"/>
          <w:u w:val="none"/>
        </w:rPr>
        <w:t>（2）评价等级</w:t>
      </w:r>
    </w:p>
    <w:p w14:paraId="667A12F3">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工程位于二类环境空气质量功能区，废气排放主要在施工期，施工期主要污染物主要为机械开挖、堆填、运输、装卸等施工作业过程中产生的粉尘散货及运输过程中产生的二次扬尘，此外，工程施工期还有施工机械、运输车辆产生的废气等，但排放量均不大，且较为分散。随着施工期的结束，废气影响即消除。大气污染物主要为扬尘，主要来源于土方开挖和回填，其排放有无组织、间歇性面源的特点。工程施工作业面分散，扬尘产生源有一定流动性，其影响区域主要为工程施工区域及周边，对环境空气影响是暂时的、局部的。</w:t>
      </w:r>
    </w:p>
    <w:p w14:paraId="2E28420E">
      <w:pPr>
        <w:pStyle w:val="410"/>
        <w:rPr>
          <w:rFonts w:hint="default" w:ascii="Times New Roman" w:hAnsi="Times New Roman" w:cs="Times New Roman"/>
          <w:color w:val="auto"/>
          <w:highlight w:val="none"/>
          <w:u w:val="none"/>
        </w:rPr>
      </w:pPr>
      <w:r>
        <w:rPr>
          <w:rFonts w:hint="default" w:ascii="Times New Roman" w:hAnsi="Times New Roman" w:eastAsia="宋体" w:cs="Times New Roman"/>
          <w:color w:val="auto"/>
          <w:kern w:val="0"/>
          <w:sz w:val="24"/>
          <w:szCs w:val="24"/>
          <w:highlight w:val="none"/>
          <w:lang w:val="en-US" w:eastAsia="zh-CN" w:bidi="ar"/>
        </w:rPr>
        <w:t>本工程为防洪治涝水利工程，运行过程中无大气污染物排放，因此，确定本项目大气环境评价等级为三级。</w:t>
      </w:r>
    </w:p>
    <w:p w14:paraId="54871ECB">
      <w:pPr>
        <w:pStyle w:val="6"/>
        <w:bidi w:val="0"/>
        <w:ind w:left="0" w:leftChars="0" w:firstLine="0" w:firstLineChars="0"/>
        <w:rPr>
          <w:rFonts w:hint="default"/>
          <w:color w:val="auto"/>
          <w:highlight w:val="none"/>
        </w:rPr>
      </w:pPr>
      <w:r>
        <w:rPr>
          <w:rFonts w:hint="default"/>
          <w:color w:val="auto"/>
          <w:highlight w:val="none"/>
        </w:rPr>
        <w:t>地表水环境</w:t>
      </w:r>
    </w:p>
    <w:p w14:paraId="2A9A5751">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本工程的地表水环境影响主要包括</w:t>
      </w:r>
      <w:r>
        <w:rPr>
          <w:rFonts w:hint="default" w:ascii="Times New Roman" w:hAnsi="Times New Roman" w:cs="Times New Roman"/>
          <w:color w:val="auto"/>
          <w:highlight w:val="none"/>
          <w:lang w:val="en-US" w:eastAsia="zh-CN"/>
        </w:rPr>
        <w:t>施工废水</w:t>
      </w:r>
      <w:r>
        <w:rPr>
          <w:rFonts w:hint="default" w:ascii="Times New Roman" w:hAnsi="Times New Roman" w:cs="Times New Roman"/>
          <w:color w:val="auto"/>
          <w:highlight w:val="none"/>
          <w:lang w:eastAsia="zh-CN"/>
        </w:rPr>
        <w:t>、施工生活污水、</w:t>
      </w:r>
      <w:r>
        <w:rPr>
          <w:rFonts w:hint="default" w:ascii="Times New Roman" w:hAnsi="Times New Roman" w:cs="Times New Roman"/>
          <w:color w:val="auto"/>
          <w:highlight w:val="none"/>
          <w:lang w:val="en-US" w:eastAsia="zh-CN"/>
        </w:rPr>
        <w:t>运输车辆冲洗废水</w:t>
      </w:r>
      <w:r>
        <w:rPr>
          <w:rFonts w:hint="default" w:ascii="Times New Roman" w:hAnsi="Times New Roman" w:cs="Times New Roman"/>
          <w:color w:val="auto"/>
          <w:highlight w:val="none"/>
          <w:lang w:eastAsia="zh-CN"/>
        </w:rPr>
        <w:t>，施工建设对地表水</w:t>
      </w:r>
      <w:r>
        <w:rPr>
          <w:rFonts w:hint="default" w:ascii="Times New Roman" w:hAnsi="Times New Roman" w:cs="Times New Roman"/>
          <w:color w:val="auto"/>
          <w:highlight w:val="none"/>
        </w:rPr>
        <w:t>水文要素的影响。根据项目特点，本项目建设将对地表水产生水污染影响和水文要素影响</w:t>
      </w:r>
      <w:r>
        <w:rPr>
          <w:rFonts w:hint="default" w:ascii="Times New Roman" w:hAnsi="Times New Roman" w:cs="Times New Roman"/>
          <w:color w:val="auto"/>
          <w:highlight w:val="none"/>
          <w:lang w:eastAsia="zh-CN"/>
        </w:rPr>
        <w:t>对工程扰动产生的影响</w:t>
      </w:r>
      <w:r>
        <w:rPr>
          <w:rFonts w:hint="default" w:ascii="Times New Roman" w:hAnsi="Times New Roman" w:cs="Times New Roman"/>
          <w:color w:val="auto"/>
          <w:highlight w:val="none"/>
        </w:rPr>
        <w:t>，因此项目为地表水复合影响型项目，需按类别分别确定评价等级。</w:t>
      </w:r>
    </w:p>
    <w:p w14:paraId="399D196E">
      <w:pPr>
        <w:pStyle w:val="41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（1）水污染影响评价工作等级</w:t>
      </w:r>
    </w:p>
    <w:p w14:paraId="7EB1FA1B">
      <w:pPr>
        <w:pStyle w:val="410"/>
        <w:rPr>
          <w:rFonts w:hint="default" w:ascii="Times New Roman" w:hAnsi="Times New Roman" w:cs="Times New Roman"/>
          <w:color w:val="auto"/>
          <w:highlight w:val="none"/>
          <w:u w:val="none"/>
          <w:lang w:val="en-US" w:eastAsia="zh-CN"/>
        </w:rPr>
      </w:pPr>
      <w:r>
        <w:rPr>
          <w:rFonts w:hint="eastAsia" w:ascii="Times New Roman" w:hAnsi="Times New Roman" w:cs="Times New Roman"/>
          <w:color w:val="auto"/>
          <w:highlight w:val="none"/>
          <w:u w:val="none"/>
          <w:lang w:eastAsia="zh-CN"/>
        </w:rPr>
        <w:t>运营期</w:t>
      </w:r>
      <w:r>
        <w:rPr>
          <w:rFonts w:hint="default" w:ascii="Times New Roman" w:hAnsi="Times New Roman" w:cs="Times New Roman"/>
          <w:color w:val="auto"/>
          <w:highlight w:val="none"/>
          <w:u w:val="none"/>
          <w:lang w:eastAsia="zh-CN"/>
        </w:rPr>
        <w:t>无排放污染物。根据《环境影响评价技术导则地表水环境》(HJ2.3-2018)，评价等级为三级 B。</w:t>
      </w:r>
    </w:p>
    <w:p w14:paraId="2390B51B">
      <w:pPr>
        <w:pStyle w:val="41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 xml:space="preserve">（2）水文要素影响评价等级 </w:t>
      </w:r>
    </w:p>
    <w:p w14:paraId="3E8E2F95">
      <w:pPr>
        <w:pStyle w:val="41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根据地表水评价导则，水文要素影响型建设项目评价等级划分根据</w:t>
      </w:r>
      <w:r>
        <w:rPr>
          <w:rFonts w:hint="default" w:ascii="Times New Roman" w:hAnsi="Times New Roman" w:cs="Times New Roman"/>
          <w:color w:val="auto"/>
          <w:highlight w:val="none"/>
          <w:lang w:eastAsia="zh-CN"/>
        </w:rPr>
        <w:t>水文</w:t>
      </w:r>
      <w:r>
        <w:rPr>
          <w:rFonts w:hint="default" w:ascii="Times New Roman" w:hAnsi="Times New Roman" w:cs="Times New Roman"/>
          <w:color w:val="auto"/>
          <w:highlight w:val="none"/>
        </w:rPr>
        <w:t>、径流与受影响地表水域等三类水文要素的影响程度进行判定，项目为</w:t>
      </w:r>
      <w:r>
        <w:rPr>
          <w:rFonts w:hint="default" w:ascii="Times New Roman" w:hAnsi="Times New Roman" w:cs="Times New Roman"/>
          <w:color w:val="auto"/>
          <w:highlight w:val="none"/>
          <w:lang w:eastAsia="zh-CN"/>
        </w:rPr>
        <w:t>防洪治涝工程</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eastAsia="zh-CN"/>
        </w:rPr>
        <w:t>不涉及水库及取水工程，项目不属于</w:t>
      </w:r>
      <w:r>
        <w:rPr>
          <w:rFonts w:hint="eastAsia" w:ascii="Times New Roman" w:cs="Times New Roman"/>
          <w:color w:val="auto"/>
          <w:highlight w:val="none"/>
          <w:lang w:eastAsia="zh-CN"/>
        </w:rPr>
        <w:t>水文</w:t>
      </w:r>
      <w:r>
        <w:rPr>
          <w:rFonts w:hint="eastAsia" w:ascii="Times New Roman" w:hAnsi="Times New Roman" w:cs="Times New Roman"/>
          <w:color w:val="auto"/>
          <w:highlight w:val="none"/>
          <w:lang w:eastAsia="zh-CN"/>
        </w:rPr>
        <w:t>及径流影响型项目，</w:t>
      </w:r>
      <w:r>
        <w:rPr>
          <w:rFonts w:hint="default" w:ascii="Times New Roman" w:hAnsi="Times New Roman" w:cs="Times New Roman"/>
          <w:color w:val="auto"/>
          <w:highlight w:val="none"/>
        </w:rPr>
        <w:t>影响的水文要素为受影响地表水域。根据</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_Ref95315629 \r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b/>
          <w:bCs/>
          <w:color w:val="auto"/>
          <w:highlight w:val="none"/>
        </w:rPr>
        <w:t>表1.5-3</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eastAsia="zh-CN"/>
        </w:rPr>
        <w:t>确定本</w:t>
      </w:r>
      <w:r>
        <w:rPr>
          <w:rFonts w:hint="default" w:ascii="Times New Roman" w:hAnsi="Times New Roman" w:cs="Times New Roman"/>
          <w:color w:val="auto"/>
          <w:highlight w:val="none"/>
        </w:rPr>
        <w:t>项目水文要素评价等级为三级。</w:t>
      </w:r>
      <w:r>
        <w:rPr>
          <w:rFonts w:hint="eastAsia" w:ascii="Times New Roman" w:hAnsi="Times New Roman" w:cs="Times New Roman"/>
          <w:color w:val="auto"/>
          <w:highlight w:val="none"/>
          <w:lang w:eastAsia="zh-CN"/>
        </w:rPr>
        <w:t>判定情况如下：</w:t>
      </w:r>
    </w:p>
    <w:p w14:paraId="009BA18D">
      <w:pPr>
        <w:pStyle w:val="410"/>
        <w:rPr>
          <w:rFonts w:hint="eastAsia" w:ascii="Times New Roman" w:hAnsi="Times New Roman" w:cs="Times New Roman"/>
          <w:b/>
          <w:bCs/>
          <w:color w:val="auto"/>
          <w:highlight w:val="none"/>
          <w:lang w:eastAsia="zh-CN"/>
        </w:rPr>
      </w:pPr>
      <w:r>
        <w:rPr>
          <w:rFonts w:hint="eastAsia" w:ascii="Times New Roman" w:hAnsi="Times New Roman" w:cs="Times New Roman"/>
          <w:b/>
          <w:bCs/>
          <w:color w:val="auto"/>
          <w:highlight w:val="none"/>
          <w:lang w:eastAsia="zh-CN"/>
        </w:rPr>
        <w:t>①受影响地表水域判定：</w:t>
      </w:r>
    </w:p>
    <w:p w14:paraId="1425F088">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工程垂直投影面积及外扩范围A1：</w:t>
      </w:r>
      <w:r>
        <w:rPr>
          <w:rFonts w:hint="default" w:ascii="Times New Roman" w:hAnsi="Times New Roman" w:cs="Times New Roman"/>
          <w:color w:val="auto"/>
          <w:highlight w:val="none"/>
          <w:lang w:eastAsia="zh-CN"/>
        </w:rPr>
        <w:t>项目</w:t>
      </w:r>
      <w:r>
        <w:rPr>
          <w:rFonts w:hint="eastAsia" w:ascii="Times New Roman" w:cs="Times New Roman"/>
          <w:color w:val="auto"/>
          <w:highlight w:val="none"/>
          <w:lang w:val="en-US" w:eastAsia="zh-CN"/>
        </w:rPr>
        <w:t>总</w:t>
      </w:r>
      <w:r>
        <w:rPr>
          <w:rFonts w:hint="default" w:ascii="Times New Roman" w:hAnsi="Times New Roman" w:cs="Times New Roman"/>
          <w:color w:val="auto"/>
          <w:highlight w:val="none"/>
          <w:lang w:eastAsia="zh-CN"/>
        </w:rPr>
        <w:t>永久占地</w:t>
      </w:r>
      <w:r>
        <w:rPr>
          <w:rFonts w:hint="default" w:ascii="Times New Roman" w:hAnsi="Times New Roman" w:cs="Times New Roman"/>
          <w:color w:val="auto"/>
          <w:highlight w:val="none"/>
          <w:lang w:val="en-US" w:eastAsia="zh-CN"/>
        </w:rPr>
        <w:t>1.34h</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lang w:eastAsia="zh-CN"/>
        </w:rPr>
        <w:t>，其中</w:t>
      </w:r>
      <w:r>
        <w:rPr>
          <w:rFonts w:hint="eastAsia" w:ascii="Times New Roman" w:cs="Times New Roman"/>
          <w:color w:val="auto"/>
          <w:highlight w:val="none"/>
          <w:lang w:eastAsia="zh-CN"/>
        </w:rPr>
        <w:t>，</w:t>
      </w:r>
      <w:r>
        <w:rPr>
          <w:rFonts w:hint="default" w:ascii="Times New Roman" w:hAnsi="Times New Roman" w:cs="Times New Roman"/>
          <w:color w:val="auto"/>
          <w:highlight w:val="none"/>
          <w:lang w:eastAsia="zh-CN"/>
        </w:rPr>
        <w:t>城市更新项目建设服务于金窝水库排水水系改造段永久占地</w:t>
      </w:r>
      <w:r>
        <w:rPr>
          <w:rFonts w:hint="default" w:ascii="Times New Roman" w:hAnsi="Times New Roman" w:cs="Times New Roman"/>
          <w:color w:val="auto"/>
          <w:highlight w:val="none"/>
          <w:lang w:val="en-US" w:eastAsia="zh-CN"/>
        </w:rPr>
        <w:t>1.13h</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lang w:val="en-US" w:eastAsia="zh-CN"/>
        </w:rPr>
        <w:t>（0.0113</w:t>
      </w:r>
      <w:r>
        <w:rPr>
          <w:rFonts w:hint="default" w:ascii="Times New Roman" w:hAnsi="Times New Roman" w:cs="Times New Roman"/>
          <w:color w:val="auto"/>
          <w:highlight w:val="none"/>
        </w:rPr>
        <w:t>km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lang w:val="en-US" w:eastAsia="zh-CN"/>
        </w:rPr>
        <w:t>）＜0.05</w:t>
      </w:r>
      <w:r>
        <w:rPr>
          <w:rFonts w:hint="default" w:ascii="Times New Roman" w:hAnsi="Times New Roman" w:cs="Times New Roman"/>
          <w:color w:val="auto"/>
          <w:highlight w:val="none"/>
        </w:rPr>
        <w:t>km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w:t>
      </w:r>
    </w:p>
    <w:p w14:paraId="223DA17F">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工程扰动水底面积A2：</w:t>
      </w:r>
      <w:r>
        <w:rPr>
          <w:rFonts w:hint="default" w:ascii="Times New Roman" w:hAnsi="Times New Roman" w:cs="Times New Roman"/>
          <w:color w:val="auto"/>
          <w:highlight w:val="none"/>
          <w:lang w:eastAsia="zh-CN"/>
        </w:rPr>
        <w:t>工程对水底产生扰动部分主要为城市更新项目建设服务于金窝水库排水水系改造段</w:t>
      </w:r>
      <w:r>
        <w:rPr>
          <w:rFonts w:hint="default" w:ascii="Times New Roman" w:hAnsi="Times New Roman" w:cs="Times New Roman"/>
          <w:color w:val="auto"/>
          <w:highlight w:val="none"/>
        </w:rPr>
        <w:t>。</w:t>
      </w:r>
      <w:r>
        <w:rPr>
          <w:rFonts w:hint="eastAsia" w:ascii="Times New Roman" w:cs="Times New Roman"/>
          <w:color w:val="auto"/>
          <w:highlight w:val="none"/>
          <w:u w:val="single"/>
          <w:lang w:val="en-US" w:eastAsia="zh-CN"/>
        </w:rPr>
        <w:t>保守估计，工程扰动水底面积按水系改造段施工区面积3.06</w:t>
      </w:r>
      <w:r>
        <w:rPr>
          <w:rFonts w:hint="default" w:ascii="Times New Roman" w:hAnsi="Times New Roman" w:cs="Times New Roman"/>
          <w:color w:val="auto"/>
          <w:highlight w:val="none"/>
          <w:u w:val="single"/>
          <w:lang w:val="en-US" w:eastAsia="zh-CN"/>
        </w:rPr>
        <w:t>h</w:t>
      </w:r>
      <w:r>
        <w:rPr>
          <w:rFonts w:hint="default" w:ascii="Times New Roman" w:hAnsi="Times New Roman" w:cs="Times New Roman"/>
          <w:color w:val="auto"/>
          <w:highlight w:val="none"/>
          <w:u w:val="single"/>
        </w:rPr>
        <w:t>m</w:t>
      </w:r>
      <w:r>
        <w:rPr>
          <w:rFonts w:hint="default" w:ascii="Times New Roman" w:hAnsi="Times New Roman" w:cs="Times New Roman"/>
          <w:color w:val="auto"/>
          <w:highlight w:val="none"/>
          <w:u w:val="single"/>
          <w:vertAlign w:val="superscript"/>
        </w:rPr>
        <w:t>2</w:t>
      </w:r>
      <w:r>
        <w:rPr>
          <w:rFonts w:hint="default" w:ascii="Times New Roman" w:hAnsi="Times New Roman" w:cs="Times New Roman"/>
          <w:color w:val="auto"/>
          <w:highlight w:val="none"/>
          <w:u w:val="single"/>
          <w:lang w:val="en-US" w:eastAsia="zh-CN"/>
        </w:rPr>
        <w:t>（</w:t>
      </w:r>
      <w:r>
        <w:rPr>
          <w:rFonts w:hint="eastAsia" w:ascii="Times New Roman" w:cs="Times New Roman"/>
          <w:color w:val="auto"/>
          <w:highlight w:val="none"/>
          <w:u w:val="single"/>
          <w:lang w:val="en-US" w:eastAsia="zh-CN"/>
        </w:rPr>
        <w:t>0.0306</w:t>
      </w:r>
      <w:r>
        <w:rPr>
          <w:rFonts w:hint="default" w:ascii="Times New Roman" w:hAnsi="Times New Roman" w:cs="Times New Roman"/>
          <w:color w:val="auto"/>
          <w:highlight w:val="none"/>
          <w:u w:val="single"/>
        </w:rPr>
        <w:t>km</w:t>
      </w:r>
      <w:r>
        <w:rPr>
          <w:rFonts w:hint="default" w:ascii="Times New Roman" w:hAnsi="Times New Roman" w:cs="Times New Roman"/>
          <w:color w:val="auto"/>
          <w:highlight w:val="none"/>
          <w:u w:val="single"/>
          <w:vertAlign w:val="superscript"/>
        </w:rPr>
        <w:t>2</w:t>
      </w:r>
      <w:r>
        <w:rPr>
          <w:rFonts w:hint="default" w:ascii="Times New Roman" w:hAnsi="Times New Roman" w:cs="Times New Roman"/>
          <w:color w:val="auto"/>
          <w:highlight w:val="none"/>
          <w:u w:val="single"/>
          <w:lang w:val="en-US" w:eastAsia="zh-CN"/>
        </w:rPr>
        <w:t>）＜0.2</w:t>
      </w:r>
      <w:r>
        <w:rPr>
          <w:rFonts w:hint="default" w:ascii="Times New Roman" w:hAnsi="Times New Roman" w:cs="Times New Roman"/>
          <w:color w:val="auto"/>
          <w:highlight w:val="none"/>
          <w:u w:val="single"/>
        </w:rPr>
        <w:t>km</w:t>
      </w:r>
      <w:r>
        <w:rPr>
          <w:rFonts w:hint="default" w:ascii="Times New Roman" w:hAnsi="Times New Roman" w:cs="Times New Roman"/>
          <w:color w:val="auto"/>
          <w:highlight w:val="none"/>
          <w:u w:val="single"/>
          <w:vertAlign w:val="superscript"/>
        </w:rPr>
        <w:t>2</w:t>
      </w:r>
      <w:r>
        <w:rPr>
          <w:rFonts w:hint="default" w:ascii="Times New Roman" w:hAnsi="Times New Roman" w:cs="Times New Roman"/>
          <w:color w:val="auto"/>
          <w:highlight w:val="none"/>
          <w:u w:val="single"/>
        </w:rPr>
        <w:t>。</w:t>
      </w:r>
    </w:p>
    <w:p w14:paraId="0D37CE9A">
      <w:pPr>
        <w:pStyle w:val="410"/>
        <w:rPr>
          <w:rFonts w:hint="eastAsia"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rPr>
        <w:t>过水断面宽度占用比例R：</w:t>
      </w:r>
      <w:r>
        <w:rPr>
          <w:rFonts w:hint="default" w:ascii="Times New Roman" w:hAnsi="Times New Roman" w:cs="Times New Roman"/>
          <w:color w:val="auto"/>
          <w:highlight w:val="none"/>
          <w:u w:val="none"/>
          <w:lang w:eastAsia="zh-CN"/>
        </w:rPr>
        <w:t>本工程为防洪治涝工程，不涉及拦河闸坝等过水断面</w:t>
      </w:r>
      <w:r>
        <w:rPr>
          <w:rFonts w:hint="eastAsia" w:ascii="Times New Roman" w:cs="Times New Roman"/>
          <w:color w:val="auto"/>
          <w:highlight w:val="none"/>
          <w:u w:val="none"/>
          <w:lang w:eastAsia="zh-CN"/>
        </w:rPr>
        <w:t>。</w:t>
      </w:r>
    </w:p>
    <w:p w14:paraId="209B38B1">
      <w:pPr>
        <w:pStyle w:val="410"/>
        <w:rPr>
          <w:rFonts w:hint="default" w:ascii="Times New Roman" w:cs="Times New Roman"/>
          <w:color w:val="auto"/>
          <w:highlight w:val="none"/>
          <w:u w:val="single"/>
          <w:lang w:eastAsia="zh-CN"/>
        </w:rPr>
      </w:pPr>
      <w:r>
        <w:rPr>
          <w:rFonts w:hint="eastAsia" w:ascii="Times New Roman" w:cs="Times New Roman"/>
          <w:color w:val="auto"/>
          <w:highlight w:val="none"/>
          <w:u w:val="single"/>
          <w:lang w:eastAsia="zh-CN"/>
        </w:rPr>
        <w:t>项目</w:t>
      </w:r>
      <w:r>
        <w:rPr>
          <w:rFonts w:hint="eastAsia" w:ascii="Times New Roman" w:cs="Times New Roman"/>
          <w:color w:val="auto"/>
          <w:highlight w:val="none"/>
          <w:u w:val="single"/>
          <w:lang w:val="en-US" w:eastAsia="zh-CN"/>
        </w:rPr>
        <w:t>建成对区域水文、径流量不会产生影响，区域过水能力有所提升</w:t>
      </w:r>
      <w:r>
        <w:rPr>
          <w:rFonts w:hint="eastAsia" w:ascii="Times New Roman" w:cs="Times New Roman"/>
          <w:color w:val="auto"/>
          <w:highlight w:val="none"/>
          <w:u w:val="single"/>
          <w:lang w:eastAsia="zh-CN"/>
        </w:rPr>
        <w:t>，</w:t>
      </w:r>
      <w:r>
        <w:rPr>
          <w:rFonts w:hint="eastAsia" w:ascii="Times New Roman" w:cs="Times New Roman"/>
          <w:color w:val="auto"/>
          <w:highlight w:val="none"/>
          <w:u w:val="single"/>
          <w:lang w:val="en-US" w:eastAsia="zh-CN"/>
        </w:rPr>
        <w:t>对区域水位、水文产生一定影响。</w:t>
      </w:r>
    </w:p>
    <w:p w14:paraId="1DF5200A">
      <w:pPr>
        <w:pStyle w:val="41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eastAsia="zh-CN"/>
        </w:rPr>
        <w:t>②注释判定</w:t>
      </w:r>
      <w:r>
        <w:rPr>
          <w:rFonts w:hint="eastAsia" w:ascii="Times New Roman" w:hAnsi="Times New Roman" w:cs="Times New Roman"/>
          <w:b/>
          <w:bCs/>
          <w:color w:val="auto"/>
          <w:highlight w:val="none"/>
          <w:lang w:val="en-US" w:eastAsia="zh-CN"/>
        </w:rPr>
        <w:t>：</w:t>
      </w:r>
    </w:p>
    <w:p w14:paraId="2EA5F36C">
      <w:pPr>
        <w:pStyle w:val="41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经项目现场勘查，本项目</w:t>
      </w:r>
      <w:r>
        <w:rPr>
          <w:rFonts w:hint="default" w:ascii="Times New Roman" w:hAnsi="Times New Roman" w:cs="Times New Roman"/>
          <w:color w:val="auto"/>
          <w:highlight w:val="none"/>
        </w:rPr>
        <w:t>影响范围</w:t>
      </w:r>
      <w:r>
        <w:rPr>
          <w:rFonts w:hint="eastAsia" w:ascii="Times New Roman" w:hAnsi="Times New Roman" w:cs="Times New Roman"/>
          <w:color w:val="auto"/>
          <w:highlight w:val="none"/>
          <w:lang w:eastAsia="zh-CN"/>
        </w:rPr>
        <w:t>不</w:t>
      </w:r>
      <w:r>
        <w:rPr>
          <w:rFonts w:hint="default" w:ascii="Times New Roman" w:hAnsi="Times New Roman" w:cs="Times New Roman"/>
          <w:color w:val="auto"/>
          <w:highlight w:val="none"/>
        </w:rPr>
        <w:t>涉及饮用水水源保护区、重点保护与珍稀水生生物的栖息地，重要水生生物的自然产卵场、自然保护区等保护目标</w:t>
      </w:r>
      <w:r>
        <w:rPr>
          <w:rFonts w:hint="eastAsia" w:ascii="Times New Roman" w:hAnsi="Times New Roman" w:cs="Times New Roman"/>
          <w:color w:val="auto"/>
          <w:highlight w:val="none"/>
          <w:lang w:eastAsia="zh-CN"/>
        </w:rPr>
        <w:t>；</w:t>
      </w:r>
    </w:p>
    <w:p w14:paraId="10BA36B6">
      <w:pPr>
        <w:pStyle w:val="41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本项目为防洪除涝工程，不涉及</w:t>
      </w:r>
      <w:r>
        <w:rPr>
          <w:rFonts w:hint="default" w:ascii="Times New Roman" w:hAnsi="Times New Roman" w:cs="Times New Roman"/>
          <w:color w:val="auto"/>
          <w:highlight w:val="none"/>
        </w:rPr>
        <w:t>跨流域调水、引水式电站</w:t>
      </w:r>
      <w:r>
        <w:rPr>
          <w:rFonts w:hint="eastAsia" w:ascii="Times New Roman" w:hAnsi="Times New Roman" w:cs="Times New Roman"/>
          <w:color w:val="auto"/>
          <w:highlight w:val="none"/>
          <w:lang w:eastAsia="zh-CN"/>
        </w:rPr>
        <w:t>；</w:t>
      </w:r>
      <w:r>
        <w:rPr>
          <w:rFonts w:hint="eastAsia" w:ascii="Times New Roman" w:cs="Times New Roman"/>
          <w:color w:val="auto"/>
          <w:highlight w:val="none"/>
          <w:u w:val="single"/>
          <w:lang w:eastAsia="zh-CN"/>
        </w:rPr>
        <w:t>经对比</w:t>
      </w:r>
      <w:r>
        <w:rPr>
          <w:rFonts w:hint="eastAsia" w:ascii="Times New Roman" w:cs="Times New Roman"/>
          <w:color w:val="auto"/>
          <w:highlight w:val="none"/>
          <w:u w:val="single"/>
          <w:lang w:val="en-US" w:eastAsia="zh-CN"/>
        </w:rPr>
        <w:t>2008年海岸线，</w:t>
      </w:r>
      <w:r>
        <w:rPr>
          <w:rFonts w:hint="eastAsia" w:ascii="Times New Roman" w:cs="Times New Roman"/>
          <w:color w:val="auto"/>
          <w:highlight w:val="none"/>
          <w:lang w:val="en-US" w:eastAsia="zh-CN"/>
        </w:rPr>
        <w:t>本项目工程占地不涉及海洋</w:t>
      </w:r>
      <w:r>
        <w:rPr>
          <w:rFonts w:hint="eastAsia" w:ascii="Times New Roman" w:cs="Times New Roman"/>
          <w:color w:val="auto"/>
          <w:highlight w:val="none"/>
          <w:u w:val="single"/>
          <w:lang w:val="en-US" w:eastAsia="zh-CN"/>
        </w:rPr>
        <w:t>，项目与海洋之间经现状乡村道路下的涵洞相连，</w:t>
      </w:r>
      <w:r>
        <w:rPr>
          <w:rFonts w:hint="eastAsia" w:ascii="Times New Roman" w:cs="Times New Roman"/>
          <w:color w:val="auto"/>
          <w:highlight w:val="none"/>
          <w:lang w:val="en-US" w:eastAsia="zh-CN"/>
        </w:rPr>
        <w:t>水系与海洋的水力联系不大，</w:t>
      </w:r>
      <w:r>
        <w:rPr>
          <w:rFonts w:hint="eastAsia" w:ascii="Times New Roman" w:cs="Times New Roman"/>
          <w:color w:val="auto"/>
          <w:highlight w:val="none"/>
          <w:lang w:eastAsia="zh-CN"/>
        </w:rPr>
        <w:t>不会</w:t>
      </w:r>
      <w:r>
        <w:rPr>
          <w:rFonts w:hint="default" w:ascii="Times New Roman" w:hAnsi="Times New Roman" w:cs="Times New Roman"/>
          <w:color w:val="auto"/>
          <w:highlight w:val="none"/>
        </w:rPr>
        <w:t>受到河流感潮河段影响</w:t>
      </w:r>
      <w:r>
        <w:rPr>
          <w:rFonts w:hint="eastAsia" w:ascii="Times New Roman" w:hAnsi="Times New Roman" w:cs="Times New Roman"/>
          <w:color w:val="auto"/>
          <w:highlight w:val="none"/>
          <w:lang w:eastAsia="zh-CN"/>
        </w:rPr>
        <w:t>；</w:t>
      </w:r>
    </w:p>
    <w:p w14:paraId="5B66D6A5">
      <w:pPr>
        <w:pStyle w:val="41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本项目不</w:t>
      </w:r>
      <w:r>
        <w:rPr>
          <w:rFonts w:hint="default" w:ascii="Times New Roman" w:hAnsi="Times New Roman" w:cs="Times New Roman"/>
          <w:color w:val="auto"/>
          <w:highlight w:val="none"/>
        </w:rPr>
        <w:t>造成入海河口（湾口）宽度束窄（束窄尺度达到原宽度的5%以上）</w:t>
      </w:r>
      <w:r>
        <w:rPr>
          <w:rFonts w:hint="eastAsia" w:ascii="Times New Roman" w:hAnsi="Times New Roman" w:cs="Times New Roman"/>
          <w:color w:val="auto"/>
          <w:highlight w:val="none"/>
          <w:lang w:eastAsia="zh-CN"/>
        </w:rPr>
        <w:t>；</w:t>
      </w:r>
    </w:p>
    <w:p w14:paraId="49FB6C83">
      <w:pPr>
        <w:pStyle w:val="41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本项目建设内容不涉及</w:t>
      </w:r>
      <w:r>
        <w:rPr>
          <w:rFonts w:hint="default" w:ascii="Times New Roman" w:hAnsi="Times New Roman" w:cs="Times New Roman"/>
          <w:color w:val="auto"/>
          <w:highlight w:val="none"/>
        </w:rPr>
        <w:t>不透水的单方向建筑尺度较大的水工建筑物（如防波堤、导流堤等）</w:t>
      </w:r>
      <w:r>
        <w:rPr>
          <w:rFonts w:hint="eastAsia" w:ascii="Times New Roman" w:hAnsi="Times New Roman" w:cs="Times New Roman"/>
          <w:color w:val="auto"/>
          <w:highlight w:val="none"/>
          <w:lang w:eastAsia="zh-CN"/>
        </w:rPr>
        <w:t>；</w:t>
      </w:r>
    </w:p>
    <w:p w14:paraId="342094A4">
      <w:pPr>
        <w:pStyle w:val="41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eastAsia="zh-CN"/>
        </w:rPr>
        <w:t>本项目建设不涉及海域；</w:t>
      </w:r>
    </w:p>
    <w:p w14:paraId="0DEAA5CC">
      <w:pPr>
        <w:pStyle w:val="41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本项目建设仅涉及水文情势影响要素“为</w:t>
      </w:r>
      <w:r>
        <w:rPr>
          <w:rFonts w:hint="default" w:ascii="Times New Roman" w:hAnsi="Times New Roman" w:cs="Times New Roman"/>
          <w:color w:val="auto"/>
          <w:highlight w:val="none"/>
        </w:rPr>
        <w:t>受影响地表水域</w:t>
      </w:r>
      <w:r>
        <w:rPr>
          <w:rFonts w:hint="eastAsia" w:ascii="Times New Roman" w:hAnsi="Times New Roman" w:cs="Times New Roman"/>
          <w:color w:val="auto"/>
          <w:highlight w:val="none"/>
          <w:lang w:val="en-US" w:eastAsia="zh-CN"/>
        </w:rPr>
        <w:t>”，经判定水文要素评价等级为三级。</w:t>
      </w:r>
    </w:p>
    <w:p w14:paraId="11A6EA44">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r>
        <w:rPr>
          <w:rFonts w:hint="default"/>
          <w:color w:val="auto"/>
          <w:highlight w:val="none"/>
        </w:rPr>
        <w:t xml:space="preserve">  </w:t>
      </w:r>
      <w:bookmarkStart w:id="23" w:name="_Ref95315629"/>
      <w:r>
        <w:rPr>
          <w:rFonts w:hint="default"/>
          <w:color w:val="auto"/>
          <w:highlight w:val="none"/>
        </w:rPr>
        <w:t>水文要素影响型建设项目评价等级判定表</w:t>
      </w:r>
      <w:bookmarkEnd w:id="23"/>
    </w:p>
    <w:tbl>
      <w:tblPr>
        <w:tblStyle w:val="87"/>
        <w:tblW w:w="864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645"/>
        <w:gridCol w:w="1210"/>
        <w:gridCol w:w="1108"/>
        <w:gridCol w:w="1076"/>
        <w:gridCol w:w="1393"/>
        <w:gridCol w:w="1611"/>
        <w:gridCol w:w="1599"/>
      </w:tblGrid>
      <w:tr w14:paraId="426D285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645" w:type="dxa"/>
            <w:vMerge w:val="restart"/>
            <w:noWrap w:val="0"/>
            <w:vAlign w:val="center"/>
          </w:tcPr>
          <w:p w14:paraId="1CA47C71">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评价等级</w:t>
            </w:r>
          </w:p>
        </w:tc>
        <w:tc>
          <w:tcPr>
            <w:tcW w:w="1210" w:type="dxa"/>
            <w:noWrap w:val="0"/>
            <w:vAlign w:val="center"/>
          </w:tcPr>
          <w:p w14:paraId="117F8757">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水温</w:t>
            </w:r>
          </w:p>
        </w:tc>
        <w:tc>
          <w:tcPr>
            <w:tcW w:w="2184" w:type="dxa"/>
            <w:gridSpan w:val="2"/>
            <w:noWrap w:val="0"/>
            <w:vAlign w:val="center"/>
          </w:tcPr>
          <w:p w14:paraId="7DEAD069">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径流</w:t>
            </w:r>
          </w:p>
        </w:tc>
        <w:tc>
          <w:tcPr>
            <w:tcW w:w="4603" w:type="dxa"/>
            <w:gridSpan w:val="3"/>
            <w:noWrap w:val="0"/>
            <w:vAlign w:val="center"/>
          </w:tcPr>
          <w:p w14:paraId="6F17641B">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受影响地表水域</w:t>
            </w:r>
          </w:p>
        </w:tc>
      </w:tr>
      <w:tr w14:paraId="11B9FEE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645" w:type="dxa"/>
            <w:vMerge w:val="continue"/>
            <w:noWrap w:val="0"/>
            <w:vAlign w:val="center"/>
          </w:tcPr>
          <w:p w14:paraId="2823DD51">
            <w:pPr>
              <w:pStyle w:val="698"/>
              <w:rPr>
                <w:rFonts w:hint="default" w:ascii="Times New Roman" w:hAnsi="Times New Roman" w:cs="Times New Roman"/>
                <w:color w:val="auto"/>
                <w:highlight w:val="none"/>
              </w:rPr>
            </w:pPr>
          </w:p>
        </w:tc>
        <w:tc>
          <w:tcPr>
            <w:tcW w:w="1210" w:type="dxa"/>
            <w:vMerge w:val="restart"/>
            <w:noWrap w:val="0"/>
            <w:vAlign w:val="center"/>
          </w:tcPr>
          <w:p w14:paraId="3DB62663">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年径流量与总库容百分比α/%</w:t>
            </w:r>
          </w:p>
        </w:tc>
        <w:tc>
          <w:tcPr>
            <w:tcW w:w="1108" w:type="dxa"/>
            <w:vMerge w:val="restart"/>
            <w:noWrap w:val="0"/>
            <w:vAlign w:val="center"/>
          </w:tcPr>
          <w:p w14:paraId="7C01A1E3">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兴利库容与年径流量百分比</w:t>
            </w:r>
          </w:p>
          <w:p w14:paraId="259D4B0C">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β/%</w:t>
            </w:r>
          </w:p>
        </w:tc>
        <w:tc>
          <w:tcPr>
            <w:tcW w:w="1076" w:type="dxa"/>
            <w:vMerge w:val="restart"/>
            <w:noWrap w:val="0"/>
            <w:vAlign w:val="center"/>
          </w:tcPr>
          <w:p w14:paraId="59442194">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取水量占多年平均径流量百分比γ/%</w:t>
            </w:r>
          </w:p>
        </w:tc>
        <w:tc>
          <w:tcPr>
            <w:tcW w:w="3004" w:type="dxa"/>
            <w:gridSpan w:val="2"/>
            <w:noWrap w:val="0"/>
            <w:vAlign w:val="center"/>
          </w:tcPr>
          <w:p w14:paraId="46781B73">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工程垂直投影面积及外扩范围</w:t>
            </w:r>
          </w:p>
          <w:p w14:paraId="20027D46">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A</w:t>
            </w:r>
            <w:r>
              <w:rPr>
                <w:rFonts w:hint="default" w:ascii="Times New Roman" w:hAnsi="Times New Roman" w:cs="Times New Roman"/>
                <w:color w:val="auto"/>
                <w:highlight w:val="none"/>
                <w:vertAlign w:val="subscript"/>
              </w:rPr>
              <w:t>1</w:t>
            </w:r>
            <w:r>
              <w:rPr>
                <w:rFonts w:hint="default" w:ascii="Times New Roman" w:hAnsi="Times New Roman" w:cs="Times New Roman"/>
                <w:color w:val="auto"/>
                <w:highlight w:val="none"/>
              </w:rPr>
              <w:t>/km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；工程扰动水底面积A</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/km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；过水断面宽度占用比例或占用水域面积比R/%</w:t>
            </w:r>
          </w:p>
        </w:tc>
        <w:tc>
          <w:tcPr>
            <w:tcW w:w="1599" w:type="dxa"/>
            <w:noWrap w:val="0"/>
            <w:vAlign w:val="center"/>
          </w:tcPr>
          <w:p w14:paraId="45A9D62D">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工程垂直投影面</w:t>
            </w:r>
          </w:p>
          <w:p w14:paraId="237B5D69">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积及外扩范围A/km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；工程扰动水底面积A</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/km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w:t>
            </w:r>
          </w:p>
        </w:tc>
      </w:tr>
      <w:tr w14:paraId="2253596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645" w:type="dxa"/>
            <w:vMerge w:val="continue"/>
            <w:noWrap w:val="0"/>
            <w:vAlign w:val="center"/>
          </w:tcPr>
          <w:p w14:paraId="09A10A9C">
            <w:pPr>
              <w:pStyle w:val="698"/>
              <w:rPr>
                <w:rFonts w:hint="default" w:ascii="Times New Roman" w:hAnsi="Times New Roman" w:cs="Times New Roman"/>
                <w:color w:val="auto"/>
                <w:highlight w:val="none"/>
              </w:rPr>
            </w:pPr>
          </w:p>
        </w:tc>
        <w:tc>
          <w:tcPr>
            <w:tcW w:w="1210" w:type="dxa"/>
            <w:vMerge w:val="continue"/>
            <w:noWrap w:val="0"/>
            <w:vAlign w:val="center"/>
          </w:tcPr>
          <w:p w14:paraId="11DA30F3">
            <w:pPr>
              <w:pStyle w:val="698"/>
              <w:rPr>
                <w:rFonts w:hint="default" w:ascii="Times New Roman" w:hAnsi="Times New Roman" w:cs="Times New Roman"/>
                <w:color w:val="auto"/>
                <w:highlight w:val="none"/>
              </w:rPr>
            </w:pPr>
          </w:p>
        </w:tc>
        <w:tc>
          <w:tcPr>
            <w:tcW w:w="1108" w:type="dxa"/>
            <w:vMerge w:val="continue"/>
            <w:noWrap w:val="0"/>
            <w:vAlign w:val="center"/>
          </w:tcPr>
          <w:p w14:paraId="65519F29">
            <w:pPr>
              <w:pStyle w:val="698"/>
              <w:rPr>
                <w:rFonts w:hint="default" w:ascii="Times New Roman" w:hAnsi="Times New Roman" w:cs="Times New Roman"/>
                <w:color w:val="auto"/>
                <w:highlight w:val="none"/>
              </w:rPr>
            </w:pPr>
          </w:p>
        </w:tc>
        <w:tc>
          <w:tcPr>
            <w:tcW w:w="1076" w:type="dxa"/>
            <w:vMerge w:val="continue"/>
            <w:noWrap w:val="0"/>
            <w:vAlign w:val="center"/>
          </w:tcPr>
          <w:p w14:paraId="193FD6A5">
            <w:pPr>
              <w:pStyle w:val="698"/>
              <w:rPr>
                <w:rFonts w:hint="default" w:ascii="Times New Roman" w:hAnsi="Times New Roman" w:cs="Times New Roman"/>
                <w:color w:val="auto"/>
                <w:highlight w:val="none"/>
              </w:rPr>
            </w:pPr>
          </w:p>
        </w:tc>
        <w:tc>
          <w:tcPr>
            <w:tcW w:w="1393" w:type="dxa"/>
            <w:noWrap w:val="0"/>
            <w:vAlign w:val="center"/>
          </w:tcPr>
          <w:p w14:paraId="709ACC12">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河流</w:t>
            </w:r>
          </w:p>
        </w:tc>
        <w:tc>
          <w:tcPr>
            <w:tcW w:w="1611" w:type="dxa"/>
            <w:noWrap w:val="0"/>
            <w:vAlign w:val="center"/>
          </w:tcPr>
          <w:p w14:paraId="796C28B2">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湖库</w:t>
            </w:r>
          </w:p>
        </w:tc>
        <w:tc>
          <w:tcPr>
            <w:tcW w:w="1599" w:type="dxa"/>
            <w:noWrap w:val="0"/>
            <w:vAlign w:val="center"/>
          </w:tcPr>
          <w:p w14:paraId="05222A02">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入海河口、近岸</w:t>
            </w:r>
          </w:p>
          <w:p w14:paraId="3496C7B5">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海域</w:t>
            </w:r>
          </w:p>
        </w:tc>
      </w:tr>
      <w:tr w14:paraId="1199E32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645" w:type="dxa"/>
            <w:noWrap w:val="0"/>
            <w:vAlign w:val="center"/>
          </w:tcPr>
          <w:p w14:paraId="16AF4BD7">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一级</w:t>
            </w:r>
          </w:p>
        </w:tc>
        <w:tc>
          <w:tcPr>
            <w:tcW w:w="1210" w:type="dxa"/>
            <w:noWrap w:val="0"/>
            <w:vAlign w:val="center"/>
          </w:tcPr>
          <w:p w14:paraId="482560B3">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α≤10；或稳定分层</w:t>
            </w:r>
          </w:p>
        </w:tc>
        <w:tc>
          <w:tcPr>
            <w:tcW w:w="1108" w:type="dxa"/>
            <w:noWrap w:val="0"/>
            <w:vAlign w:val="center"/>
          </w:tcPr>
          <w:p w14:paraId="1F6ECD27">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β≥20；或</w:t>
            </w:r>
          </w:p>
          <w:p w14:paraId="1FAA677D">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全</w:t>
            </w:r>
            <w:r>
              <w:rPr>
                <w:rFonts w:hint="default" w:ascii="Times New Roman" w:hAnsi="Times New Roman" w:cs="Times New Roman"/>
                <w:color w:val="auto"/>
                <w:highlight w:val="none"/>
              </w:rPr>
              <w:t>年调节与多年调节</w:t>
            </w:r>
          </w:p>
        </w:tc>
        <w:tc>
          <w:tcPr>
            <w:tcW w:w="1076" w:type="dxa"/>
            <w:noWrap w:val="0"/>
            <w:vAlign w:val="center"/>
          </w:tcPr>
          <w:p w14:paraId="65B655A9">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γ≥30</w:t>
            </w:r>
          </w:p>
        </w:tc>
        <w:tc>
          <w:tcPr>
            <w:tcW w:w="1393" w:type="dxa"/>
            <w:noWrap w:val="0"/>
            <w:vAlign w:val="center"/>
          </w:tcPr>
          <w:p w14:paraId="4EDBC8FB">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A</w:t>
            </w:r>
            <w:r>
              <w:rPr>
                <w:rFonts w:hint="default" w:ascii="Times New Roman" w:hAnsi="Times New Roman" w:cs="Times New Roman"/>
                <w:color w:val="auto"/>
                <w:highlight w:val="none"/>
                <w:vertAlign w:val="subscript"/>
              </w:rPr>
              <w:t>1</w:t>
            </w:r>
            <w:r>
              <w:rPr>
                <w:rFonts w:hint="default" w:ascii="Times New Roman" w:hAnsi="Times New Roman" w:cs="Times New Roman"/>
                <w:color w:val="auto"/>
                <w:highlight w:val="none"/>
              </w:rPr>
              <w:t>≥0.3；或A</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≥1.5；</w:t>
            </w:r>
          </w:p>
          <w:p w14:paraId="3E880CF6">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或R≥10</w:t>
            </w:r>
          </w:p>
        </w:tc>
        <w:tc>
          <w:tcPr>
            <w:tcW w:w="1611" w:type="dxa"/>
            <w:noWrap w:val="0"/>
            <w:vAlign w:val="center"/>
          </w:tcPr>
          <w:p w14:paraId="61EC782A">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A</w:t>
            </w:r>
            <w:r>
              <w:rPr>
                <w:rFonts w:hint="default" w:ascii="Times New Roman" w:hAnsi="Times New Roman" w:cs="Times New Roman"/>
                <w:color w:val="auto"/>
                <w:highlight w:val="none"/>
                <w:vertAlign w:val="subscript"/>
              </w:rPr>
              <w:t>1</w:t>
            </w:r>
            <w:r>
              <w:rPr>
                <w:rFonts w:hint="default" w:ascii="Times New Roman" w:hAnsi="Times New Roman" w:cs="Times New Roman"/>
                <w:color w:val="auto"/>
                <w:highlight w:val="none"/>
              </w:rPr>
              <w:t>≥0.3；或A</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≥1.5；</w:t>
            </w:r>
          </w:p>
          <w:p w14:paraId="5BB9B17D">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或R≥20</w:t>
            </w:r>
          </w:p>
        </w:tc>
        <w:tc>
          <w:tcPr>
            <w:tcW w:w="1599" w:type="dxa"/>
            <w:noWrap w:val="0"/>
            <w:vAlign w:val="center"/>
          </w:tcPr>
          <w:p w14:paraId="62A38136">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A</w:t>
            </w:r>
            <w:r>
              <w:rPr>
                <w:rFonts w:hint="default" w:ascii="Times New Roman" w:hAnsi="Times New Roman" w:cs="Times New Roman"/>
                <w:color w:val="auto"/>
                <w:highlight w:val="none"/>
                <w:vertAlign w:val="subscript"/>
              </w:rPr>
              <w:t>1</w:t>
            </w:r>
            <w:r>
              <w:rPr>
                <w:rFonts w:hint="default" w:ascii="Times New Roman" w:hAnsi="Times New Roman" w:cs="Times New Roman"/>
                <w:color w:val="auto"/>
                <w:highlight w:val="none"/>
              </w:rPr>
              <w:t>≥0.5；或A</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≥3</w:t>
            </w:r>
          </w:p>
        </w:tc>
      </w:tr>
      <w:tr w14:paraId="22F7B15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645" w:type="dxa"/>
            <w:noWrap w:val="0"/>
            <w:vAlign w:val="center"/>
          </w:tcPr>
          <w:p w14:paraId="546528AF">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二级</w:t>
            </w:r>
          </w:p>
        </w:tc>
        <w:tc>
          <w:tcPr>
            <w:tcW w:w="1210" w:type="dxa"/>
            <w:noWrap w:val="0"/>
            <w:vAlign w:val="center"/>
          </w:tcPr>
          <w:p w14:paraId="3FEDAE7C">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20＞α＞10；或不稳定分层</w:t>
            </w:r>
          </w:p>
        </w:tc>
        <w:tc>
          <w:tcPr>
            <w:tcW w:w="1108" w:type="dxa"/>
            <w:noWrap w:val="0"/>
            <w:vAlign w:val="center"/>
          </w:tcPr>
          <w:p w14:paraId="616396D2">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20＞β＞2；</w:t>
            </w:r>
          </w:p>
          <w:p w14:paraId="074DE677">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或季调节与不完全年调节</w:t>
            </w:r>
          </w:p>
        </w:tc>
        <w:tc>
          <w:tcPr>
            <w:tcW w:w="1076" w:type="dxa"/>
            <w:noWrap w:val="0"/>
            <w:vAlign w:val="center"/>
          </w:tcPr>
          <w:p w14:paraId="74CFB7DF">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30＞γ＞10</w:t>
            </w:r>
          </w:p>
        </w:tc>
        <w:tc>
          <w:tcPr>
            <w:tcW w:w="1393" w:type="dxa"/>
            <w:noWrap w:val="0"/>
            <w:vAlign w:val="center"/>
          </w:tcPr>
          <w:p w14:paraId="2A9B0EBB">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0.3＞A</w:t>
            </w:r>
            <w:r>
              <w:rPr>
                <w:rFonts w:hint="default" w:ascii="Times New Roman" w:hAnsi="Times New Roman" w:cs="Times New Roman"/>
                <w:color w:val="auto"/>
                <w:highlight w:val="none"/>
                <w:vertAlign w:val="subscript"/>
              </w:rPr>
              <w:t>1</w:t>
            </w:r>
            <w:r>
              <w:rPr>
                <w:rFonts w:hint="default" w:ascii="Times New Roman" w:hAnsi="Times New Roman" w:cs="Times New Roman"/>
                <w:color w:val="auto"/>
                <w:highlight w:val="none"/>
              </w:rPr>
              <w:t>＞</w:t>
            </w:r>
          </w:p>
          <w:p w14:paraId="01C29278">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0.05；或1.5＞A</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＞0.2；或10</w:t>
            </w:r>
          </w:p>
          <w:p w14:paraId="5E38C6B4">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＞R＞5</w:t>
            </w:r>
          </w:p>
        </w:tc>
        <w:tc>
          <w:tcPr>
            <w:tcW w:w="1611" w:type="dxa"/>
            <w:noWrap w:val="0"/>
            <w:vAlign w:val="center"/>
          </w:tcPr>
          <w:p w14:paraId="0B341E3D">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0.3＞A</w:t>
            </w:r>
            <w:r>
              <w:rPr>
                <w:rFonts w:hint="default" w:ascii="Times New Roman" w:hAnsi="Times New Roman" w:cs="Times New Roman"/>
                <w:color w:val="auto"/>
                <w:highlight w:val="none"/>
                <w:vertAlign w:val="subscript"/>
              </w:rPr>
              <w:t>1</w:t>
            </w:r>
            <w:r>
              <w:rPr>
                <w:rFonts w:hint="default" w:ascii="Times New Roman" w:hAnsi="Times New Roman" w:cs="Times New Roman"/>
                <w:color w:val="auto"/>
                <w:highlight w:val="none"/>
              </w:rPr>
              <w:t>＞0.05；</w:t>
            </w:r>
          </w:p>
          <w:p w14:paraId="675A3C2F">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或1.5＞A</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＞0.2；或</w:t>
            </w:r>
          </w:p>
          <w:p w14:paraId="49812DAE">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20＞R＞5</w:t>
            </w:r>
          </w:p>
        </w:tc>
        <w:tc>
          <w:tcPr>
            <w:tcW w:w="1599" w:type="dxa"/>
            <w:noWrap w:val="0"/>
            <w:vAlign w:val="center"/>
          </w:tcPr>
          <w:p w14:paraId="14E13836">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0.5＞A</w:t>
            </w:r>
            <w:r>
              <w:rPr>
                <w:rFonts w:hint="default" w:ascii="Times New Roman" w:hAnsi="Times New Roman" w:cs="Times New Roman"/>
                <w:color w:val="auto"/>
                <w:highlight w:val="none"/>
                <w:vertAlign w:val="subscript"/>
              </w:rPr>
              <w:t>1</w:t>
            </w:r>
            <w:r>
              <w:rPr>
                <w:rFonts w:hint="default" w:ascii="Times New Roman" w:hAnsi="Times New Roman" w:cs="Times New Roman"/>
                <w:color w:val="auto"/>
                <w:highlight w:val="none"/>
              </w:rPr>
              <w:t>＞0.15；</w:t>
            </w:r>
          </w:p>
          <w:p w14:paraId="1A1F6407">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或3＞A</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＞0.5</w:t>
            </w:r>
          </w:p>
        </w:tc>
      </w:tr>
      <w:tr w14:paraId="2EEE2A6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645" w:type="dxa"/>
            <w:noWrap w:val="0"/>
            <w:vAlign w:val="center"/>
          </w:tcPr>
          <w:p w14:paraId="2F836A47">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三级</w:t>
            </w:r>
          </w:p>
        </w:tc>
        <w:tc>
          <w:tcPr>
            <w:tcW w:w="1210" w:type="dxa"/>
            <w:noWrap w:val="0"/>
            <w:vAlign w:val="center"/>
          </w:tcPr>
          <w:p w14:paraId="4A9FD61D">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α≥20；或混合型</w:t>
            </w:r>
          </w:p>
        </w:tc>
        <w:tc>
          <w:tcPr>
            <w:tcW w:w="1108" w:type="dxa"/>
            <w:noWrap w:val="0"/>
            <w:vAlign w:val="center"/>
          </w:tcPr>
          <w:p w14:paraId="5CDF9573">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β≤2；或无调节</w:t>
            </w:r>
          </w:p>
        </w:tc>
        <w:tc>
          <w:tcPr>
            <w:tcW w:w="1076" w:type="dxa"/>
            <w:noWrap w:val="0"/>
            <w:vAlign w:val="center"/>
          </w:tcPr>
          <w:p w14:paraId="65A5BE31">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γ≤10</w:t>
            </w:r>
          </w:p>
        </w:tc>
        <w:tc>
          <w:tcPr>
            <w:tcW w:w="1393" w:type="dxa"/>
            <w:noWrap w:val="0"/>
            <w:vAlign w:val="center"/>
          </w:tcPr>
          <w:p w14:paraId="6609F615">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A</w:t>
            </w:r>
            <w:r>
              <w:rPr>
                <w:rFonts w:hint="default" w:ascii="Times New Roman" w:hAnsi="Times New Roman" w:cs="Times New Roman"/>
                <w:color w:val="auto"/>
                <w:highlight w:val="none"/>
                <w:vertAlign w:val="subscript"/>
              </w:rPr>
              <w:t>1</w:t>
            </w:r>
            <w:r>
              <w:rPr>
                <w:rFonts w:hint="default" w:ascii="Times New Roman" w:hAnsi="Times New Roman" w:cs="Times New Roman"/>
                <w:color w:val="auto"/>
                <w:highlight w:val="none"/>
              </w:rPr>
              <w:t>≤0.05；或</w:t>
            </w:r>
          </w:p>
          <w:p w14:paraId="7BA5120E">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A</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≤0.2；或R≤5</w:t>
            </w:r>
          </w:p>
        </w:tc>
        <w:tc>
          <w:tcPr>
            <w:tcW w:w="1611" w:type="dxa"/>
            <w:noWrap w:val="0"/>
            <w:vAlign w:val="center"/>
          </w:tcPr>
          <w:p w14:paraId="6E3F5EE8">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A</w:t>
            </w:r>
            <w:r>
              <w:rPr>
                <w:rFonts w:hint="default" w:ascii="Times New Roman" w:hAnsi="Times New Roman" w:cs="Times New Roman"/>
                <w:color w:val="auto"/>
                <w:highlight w:val="none"/>
                <w:vertAlign w:val="subscript"/>
              </w:rPr>
              <w:t>1</w:t>
            </w:r>
            <w:r>
              <w:rPr>
                <w:rFonts w:hint="default" w:ascii="Times New Roman" w:hAnsi="Times New Roman" w:cs="Times New Roman"/>
                <w:color w:val="auto"/>
                <w:highlight w:val="none"/>
              </w:rPr>
              <w:t>≤0.05；或</w:t>
            </w:r>
          </w:p>
          <w:p w14:paraId="77D1A9E2">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A</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≤0.2；或R≤5</w:t>
            </w:r>
          </w:p>
        </w:tc>
        <w:tc>
          <w:tcPr>
            <w:tcW w:w="1599" w:type="dxa"/>
            <w:noWrap w:val="0"/>
            <w:vAlign w:val="center"/>
          </w:tcPr>
          <w:p w14:paraId="0B023647">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A</w:t>
            </w:r>
            <w:r>
              <w:rPr>
                <w:rFonts w:hint="default" w:ascii="Times New Roman" w:hAnsi="Times New Roman" w:cs="Times New Roman"/>
                <w:color w:val="auto"/>
                <w:highlight w:val="none"/>
                <w:vertAlign w:val="subscript"/>
              </w:rPr>
              <w:t>1</w:t>
            </w:r>
            <w:r>
              <w:rPr>
                <w:rFonts w:hint="default" w:ascii="Times New Roman" w:hAnsi="Times New Roman" w:cs="Times New Roman"/>
                <w:color w:val="auto"/>
                <w:highlight w:val="none"/>
              </w:rPr>
              <w:t>≤0.15；或A</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≤0.5；</w:t>
            </w:r>
          </w:p>
        </w:tc>
      </w:tr>
      <w:tr w14:paraId="6F7058B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8642" w:type="dxa"/>
            <w:gridSpan w:val="7"/>
            <w:noWrap w:val="0"/>
            <w:vAlign w:val="center"/>
          </w:tcPr>
          <w:p w14:paraId="496AB68C">
            <w:pPr>
              <w:pStyle w:val="698"/>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注1：影响范围涉及饮用水水源保护区、重点保护与珍稀水生生物的栖息地，重要水生生物的自然产卵场、自然保护区等保护目标，评价等级不低于二级。</w:t>
            </w:r>
          </w:p>
          <w:p w14:paraId="2E4C3579">
            <w:pPr>
              <w:pStyle w:val="698"/>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注2：跨流域调水、引水式电站、可能受到河流感潮河段影响，评价等级不低于二级。</w:t>
            </w:r>
          </w:p>
          <w:p w14:paraId="52B2FFBC">
            <w:pPr>
              <w:pStyle w:val="698"/>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注3：造成入海河口（湾口）宽度束窄（束窄尺度达到原宽度的5%以上），评价等级应不低于二级。</w:t>
            </w:r>
          </w:p>
          <w:p w14:paraId="4AEDB448">
            <w:pPr>
              <w:pStyle w:val="698"/>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注4：对不透水的单方向建筑尺度较大的水工建筑物（如防波堤、导流堤等），其与潮流或水流主流向切线垂直方向投影长度大于2km时，评价等级不低于二级。</w:t>
            </w:r>
          </w:p>
          <w:p w14:paraId="7ED6BF2E">
            <w:pPr>
              <w:pStyle w:val="698"/>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注5：允许在一类海域建设的项目，评价等级为一级。</w:t>
            </w:r>
          </w:p>
          <w:p w14:paraId="35577860">
            <w:pPr>
              <w:pStyle w:val="698"/>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注6：同时存在多个水文要素影响的建设项目，分别判</w:t>
            </w:r>
            <w:r>
              <w:rPr>
                <w:rFonts w:hint="default" w:ascii="Times New Roman" w:hAnsi="Times New Roman" w:cs="Times New Roman"/>
                <w:color w:val="auto"/>
                <w:highlight w:val="none"/>
                <w:lang w:eastAsia="zh-CN"/>
              </w:rPr>
              <w:t>定各</w:t>
            </w:r>
            <w:r>
              <w:rPr>
                <w:rFonts w:hint="default" w:ascii="Times New Roman" w:hAnsi="Times New Roman" w:cs="Times New Roman"/>
                <w:color w:val="auto"/>
                <w:highlight w:val="none"/>
              </w:rPr>
              <w:t>种水文要素影响评价等级，并取其中最高等级</w:t>
            </w:r>
            <w:r>
              <w:rPr>
                <w:rFonts w:hint="default" w:ascii="Times New Roman" w:hAnsi="Times New Roman" w:cs="Times New Roman"/>
                <w:color w:val="auto"/>
                <w:highlight w:val="none"/>
                <w:lang w:eastAsia="zh-CN"/>
              </w:rPr>
              <w:t>作为</w:t>
            </w:r>
            <w:r>
              <w:rPr>
                <w:rFonts w:hint="default" w:ascii="Times New Roman" w:hAnsi="Times New Roman" w:cs="Times New Roman"/>
                <w:color w:val="auto"/>
                <w:highlight w:val="none"/>
              </w:rPr>
              <w:t>水文要素影响型建设项目评价等级。</w:t>
            </w:r>
          </w:p>
        </w:tc>
      </w:tr>
    </w:tbl>
    <w:p w14:paraId="251CA6A1">
      <w:pPr>
        <w:pStyle w:val="6"/>
        <w:bidi w:val="0"/>
        <w:ind w:left="0" w:leftChars="0" w:firstLine="0" w:firstLineChars="0"/>
        <w:rPr>
          <w:rFonts w:hint="default"/>
          <w:color w:val="auto"/>
          <w:highlight w:val="none"/>
        </w:rPr>
      </w:pPr>
      <w:r>
        <w:rPr>
          <w:rFonts w:hint="default"/>
          <w:color w:val="auto"/>
          <w:highlight w:val="none"/>
        </w:rPr>
        <w:t>地下水环境</w:t>
      </w:r>
    </w:p>
    <w:p w14:paraId="6ACEDC81">
      <w:pPr>
        <w:pStyle w:val="410"/>
        <w:rPr>
          <w:rFonts w:hint="default"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lang w:eastAsia="zh-CN"/>
        </w:rPr>
        <w:t>）项目类型</w:t>
      </w:r>
    </w:p>
    <w:p w14:paraId="166B2F51">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 地下水环境》（HJ610-2016），对建设项目的分类及相应的地下水影响评价做出了如下规定：“根据建设项目对地下水环境影响的程度，结合《建设项目环境影响评价分类管理名录》，将建设项目分为四类，即Ⅰ类、Ⅱ类、Ⅲ类和Ⅳ类。Ⅰ类、Ⅱ类、Ⅲ类建设项目的地下水环境影响评价应执行本标准，Ⅳ类建设项目不开展地下水环境影响评价。”</w:t>
      </w:r>
    </w:p>
    <w:p w14:paraId="5B0B333A">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对照HJ610-2016附录A“地下水环境影响评价行业分类表”，本项目属于“</w:t>
      </w:r>
      <w:r>
        <w:rPr>
          <w:rFonts w:hint="default" w:ascii="Times New Roman" w:hAnsi="Times New Roman" w:eastAsia="宋体" w:cs="Times New Roman"/>
          <w:color w:val="auto"/>
          <w:highlight w:val="none"/>
          <w:lang w:val="en-US" w:eastAsia="zh-CN"/>
        </w:rPr>
        <w:t>A水利</w:t>
      </w:r>
      <w:r>
        <w:rPr>
          <w:rFonts w:hint="default" w:ascii="Times New Roman" w:hAnsi="Times New Roman" w:eastAsia="宋体" w:cs="Times New Roman"/>
          <w:color w:val="auto"/>
          <w:highlight w:val="none"/>
        </w:rPr>
        <w:t>”中的第</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条“</w:t>
      </w:r>
      <w:r>
        <w:rPr>
          <w:rFonts w:hint="default" w:ascii="Times New Roman" w:hAnsi="Times New Roman" w:eastAsia="宋体" w:cs="Times New Roman"/>
          <w:color w:val="auto"/>
          <w:highlight w:val="none"/>
          <w:lang w:eastAsia="zh-CN"/>
        </w:rPr>
        <w:t>防洪除涝工程</w:t>
      </w:r>
      <w:r>
        <w:rPr>
          <w:rFonts w:hint="default" w:ascii="Times New Roman" w:hAnsi="Times New Roman" w:eastAsia="宋体" w:cs="Times New Roman"/>
          <w:color w:val="auto"/>
          <w:highlight w:val="none"/>
          <w:lang w:val="en-US" w:eastAsia="zh-CN"/>
        </w:rPr>
        <w:t>-新建中大型</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eastAsia="zh-CN"/>
        </w:rPr>
        <w:t>编制环境影响报告书，</w:t>
      </w:r>
      <w:r>
        <w:rPr>
          <w:rFonts w:hint="default" w:ascii="Times New Roman" w:hAnsi="Times New Roman" w:eastAsia="宋体" w:cs="Times New Roman"/>
          <w:color w:val="auto"/>
          <w:highlight w:val="none"/>
        </w:rPr>
        <w:t>确定本项目为</w:t>
      </w:r>
      <w:r>
        <w:rPr>
          <w:rFonts w:hint="default" w:ascii="Times New Roman" w:hAnsi="Times New Roman" w:eastAsia="宋体" w:cs="Times New Roman"/>
          <w:color w:val="auto"/>
          <w:highlight w:val="none"/>
          <w:lang w:val="en-US" w:eastAsia="zh-CN"/>
        </w:rPr>
        <w:t>Ⅲ</w:t>
      </w:r>
      <w:r>
        <w:rPr>
          <w:rFonts w:hint="default" w:ascii="Times New Roman" w:hAnsi="Times New Roman" w:eastAsia="宋体" w:cs="Times New Roman"/>
          <w:color w:val="auto"/>
          <w:highlight w:val="none"/>
        </w:rPr>
        <w:t>类项目</w:t>
      </w:r>
      <w:r>
        <w:rPr>
          <w:rFonts w:hint="eastAsia" w:ascii="Times New Roman" w:hAnsi="Times New Roman" w:eastAsia="宋体" w:cs="Times New Roman"/>
          <w:color w:val="auto"/>
          <w:highlight w:val="none"/>
          <w:lang w:eastAsia="zh-CN"/>
        </w:rPr>
        <w:t>，地下水环境评价工作等级划分如下</w:t>
      </w:r>
      <w:r>
        <w:rPr>
          <w:rFonts w:hint="default" w:ascii="Times New Roman" w:hAnsi="Times New Roman" w:eastAsia="宋体" w:cs="Times New Roman"/>
          <w:color w:val="auto"/>
          <w:highlight w:val="none"/>
        </w:rPr>
        <w:t>。</w:t>
      </w:r>
    </w:p>
    <w:p w14:paraId="6E1867F4">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r>
        <w:rPr>
          <w:rFonts w:hint="default"/>
          <w:color w:val="auto"/>
          <w:highlight w:val="none"/>
        </w:rPr>
        <w:t>地下水环境评价工作等级划分</w:t>
      </w:r>
    </w:p>
    <w:tbl>
      <w:tblPr>
        <w:tblStyle w:val="87"/>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93"/>
        <w:gridCol w:w="2977"/>
        <w:gridCol w:w="850"/>
        <w:gridCol w:w="1418"/>
        <w:gridCol w:w="1490"/>
      </w:tblGrid>
      <w:tr w14:paraId="25E41F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093" w:type="dxa"/>
            <w:vMerge w:val="restart"/>
            <w:noWrap w:val="0"/>
            <w:vAlign w:val="center"/>
          </w:tcPr>
          <w:p w14:paraId="6322B523">
            <w:pPr>
              <w:pStyle w:val="41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类别</w:t>
            </w:r>
          </w:p>
        </w:tc>
        <w:tc>
          <w:tcPr>
            <w:tcW w:w="2977" w:type="dxa"/>
            <w:vMerge w:val="restart"/>
            <w:noWrap w:val="0"/>
            <w:vAlign w:val="center"/>
          </w:tcPr>
          <w:p w14:paraId="4AD5FBF8">
            <w:pPr>
              <w:pStyle w:val="41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报告书</w:t>
            </w:r>
          </w:p>
        </w:tc>
        <w:tc>
          <w:tcPr>
            <w:tcW w:w="850" w:type="dxa"/>
            <w:vMerge w:val="restart"/>
            <w:noWrap w:val="0"/>
            <w:vAlign w:val="center"/>
          </w:tcPr>
          <w:p w14:paraId="750B7263">
            <w:pPr>
              <w:pStyle w:val="41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报告表</w:t>
            </w:r>
          </w:p>
        </w:tc>
        <w:tc>
          <w:tcPr>
            <w:tcW w:w="2908" w:type="dxa"/>
            <w:gridSpan w:val="2"/>
            <w:noWrap w:val="0"/>
            <w:vAlign w:val="center"/>
          </w:tcPr>
          <w:p w14:paraId="2197EBD2">
            <w:pPr>
              <w:pStyle w:val="41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地下水环境影响评价项目类别</w:t>
            </w:r>
          </w:p>
        </w:tc>
      </w:tr>
      <w:tr w14:paraId="34FE2D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093" w:type="dxa"/>
            <w:vMerge w:val="continue"/>
            <w:noWrap w:val="0"/>
            <w:vAlign w:val="center"/>
          </w:tcPr>
          <w:p w14:paraId="662B69FA">
            <w:pPr>
              <w:pStyle w:val="410"/>
              <w:adjustRightInd w:val="0"/>
              <w:snapToGrid w:val="0"/>
              <w:ind w:firstLine="0"/>
              <w:jc w:val="center"/>
              <w:rPr>
                <w:rFonts w:hint="default" w:ascii="Times New Roman" w:hAnsi="Times New Roman" w:cs="Times New Roman"/>
                <w:color w:val="auto"/>
                <w:sz w:val="21"/>
                <w:szCs w:val="21"/>
                <w:highlight w:val="none"/>
              </w:rPr>
            </w:pPr>
          </w:p>
        </w:tc>
        <w:tc>
          <w:tcPr>
            <w:tcW w:w="2977" w:type="dxa"/>
            <w:vMerge w:val="continue"/>
            <w:noWrap w:val="0"/>
            <w:vAlign w:val="center"/>
          </w:tcPr>
          <w:p w14:paraId="4D1D4019">
            <w:pPr>
              <w:pStyle w:val="410"/>
              <w:adjustRightInd w:val="0"/>
              <w:snapToGrid w:val="0"/>
              <w:ind w:firstLine="0"/>
              <w:jc w:val="center"/>
              <w:rPr>
                <w:rFonts w:hint="default" w:ascii="Times New Roman" w:hAnsi="Times New Roman" w:cs="Times New Roman"/>
                <w:color w:val="auto"/>
                <w:sz w:val="21"/>
                <w:szCs w:val="21"/>
                <w:highlight w:val="none"/>
              </w:rPr>
            </w:pPr>
          </w:p>
        </w:tc>
        <w:tc>
          <w:tcPr>
            <w:tcW w:w="850" w:type="dxa"/>
            <w:vMerge w:val="continue"/>
            <w:noWrap w:val="0"/>
            <w:vAlign w:val="center"/>
          </w:tcPr>
          <w:p w14:paraId="1B839EB4">
            <w:pPr>
              <w:pStyle w:val="410"/>
              <w:adjustRightInd w:val="0"/>
              <w:snapToGrid w:val="0"/>
              <w:ind w:firstLine="0"/>
              <w:jc w:val="center"/>
              <w:rPr>
                <w:rFonts w:hint="default" w:ascii="Times New Roman" w:hAnsi="Times New Roman" w:cs="Times New Roman"/>
                <w:color w:val="auto"/>
                <w:sz w:val="21"/>
                <w:szCs w:val="21"/>
                <w:highlight w:val="none"/>
              </w:rPr>
            </w:pPr>
          </w:p>
        </w:tc>
        <w:tc>
          <w:tcPr>
            <w:tcW w:w="1418" w:type="dxa"/>
            <w:noWrap w:val="0"/>
            <w:vAlign w:val="center"/>
          </w:tcPr>
          <w:p w14:paraId="68A74A37">
            <w:pPr>
              <w:pStyle w:val="41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报告书</w:t>
            </w:r>
          </w:p>
        </w:tc>
        <w:tc>
          <w:tcPr>
            <w:tcW w:w="1490" w:type="dxa"/>
            <w:noWrap w:val="0"/>
            <w:vAlign w:val="center"/>
          </w:tcPr>
          <w:p w14:paraId="492537C6">
            <w:pPr>
              <w:pStyle w:val="41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报告表</w:t>
            </w:r>
          </w:p>
        </w:tc>
      </w:tr>
      <w:tr w14:paraId="685583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093" w:type="dxa"/>
            <w:noWrap w:val="0"/>
            <w:vAlign w:val="center"/>
          </w:tcPr>
          <w:p w14:paraId="3B090ECB">
            <w:pPr>
              <w:pStyle w:val="410"/>
              <w:adjustRightInd w:val="0"/>
              <w:snapToGrid w:val="0"/>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防洪治涝工程</w:t>
            </w:r>
          </w:p>
        </w:tc>
        <w:tc>
          <w:tcPr>
            <w:tcW w:w="2977" w:type="dxa"/>
            <w:noWrap w:val="0"/>
            <w:vAlign w:val="center"/>
          </w:tcPr>
          <w:p w14:paraId="651D6D25">
            <w:pPr>
              <w:pStyle w:val="410"/>
              <w:adjustRightInd w:val="0"/>
              <w:snapToGrid w:val="0"/>
              <w:ind w:firstLine="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b/>
                <w:bCs/>
                <w:color w:val="auto"/>
                <w:sz w:val="21"/>
                <w:szCs w:val="21"/>
                <w:highlight w:val="none"/>
                <w:lang w:eastAsia="zh-CN"/>
              </w:rPr>
              <w:t>新建中大型</w:t>
            </w:r>
          </w:p>
        </w:tc>
        <w:tc>
          <w:tcPr>
            <w:tcW w:w="850" w:type="dxa"/>
            <w:noWrap w:val="0"/>
            <w:vAlign w:val="center"/>
          </w:tcPr>
          <w:p w14:paraId="06284798">
            <w:pPr>
              <w:pStyle w:val="41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其他</w:t>
            </w:r>
          </w:p>
        </w:tc>
        <w:tc>
          <w:tcPr>
            <w:tcW w:w="1418" w:type="dxa"/>
            <w:noWrap w:val="0"/>
            <w:vAlign w:val="center"/>
          </w:tcPr>
          <w:p w14:paraId="6DD99447">
            <w:pPr>
              <w:pStyle w:val="41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Ⅲ</w:t>
            </w:r>
            <w:r>
              <w:rPr>
                <w:rFonts w:hint="default" w:ascii="Times New Roman" w:hAnsi="Times New Roman" w:cs="Times New Roman"/>
                <w:b/>
                <w:bCs/>
                <w:color w:val="auto"/>
                <w:sz w:val="21"/>
                <w:szCs w:val="21"/>
                <w:highlight w:val="none"/>
              </w:rPr>
              <w:t>类</w:t>
            </w:r>
          </w:p>
        </w:tc>
        <w:tc>
          <w:tcPr>
            <w:tcW w:w="1490" w:type="dxa"/>
            <w:noWrap w:val="0"/>
            <w:vAlign w:val="center"/>
          </w:tcPr>
          <w:p w14:paraId="3F161243">
            <w:pPr>
              <w:pStyle w:val="41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Ⅳ类</w:t>
            </w:r>
          </w:p>
        </w:tc>
      </w:tr>
    </w:tbl>
    <w:p w14:paraId="79399268">
      <w:pPr>
        <w:pStyle w:val="410"/>
        <w:numPr>
          <w:ilvl w:val="0"/>
          <w:numId w:val="23"/>
        </w:numPr>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t>地下水敏感程度</w:t>
      </w:r>
    </w:p>
    <w:p w14:paraId="47AA8AD0">
      <w:pPr>
        <w:pStyle w:val="41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建设项目地下水环境敏感程度分为敏感，较敏感，不敏感三级，分级原则如下：</w:t>
      </w:r>
    </w:p>
    <w:p w14:paraId="1181D539">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r>
        <w:rPr>
          <w:rFonts w:hint="default"/>
          <w:color w:val="auto"/>
          <w:highlight w:val="none"/>
        </w:rPr>
        <w:t>地下水环境</w:t>
      </w:r>
      <w:r>
        <w:rPr>
          <w:rFonts w:hint="default"/>
          <w:color w:val="auto"/>
          <w:highlight w:val="none"/>
          <w:lang w:eastAsia="zh-CN"/>
        </w:rPr>
        <w:t>敏感程度分级表</w:t>
      </w:r>
    </w:p>
    <w:tbl>
      <w:tblPr>
        <w:tblStyle w:val="87"/>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02"/>
        <w:gridCol w:w="7621"/>
      </w:tblGrid>
      <w:tr w14:paraId="261B26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02" w:type="dxa"/>
            <w:noWrap w:val="0"/>
            <w:vAlign w:val="center"/>
          </w:tcPr>
          <w:p w14:paraId="71A95F6E">
            <w:pPr>
              <w:pStyle w:val="410"/>
              <w:adjustRightInd w:val="0"/>
              <w:snapToGrid w:val="0"/>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敏感程度</w:t>
            </w:r>
          </w:p>
        </w:tc>
        <w:tc>
          <w:tcPr>
            <w:tcW w:w="7621" w:type="dxa"/>
            <w:noWrap w:val="0"/>
            <w:vAlign w:val="center"/>
          </w:tcPr>
          <w:p w14:paraId="480C3231">
            <w:pPr>
              <w:pStyle w:val="410"/>
              <w:adjustRightInd w:val="0"/>
              <w:snapToGrid w:val="0"/>
              <w:ind w:firstLine="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地下水环境敏感特征</w:t>
            </w:r>
          </w:p>
        </w:tc>
      </w:tr>
      <w:tr w14:paraId="406A3E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02" w:type="dxa"/>
            <w:noWrap w:val="0"/>
            <w:vAlign w:val="center"/>
          </w:tcPr>
          <w:p w14:paraId="10660D7F">
            <w:pPr>
              <w:pStyle w:val="410"/>
              <w:adjustRightInd w:val="0"/>
              <w:snapToGrid w:val="0"/>
              <w:ind w:firstLine="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敏感</w:t>
            </w:r>
          </w:p>
        </w:tc>
        <w:tc>
          <w:tcPr>
            <w:tcW w:w="7621" w:type="dxa"/>
            <w:noWrap w:val="0"/>
            <w:vAlign w:val="center"/>
          </w:tcPr>
          <w:p w14:paraId="31B5B628">
            <w:pPr>
              <w:keepNext w:val="0"/>
              <w:keepLines w:val="0"/>
              <w:widowControl/>
              <w:suppressLineNumbers w:val="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集中式饮用水源（包括已建成的在用、备用、应急水源，在建和规划的饮用水水源）标准保护区；除集中式饮用水水源以外的国家或地方政府设定的与地下水环境相关的其他保护区，如热水、矿泉水、温泉等特殊地下水资源保护区。</w:t>
            </w:r>
          </w:p>
        </w:tc>
      </w:tr>
      <w:tr w14:paraId="4B099A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02" w:type="dxa"/>
            <w:noWrap w:val="0"/>
            <w:vAlign w:val="center"/>
          </w:tcPr>
          <w:p w14:paraId="24376086">
            <w:pPr>
              <w:pStyle w:val="410"/>
              <w:adjustRightInd w:val="0"/>
              <w:snapToGrid w:val="0"/>
              <w:ind w:firstLine="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较敏感</w:t>
            </w:r>
          </w:p>
        </w:tc>
        <w:tc>
          <w:tcPr>
            <w:tcW w:w="7621" w:type="dxa"/>
            <w:noWrap w:val="0"/>
            <w:vAlign w:val="center"/>
          </w:tcPr>
          <w:p w14:paraId="44C96F5F">
            <w:pPr>
              <w:keepNext w:val="0"/>
              <w:keepLines w:val="0"/>
              <w:widowControl/>
              <w:suppressLineNumbers w:val="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集中式饮用水水源（包括已建成的在用、备用、应急水源，在建和规划的饮用水水源）保护区以外的补给径流区；未划定准保护区的集中式饮用水水源，其保护区以外的补给径流区；分散式饮用水水源地；特殊地下水资源（如矿泉水、温泉等）保护区以外的分布区等其他未 列入上述敏感分级的环境敏感区。</w:t>
            </w:r>
          </w:p>
        </w:tc>
      </w:tr>
      <w:tr w14:paraId="1D590A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02" w:type="dxa"/>
            <w:noWrap w:val="0"/>
            <w:vAlign w:val="center"/>
          </w:tcPr>
          <w:p w14:paraId="33304825">
            <w:pPr>
              <w:pStyle w:val="410"/>
              <w:adjustRightInd w:val="0"/>
              <w:snapToGrid w:val="0"/>
              <w:ind w:firstLine="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不敏感</w:t>
            </w:r>
          </w:p>
        </w:tc>
        <w:tc>
          <w:tcPr>
            <w:tcW w:w="7621" w:type="dxa"/>
            <w:noWrap w:val="0"/>
            <w:vAlign w:val="center"/>
          </w:tcPr>
          <w:p w14:paraId="705A0242">
            <w:pPr>
              <w:keepNext w:val="0"/>
              <w:keepLines w:val="0"/>
              <w:widowControl/>
              <w:suppressLineNumbers w:val="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上述地区之外的其他地区。</w:t>
            </w:r>
          </w:p>
        </w:tc>
      </w:tr>
      <w:tr w14:paraId="7679F4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823" w:type="dxa"/>
            <w:gridSpan w:val="2"/>
            <w:noWrap w:val="0"/>
            <w:vAlign w:val="center"/>
          </w:tcPr>
          <w:p w14:paraId="3F4922B4">
            <w:pPr>
              <w:keepNext w:val="0"/>
              <w:keepLines w:val="0"/>
              <w:widowControl/>
              <w:suppressLineNumbers w:val="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注：</w:t>
            </w:r>
            <w:r>
              <w:rPr>
                <w:rFonts w:hint="default" w:ascii="Times New Roman" w:hAnsi="Times New Roman" w:eastAsia="宋体" w:cs="Times New Roman"/>
                <w:color w:val="auto"/>
                <w:kern w:val="0"/>
                <w:sz w:val="19"/>
                <w:szCs w:val="19"/>
                <w:highlight w:val="none"/>
                <w:lang w:val="en-US" w:eastAsia="zh-CN" w:bidi="ar"/>
              </w:rPr>
              <w:t>注：a“环境敏感区”是指《建设项目环境影响评价分类管理名录》中所界定的涉及地下水的环境敏感区。</w:t>
            </w:r>
          </w:p>
        </w:tc>
      </w:tr>
    </w:tbl>
    <w:p w14:paraId="762A0DC9">
      <w:pPr>
        <w:pStyle w:val="410"/>
        <w:numPr>
          <w:ilvl w:val="0"/>
          <w:numId w:val="23"/>
        </w:numPr>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t>评价等级</w:t>
      </w:r>
    </w:p>
    <w:p w14:paraId="6C50756C">
      <w:pPr>
        <w:pStyle w:val="41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建设项目地下水环境影响评价工作等级划分见下表。</w:t>
      </w:r>
    </w:p>
    <w:p w14:paraId="60E8C46A">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r>
        <w:rPr>
          <w:rFonts w:hint="eastAsia"/>
          <w:color w:val="auto"/>
          <w:highlight w:val="none"/>
          <w:lang w:eastAsia="zh-CN"/>
        </w:rPr>
        <w:t>评价工作等级分级表</w:t>
      </w:r>
    </w:p>
    <w:tbl>
      <w:tblPr>
        <w:tblStyle w:val="87"/>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04"/>
        <w:gridCol w:w="2205"/>
        <w:gridCol w:w="2205"/>
        <w:gridCol w:w="2209"/>
      </w:tblGrid>
      <w:tr w14:paraId="1FACC0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2204" w:type="dxa"/>
            <w:noWrap w:val="0"/>
            <w:vAlign w:val="center"/>
          </w:tcPr>
          <w:p w14:paraId="5F00D947">
            <w:pPr>
              <w:pStyle w:val="410"/>
              <w:adjustRightInd w:val="0"/>
              <w:snapToGrid w:val="0"/>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项目类别</w:t>
            </w:r>
          </w:p>
          <w:p w14:paraId="092C0860">
            <w:pPr>
              <w:pStyle w:val="410"/>
              <w:adjustRightInd w:val="0"/>
              <w:snapToGrid w:val="0"/>
              <w:ind w:firstLin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环境敏感程度</w:t>
            </w:r>
          </w:p>
        </w:tc>
        <w:tc>
          <w:tcPr>
            <w:tcW w:w="2205" w:type="dxa"/>
            <w:tcBorders>
              <w:right w:val="single" w:color="auto" w:sz="4" w:space="0"/>
            </w:tcBorders>
            <w:noWrap w:val="0"/>
            <w:vAlign w:val="center"/>
          </w:tcPr>
          <w:p w14:paraId="6F92DA28">
            <w:pPr>
              <w:keepNext w:val="0"/>
              <w:keepLines w:val="0"/>
              <w:widowControl/>
              <w:suppressLineNumbers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I 类项目</w:t>
            </w:r>
          </w:p>
        </w:tc>
        <w:tc>
          <w:tcPr>
            <w:tcW w:w="2205" w:type="dxa"/>
            <w:tcBorders>
              <w:left w:val="single" w:color="auto" w:sz="4" w:space="0"/>
              <w:right w:val="single" w:color="auto" w:sz="4" w:space="0"/>
            </w:tcBorders>
            <w:noWrap w:val="0"/>
            <w:vAlign w:val="center"/>
          </w:tcPr>
          <w:p w14:paraId="0845EAAC">
            <w:pPr>
              <w:keepNext w:val="0"/>
              <w:keepLines w:val="0"/>
              <w:widowControl/>
              <w:suppressLineNumbers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Ⅱ类项目</w:t>
            </w:r>
          </w:p>
        </w:tc>
        <w:tc>
          <w:tcPr>
            <w:tcW w:w="2209" w:type="dxa"/>
            <w:tcBorders>
              <w:left w:val="single" w:color="auto" w:sz="4" w:space="0"/>
            </w:tcBorders>
            <w:noWrap w:val="0"/>
            <w:vAlign w:val="center"/>
          </w:tcPr>
          <w:p w14:paraId="4EC080C8">
            <w:pPr>
              <w:keepNext w:val="0"/>
              <w:keepLines w:val="0"/>
              <w:widowControl/>
              <w:suppressLineNumbers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Ⅲ类项目</w:t>
            </w:r>
          </w:p>
        </w:tc>
      </w:tr>
      <w:tr w14:paraId="293366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2204" w:type="dxa"/>
            <w:noWrap w:val="0"/>
            <w:vAlign w:val="center"/>
          </w:tcPr>
          <w:p w14:paraId="56A5C421">
            <w:pPr>
              <w:pStyle w:val="410"/>
              <w:adjustRightInd w:val="0"/>
              <w:snapToGrid w:val="0"/>
              <w:ind w:firstLine="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敏感</w:t>
            </w:r>
          </w:p>
        </w:tc>
        <w:tc>
          <w:tcPr>
            <w:tcW w:w="2205" w:type="dxa"/>
            <w:tcBorders>
              <w:right w:val="single" w:color="auto" w:sz="4" w:space="0"/>
            </w:tcBorders>
            <w:noWrap w:val="0"/>
            <w:vAlign w:val="center"/>
          </w:tcPr>
          <w:p w14:paraId="72A2BE5E">
            <w:pPr>
              <w:keepNext w:val="0"/>
              <w:keepLines w:val="0"/>
              <w:widowControl/>
              <w:suppressLineNumbers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一</w:t>
            </w:r>
          </w:p>
        </w:tc>
        <w:tc>
          <w:tcPr>
            <w:tcW w:w="2205" w:type="dxa"/>
            <w:tcBorders>
              <w:left w:val="single" w:color="auto" w:sz="4" w:space="0"/>
              <w:right w:val="single" w:color="auto" w:sz="4" w:space="0"/>
            </w:tcBorders>
            <w:noWrap w:val="0"/>
            <w:vAlign w:val="center"/>
          </w:tcPr>
          <w:p w14:paraId="6AC02DD1">
            <w:pPr>
              <w:keepNext w:val="0"/>
              <w:keepLines w:val="0"/>
              <w:widowControl/>
              <w:suppressLineNumbers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一</w:t>
            </w:r>
          </w:p>
        </w:tc>
        <w:tc>
          <w:tcPr>
            <w:tcW w:w="2209" w:type="dxa"/>
            <w:tcBorders>
              <w:left w:val="single" w:color="auto" w:sz="4" w:space="0"/>
            </w:tcBorders>
            <w:noWrap w:val="0"/>
            <w:vAlign w:val="center"/>
          </w:tcPr>
          <w:p w14:paraId="2093741E">
            <w:pPr>
              <w:keepNext w:val="0"/>
              <w:keepLines w:val="0"/>
              <w:widowControl/>
              <w:suppressLineNumbers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二</w:t>
            </w:r>
          </w:p>
        </w:tc>
      </w:tr>
      <w:tr w14:paraId="336443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2204" w:type="dxa"/>
            <w:noWrap w:val="0"/>
            <w:vAlign w:val="center"/>
          </w:tcPr>
          <w:p w14:paraId="43390A49">
            <w:pPr>
              <w:pStyle w:val="410"/>
              <w:adjustRightInd w:val="0"/>
              <w:snapToGrid w:val="0"/>
              <w:ind w:firstLine="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较敏感</w:t>
            </w:r>
          </w:p>
        </w:tc>
        <w:tc>
          <w:tcPr>
            <w:tcW w:w="2205" w:type="dxa"/>
            <w:tcBorders>
              <w:right w:val="single" w:color="auto" w:sz="4" w:space="0"/>
            </w:tcBorders>
            <w:noWrap w:val="0"/>
            <w:vAlign w:val="center"/>
          </w:tcPr>
          <w:p w14:paraId="582F07FA">
            <w:pPr>
              <w:keepNext w:val="0"/>
              <w:keepLines w:val="0"/>
              <w:widowControl/>
              <w:suppressLineNumbers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一</w:t>
            </w:r>
          </w:p>
        </w:tc>
        <w:tc>
          <w:tcPr>
            <w:tcW w:w="2205" w:type="dxa"/>
            <w:tcBorders>
              <w:left w:val="single" w:color="auto" w:sz="4" w:space="0"/>
              <w:right w:val="single" w:color="auto" w:sz="4" w:space="0"/>
            </w:tcBorders>
            <w:noWrap w:val="0"/>
            <w:vAlign w:val="center"/>
          </w:tcPr>
          <w:p w14:paraId="6C0B5732">
            <w:pPr>
              <w:keepNext w:val="0"/>
              <w:keepLines w:val="0"/>
              <w:widowControl/>
              <w:suppressLineNumbers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二</w:t>
            </w:r>
          </w:p>
        </w:tc>
        <w:tc>
          <w:tcPr>
            <w:tcW w:w="2209" w:type="dxa"/>
            <w:tcBorders>
              <w:left w:val="single" w:color="auto" w:sz="4" w:space="0"/>
            </w:tcBorders>
            <w:noWrap w:val="0"/>
            <w:vAlign w:val="center"/>
          </w:tcPr>
          <w:p w14:paraId="7A022D9A">
            <w:pPr>
              <w:keepNext w:val="0"/>
              <w:keepLines w:val="0"/>
              <w:widowControl/>
              <w:suppressLineNumbers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三</w:t>
            </w:r>
          </w:p>
        </w:tc>
      </w:tr>
      <w:tr w14:paraId="0C8EFB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2204" w:type="dxa"/>
            <w:noWrap w:val="0"/>
            <w:vAlign w:val="center"/>
          </w:tcPr>
          <w:p w14:paraId="791742E0">
            <w:pPr>
              <w:pStyle w:val="410"/>
              <w:adjustRightInd w:val="0"/>
              <w:snapToGrid w:val="0"/>
              <w:ind w:firstLine="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不敏感</w:t>
            </w:r>
          </w:p>
        </w:tc>
        <w:tc>
          <w:tcPr>
            <w:tcW w:w="2205" w:type="dxa"/>
            <w:tcBorders>
              <w:right w:val="single" w:color="auto" w:sz="4" w:space="0"/>
            </w:tcBorders>
            <w:noWrap w:val="0"/>
            <w:vAlign w:val="center"/>
          </w:tcPr>
          <w:p w14:paraId="5B222393">
            <w:pPr>
              <w:keepNext w:val="0"/>
              <w:keepLines w:val="0"/>
              <w:widowControl/>
              <w:suppressLineNumbers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二</w:t>
            </w:r>
          </w:p>
        </w:tc>
        <w:tc>
          <w:tcPr>
            <w:tcW w:w="2205" w:type="dxa"/>
            <w:tcBorders>
              <w:left w:val="single" w:color="auto" w:sz="4" w:space="0"/>
              <w:right w:val="single" w:color="auto" w:sz="4" w:space="0"/>
            </w:tcBorders>
            <w:noWrap w:val="0"/>
            <w:vAlign w:val="center"/>
          </w:tcPr>
          <w:p w14:paraId="2B5C736B">
            <w:pPr>
              <w:keepNext w:val="0"/>
              <w:keepLines w:val="0"/>
              <w:widowControl/>
              <w:suppressLineNumbers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三</w:t>
            </w:r>
          </w:p>
        </w:tc>
        <w:tc>
          <w:tcPr>
            <w:tcW w:w="2209" w:type="dxa"/>
            <w:tcBorders>
              <w:left w:val="single" w:color="auto" w:sz="4" w:space="0"/>
            </w:tcBorders>
            <w:noWrap w:val="0"/>
            <w:vAlign w:val="center"/>
          </w:tcPr>
          <w:p w14:paraId="73880E5F">
            <w:pPr>
              <w:keepNext w:val="0"/>
              <w:keepLines w:val="0"/>
              <w:widowControl/>
              <w:suppressLineNumbers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三</w:t>
            </w:r>
          </w:p>
        </w:tc>
      </w:tr>
    </w:tbl>
    <w:p w14:paraId="37B7EC60">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项目工程区无地下水集中供水水源地，建设影响区及下游无分散式饮用水水源地，不涉及环境敏感区，综上，确定项目地下水环境评价工作等级为三级。</w:t>
      </w:r>
    </w:p>
    <w:p w14:paraId="691856A1">
      <w:pPr>
        <w:pStyle w:val="6"/>
        <w:bidi w:val="0"/>
        <w:ind w:left="0" w:leftChars="0" w:firstLine="0" w:firstLineChars="0"/>
        <w:rPr>
          <w:rFonts w:hint="default"/>
          <w:color w:val="auto"/>
          <w:highlight w:val="none"/>
        </w:rPr>
      </w:pPr>
      <w:r>
        <w:rPr>
          <w:rFonts w:hint="default"/>
          <w:color w:val="auto"/>
          <w:highlight w:val="none"/>
        </w:rPr>
        <w:t>声环境</w:t>
      </w:r>
    </w:p>
    <w:p w14:paraId="3298D880">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  声环境》（HJ 2.4-2021）关于评价工作等级的划分原则与方法，本项目位于</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类、4类区内，对敏感点噪声级增高量在3dB(A)以下，确定项目噪声影响评价工作等级确定为</w:t>
      </w:r>
      <w:r>
        <w:rPr>
          <w:rFonts w:hint="default" w:ascii="Times New Roman" w:hAnsi="Times New Roman" w:cs="Times New Roman"/>
          <w:color w:val="auto"/>
          <w:highlight w:val="none"/>
          <w:lang w:eastAsia="zh-CN"/>
        </w:rPr>
        <w:t>二级</w:t>
      </w:r>
      <w:r>
        <w:rPr>
          <w:rFonts w:hint="default" w:ascii="Times New Roman" w:hAnsi="Times New Roman" w:cs="Times New Roman"/>
          <w:color w:val="auto"/>
          <w:highlight w:val="none"/>
        </w:rPr>
        <w:t>。对本次评价工作等级划分见</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_Ref95315723 \r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表1.5-7</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w:t>
      </w:r>
    </w:p>
    <w:p w14:paraId="7B371F38">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bookmarkStart w:id="24" w:name="_Ref95315723"/>
      <w:r>
        <w:rPr>
          <w:rFonts w:hint="default"/>
          <w:color w:val="auto"/>
          <w:highlight w:val="none"/>
        </w:rPr>
        <w:t>声环境评价工作等级划分</w:t>
      </w:r>
      <w:bookmarkEnd w:id="24"/>
    </w:p>
    <w:tbl>
      <w:tblPr>
        <w:tblStyle w:val="87"/>
        <w:tblW w:w="0" w:type="auto"/>
        <w:tblInd w:w="12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01"/>
        <w:gridCol w:w="1134"/>
        <w:gridCol w:w="3864"/>
        <w:gridCol w:w="2429"/>
      </w:tblGrid>
      <w:tr w14:paraId="31D739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1101" w:type="dxa"/>
            <w:noWrap w:val="0"/>
            <w:vAlign w:val="center"/>
          </w:tcPr>
          <w:p w14:paraId="28CE258A">
            <w:pPr>
              <w:snapToGri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评价内容</w:t>
            </w:r>
          </w:p>
        </w:tc>
        <w:tc>
          <w:tcPr>
            <w:tcW w:w="1134" w:type="dxa"/>
            <w:noWrap w:val="0"/>
            <w:vAlign w:val="center"/>
          </w:tcPr>
          <w:p w14:paraId="5B12240C">
            <w:pPr>
              <w:snapToGri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工作等级</w:t>
            </w:r>
          </w:p>
        </w:tc>
        <w:tc>
          <w:tcPr>
            <w:tcW w:w="3864" w:type="dxa"/>
            <w:noWrap w:val="0"/>
            <w:vAlign w:val="center"/>
          </w:tcPr>
          <w:p w14:paraId="02624F30">
            <w:pPr>
              <w:snapToGri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划分依据</w:t>
            </w:r>
          </w:p>
        </w:tc>
        <w:tc>
          <w:tcPr>
            <w:tcW w:w="2429" w:type="dxa"/>
            <w:noWrap w:val="0"/>
            <w:vAlign w:val="center"/>
          </w:tcPr>
          <w:p w14:paraId="53C63C29">
            <w:pPr>
              <w:snapToGri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判断情况</w:t>
            </w:r>
          </w:p>
        </w:tc>
      </w:tr>
      <w:tr w14:paraId="318A5A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01" w:type="dxa"/>
            <w:noWrap w:val="0"/>
            <w:vAlign w:val="center"/>
          </w:tcPr>
          <w:p w14:paraId="4CCAEC79">
            <w:pPr>
              <w:snapToGrid w:val="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声环境</w:t>
            </w:r>
          </w:p>
        </w:tc>
        <w:tc>
          <w:tcPr>
            <w:tcW w:w="1134" w:type="dxa"/>
            <w:noWrap w:val="0"/>
            <w:vAlign w:val="center"/>
          </w:tcPr>
          <w:p w14:paraId="13BA049C">
            <w:pPr>
              <w:snapToGrid w:val="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eastAsia="zh-CN"/>
              </w:rPr>
              <w:t>二级</w:t>
            </w:r>
          </w:p>
        </w:tc>
        <w:tc>
          <w:tcPr>
            <w:tcW w:w="3864" w:type="dxa"/>
            <w:noWrap w:val="0"/>
            <w:vAlign w:val="center"/>
          </w:tcPr>
          <w:p w14:paraId="178FA85E">
            <w:pPr>
              <w:snapToGrid w:val="0"/>
              <w:jc w:val="both"/>
              <w:rPr>
                <w:rFonts w:hint="default" w:ascii="Times New Roman" w:hAnsi="Times New Roman" w:cs="Times New Roman"/>
                <w:bCs/>
                <w:color w:val="auto"/>
                <w:sz w:val="21"/>
                <w:szCs w:val="21"/>
                <w:highlight w:val="none"/>
              </w:rPr>
            </w:pPr>
            <w:r>
              <w:rPr>
                <w:rFonts w:hint="default" w:ascii="Times New Roman" w:hAnsi="Times New Roman" w:eastAsia="宋体" w:cs="Times New Roman"/>
                <w:bCs/>
                <w:color w:val="auto"/>
                <w:sz w:val="21"/>
                <w:szCs w:val="21"/>
                <w:highlight w:val="none"/>
                <w:lang w:eastAsia="zh-CN"/>
              </w:rPr>
              <w:t>建设项目所处的声环境功能区为 GB 3096 规定的 1 类、2 类地区，或建设项目建设前后评价范围内声环境保护目标噪声级增量达 3 dB(A)～5 B(A)，或受噪声影响人口数量增加较多时，按二级评价。</w:t>
            </w:r>
          </w:p>
        </w:tc>
        <w:tc>
          <w:tcPr>
            <w:tcW w:w="2429" w:type="dxa"/>
            <w:noWrap w:val="0"/>
            <w:vAlign w:val="center"/>
          </w:tcPr>
          <w:p w14:paraId="4D1D07A8">
            <w:pPr>
              <w:adjustRightInd w:val="0"/>
              <w:snapToGrid w:val="0"/>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项目</w:t>
            </w:r>
            <w:r>
              <w:rPr>
                <w:rFonts w:hint="default" w:ascii="Times New Roman" w:hAnsi="Times New Roman" w:eastAsia="宋体" w:cs="Times New Roman"/>
                <w:bCs/>
                <w:color w:val="auto"/>
                <w:sz w:val="21"/>
                <w:szCs w:val="21"/>
                <w:highlight w:val="none"/>
                <w:lang w:eastAsia="zh-CN"/>
              </w:rPr>
              <w:t>位于</w:t>
            </w:r>
            <w:r>
              <w:rPr>
                <w:rFonts w:hint="default" w:ascii="Times New Roman" w:hAnsi="Times New Roman" w:eastAsia="宋体"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lang w:eastAsia="zh-CN"/>
              </w:rPr>
              <w:t>类、4类区内，</w:t>
            </w:r>
            <w:r>
              <w:rPr>
                <w:rFonts w:hint="eastAsia" w:ascii="Times New Roman" w:hAnsi="Times New Roman" w:eastAsia="宋体" w:cs="Times New Roman"/>
                <w:bCs/>
                <w:color w:val="auto"/>
                <w:sz w:val="21"/>
                <w:szCs w:val="21"/>
                <w:highlight w:val="none"/>
                <w:lang w:eastAsia="zh-CN"/>
              </w:rPr>
              <w:t>项目建成后不产生噪声</w:t>
            </w:r>
            <w:r>
              <w:rPr>
                <w:rFonts w:hint="default" w:ascii="Times New Roman" w:hAnsi="Times New Roman" w:eastAsia="宋体" w:cs="Times New Roman"/>
                <w:bCs/>
                <w:color w:val="auto"/>
                <w:sz w:val="21"/>
                <w:szCs w:val="21"/>
                <w:highlight w:val="none"/>
                <w:lang w:eastAsia="zh-CN"/>
              </w:rPr>
              <w:t xml:space="preserve">。 </w:t>
            </w:r>
          </w:p>
        </w:tc>
      </w:tr>
    </w:tbl>
    <w:p w14:paraId="0D955A51">
      <w:pPr>
        <w:pStyle w:val="6"/>
        <w:bidi w:val="0"/>
        <w:ind w:left="0" w:leftChars="0" w:firstLine="0" w:firstLineChars="0"/>
        <w:rPr>
          <w:rFonts w:hint="default"/>
          <w:color w:val="auto"/>
          <w:highlight w:val="none"/>
        </w:rPr>
      </w:pPr>
      <w:r>
        <w:rPr>
          <w:rFonts w:hint="default"/>
          <w:color w:val="auto"/>
          <w:highlight w:val="none"/>
        </w:rPr>
        <w:t>土壤环境</w:t>
      </w:r>
    </w:p>
    <w:p w14:paraId="1B8D0859">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根据《环境影响评价技术导则土壤环境（试行）》（HJ 964-2018）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eastAsia="zh-CN"/>
        </w:rPr>
        <w:t>为</w:t>
      </w:r>
      <w:r>
        <w:rPr>
          <w:rFonts w:hint="eastAsia" w:ascii="Times New Roman" w:hAnsi="Times New Roman" w:cs="Times New Roman"/>
          <w:color w:val="auto"/>
          <w:highlight w:val="none"/>
          <w:lang w:eastAsia="zh-CN"/>
        </w:rPr>
        <w:t>防洪除涝工程，施工临时场地均无土壤污染，运营期无污染物产生，项目属于</w:t>
      </w:r>
      <w:r>
        <w:rPr>
          <w:rFonts w:hint="default" w:ascii="Times New Roman" w:hAnsi="Times New Roman" w:cs="Times New Roman"/>
          <w:color w:val="auto"/>
          <w:highlight w:val="none"/>
          <w:lang w:eastAsia="zh-CN"/>
        </w:rPr>
        <w:t>生态影响型建设项目，参照</w:t>
      </w:r>
      <w:r>
        <w:rPr>
          <w:rFonts w:hint="default" w:ascii="Times New Roman" w:hAnsi="Times New Roman" w:cs="Times New Roman"/>
          <w:color w:val="auto"/>
          <w:highlight w:val="none"/>
        </w:rPr>
        <w:t>附录A</w:t>
      </w:r>
      <w:r>
        <w:rPr>
          <w:rFonts w:hint="default" w:ascii="Times New Roman" w:hAnsi="Times New Roman" w:cs="Times New Roman"/>
          <w:color w:val="auto"/>
          <w:highlight w:val="none"/>
          <w:lang w:eastAsia="zh-CN"/>
        </w:rPr>
        <w:t>表</w:t>
      </w:r>
      <w:r>
        <w:rPr>
          <w:rFonts w:hint="default" w:ascii="Times New Roman" w:hAnsi="Times New Roman" w:cs="Times New Roman"/>
          <w:color w:val="auto"/>
          <w:highlight w:val="none"/>
          <w:lang w:val="en-US" w:eastAsia="zh-CN"/>
        </w:rPr>
        <w:t>A.1分类</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水利工程中的其他</w:t>
      </w:r>
      <w:r>
        <w:rPr>
          <w:rFonts w:hint="default" w:ascii="Times New Roman" w:hAnsi="Times New Roman" w:cs="Times New Roman"/>
          <w:color w:val="auto"/>
          <w:highlight w:val="none"/>
        </w:rPr>
        <w:t>，所以项目类别为Ⅲ类</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项目类别情况具体见</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_Ref95316067 \r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表1.5-8</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w:t>
      </w:r>
    </w:p>
    <w:p w14:paraId="35F24CF2">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bookmarkStart w:id="25" w:name="_Ref95316067"/>
      <w:r>
        <w:rPr>
          <w:rFonts w:hint="default"/>
          <w:color w:val="auto"/>
          <w:highlight w:val="none"/>
        </w:rPr>
        <w:t>土壤环境影响评价项目类别</w:t>
      </w:r>
      <w:bookmarkEnd w:id="25"/>
    </w:p>
    <w:tbl>
      <w:tblPr>
        <w:tblStyle w:val="87"/>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109"/>
        <w:gridCol w:w="2718"/>
        <w:gridCol w:w="3394"/>
        <w:gridCol w:w="693"/>
        <w:gridCol w:w="903"/>
      </w:tblGrid>
      <w:tr w14:paraId="20958F3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0" w:hRule="atLeast"/>
          <w:jc w:val="center"/>
        </w:trPr>
        <w:tc>
          <w:tcPr>
            <w:tcW w:w="1109" w:type="dxa"/>
            <w:vMerge w:val="restart"/>
            <w:noWrap w:val="0"/>
            <w:vAlign w:val="center"/>
          </w:tcPr>
          <w:p w14:paraId="408E2521">
            <w:pPr>
              <w:pStyle w:val="69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行业类别</w:t>
            </w:r>
          </w:p>
        </w:tc>
        <w:tc>
          <w:tcPr>
            <w:tcW w:w="7708" w:type="dxa"/>
            <w:gridSpan w:val="4"/>
            <w:noWrap w:val="0"/>
            <w:vAlign w:val="center"/>
          </w:tcPr>
          <w:p w14:paraId="037C32A5">
            <w:pPr>
              <w:pStyle w:val="69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项目类别</w:t>
            </w:r>
          </w:p>
        </w:tc>
      </w:tr>
      <w:tr w14:paraId="195F386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109" w:type="dxa"/>
            <w:vMerge w:val="continue"/>
            <w:noWrap w:val="0"/>
            <w:vAlign w:val="center"/>
          </w:tcPr>
          <w:p w14:paraId="4F2B8BCC">
            <w:pPr>
              <w:pStyle w:val="698"/>
              <w:rPr>
                <w:rFonts w:hint="default" w:ascii="Times New Roman" w:hAnsi="Times New Roman" w:cs="Times New Roman"/>
                <w:b/>
                <w:bCs/>
                <w:color w:val="auto"/>
                <w:highlight w:val="none"/>
              </w:rPr>
            </w:pPr>
          </w:p>
        </w:tc>
        <w:tc>
          <w:tcPr>
            <w:tcW w:w="2718" w:type="dxa"/>
            <w:noWrap w:val="0"/>
            <w:vAlign w:val="center"/>
          </w:tcPr>
          <w:p w14:paraId="1BB15BDA">
            <w:pPr>
              <w:pStyle w:val="69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Ⅰ类</w:t>
            </w:r>
          </w:p>
        </w:tc>
        <w:tc>
          <w:tcPr>
            <w:tcW w:w="3394" w:type="dxa"/>
            <w:noWrap w:val="0"/>
            <w:vAlign w:val="center"/>
          </w:tcPr>
          <w:p w14:paraId="35A8443C">
            <w:pPr>
              <w:pStyle w:val="69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Ⅱ类</w:t>
            </w:r>
          </w:p>
        </w:tc>
        <w:tc>
          <w:tcPr>
            <w:tcW w:w="693" w:type="dxa"/>
            <w:noWrap w:val="0"/>
            <w:vAlign w:val="center"/>
          </w:tcPr>
          <w:p w14:paraId="2CB3C795">
            <w:pPr>
              <w:pStyle w:val="69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Ⅲ类</w:t>
            </w:r>
          </w:p>
        </w:tc>
        <w:tc>
          <w:tcPr>
            <w:tcW w:w="903" w:type="dxa"/>
            <w:noWrap w:val="0"/>
            <w:vAlign w:val="center"/>
          </w:tcPr>
          <w:p w14:paraId="0D3F54B1">
            <w:pPr>
              <w:pStyle w:val="69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Ⅳ类</w:t>
            </w:r>
          </w:p>
        </w:tc>
      </w:tr>
      <w:tr w14:paraId="3FA7F9C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109" w:type="dxa"/>
            <w:noWrap w:val="0"/>
            <w:vAlign w:val="center"/>
          </w:tcPr>
          <w:p w14:paraId="6EBCECA5">
            <w:pPr>
              <w:pStyle w:val="698"/>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水利</w:t>
            </w:r>
          </w:p>
        </w:tc>
        <w:tc>
          <w:tcPr>
            <w:tcW w:w="2718" w:type="dxa"/>
            <w:noWrap w:val="0"/>
            <w:vAlign w:val="center"/>
          </w:tcPr>
          <w:p w14:paraId="6F6EC877">
            <w:pPr>
              <w:snapToGrid w:val="0"/>
              <w:jc w:val="both"/>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库容1亿m³及以上水库；长度大于1000km的引水工程</w:t>
            </w:r>
          </w:p>
        </w:tc>
        <w:tc>
          <w:tcPr>
            <w:tcW w:w="3394" w:type="dxa"/>
            <w:noWrap w:val="0"/>
            <w:vAlign w:val="center"/>
          </w:tcPr>
          <w:p w14:paraId="72FFBABD">
            <w:pPr>
              <w:snapToGrid w:val="0"/>
              <w:jc w:val="both"/>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val="en-US" w:eastAsia="zh-CN"/>
              </w:rPr>
              <w:t>库容1000万m³至1亿m³的水库；跨流域调水的引水工程</w:t>
            </w:r>
          </w:p>
        </w:tc>
        <w:tc>
          <w:tcPr>
            <w:tcW w:w="693" w:type="dxa"/>
            <w:noWrap w:val="0"/>
            <w:vAlign w:val="center"/>
          </w:tcPr>
          <w:p w14:paraId="5AFCF47F">
            <w:pPr>
              <w:pStyle w:val="698"/>
              <w:rPr>
                <w:rFonts w:hint="default" w:ascii="Times New Roman" w:hAnsi="Times New Roman" w:eastAsia="宋体" w:cs="Times New Roman"/>
                <w:color w:val="auto"/>
                <w:highlight w:val="none"/>
                <w:lang w:eastAsia="zh-CN"/>
              </w:rPr>
            </w:pPr>
            <w:r>
              <w:rPr>
                <w:rFonts w:hint="default" w:ascii="Times New Roman" w:hAnsi="Times New Roman" w:cs="Times New Roman"/>
                <w:b/>
                <w:bCs/>
                <w:color w:val="auto"/>
                <w:highlight w:val="none"/>
                <w:lang w:eastAsia="zh-CN"/>
              </w:rPr>
              <w:t>其他</w:t>
            </w:r>
          </w:p>
        </w:tc>
        <w:tc>
          <w:tcPr>
            <w:tcW w:w="903" w:type="dxa"/>
            <w:noWrap w:val="0"/>
            <w:vAlign w:val="center"/>
          </w:tcPr>
          <w:p w14:paraId="1CA9940F">
            <w:pPr>
              <w:pStyle w:val="698"/>
              <w:rPr>
                <w:rFonts w:hint="default" w:ascii="Times New Roman" w:hAnsi="Times New Roman" w:cs="Times New Roman"/>
                <w:color w:val="auto"/>
                <w:highlight w:val="none"/>
              </w:rPr>
            </w:pPr>
          </w:p>
        </w:tc>
      </w:tr>
    </w:tbl>
    <w:p w14:paraId="0452A901">
      <w:pPr>
        <w:pStyle w:val="41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生态影响型建设项目根据所在地土壤环境敏感程度分为敏感、较敏感、不敏感，判别依据见表1.5-9。</w:t>
      </w:r>
    </w:p>
    <w:p w14:paraId="245E124C">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r>
        <w:rPr>
          <w:rFonts w:hint="default"/>
          <w:color w:val="auto"/>
          <w:highlight w:val="none"/>
        </w:rPr>
        <w:t>土壤环境影响评价项目类别</w:t>
      </w:r>
    </w:p>
    <w:tbl>
      <w:tblPr>
        <w:tblStyle w:val="87"/>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206"/>
        <w:gridCol w:w="5092"/>
        <w:gridCol w:w="1354"/>
        <w:gridCol w:w="1206"/>
      </w:tblGrid>
      <w:tr w14:paraId="65FFC36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0" w:hRule="atLeast"/>
          <w:jc w:val="center"/>
        </w:trPr>
        <w:tc>
          <w:tcPr>
            <w:tcW w:w="1206" w:type="dxa"/>
            <w:vMerge w:val="restart"/>
            <w:noWrap w:val="0"/>
            <w:vAlign w:val="center"/>
          </w:tcPr>
          <w:p w14:paraId="456D93FA">
            <w:pPr>
              <w:pStyle w:val="698"/>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敏感程度</w:t>
            </w:r>
          </w:p>
        </w:tc>
        <w:tc>
          <w:tcPr>
            <w:tcW w:w="7652" w:type="dxa"/>
            <w:gridSpan w:val="3"/>
            <w:tcBorders>
              <w:right w:val="single" w:color="auto" w:sz="4" w:space="0"/>
            </w:tcBorders>
            <w:noWrap w:val="0"/>
            <w:vAlign w:val="center"/>
          </w:tcPr>
          <w:p w14:paraId="601B9B90">
            <w:pPr>
              <w:pStyle w:val="698"/>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判别依据</w:t>
            </w:r>
          </w:p>
        </w:tc>
      </w:tr>
      <w:tr w14:paraId="33DB5ED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206" w:type="dxa"/>
            <w:vMerge w:val="continue"/>
            <w:noWrap w:val="0"/>
            <w:vAlign w:val="center"/>
          </w:tcPr>
          <w:p w14:paraId="0C7FEA7E">
            <w:pPr>
              <w:pStyle w:val="698"/>
              <w:rPr>
                <w:rFonts w:hint="default" w:ascii="Times New Roman" w:hAnsi="Times New Roman" w:cs="Times New Roman"/>
                <w:color w:val="auto"/>
                <w:sz w:val="21"/>
                <w:szCs w:val="21"/>
                <w:highlight w:val="none"/>
              </w:rPr>
            </w:pPr>
          </w:p>
        </w:tc>
        <w:tc>
          <w:tcPr>
            <w:tcW w:w="5092" w:type="dxa"/>
            <w:noWrap w:val="0"/>
            <w:vAlign w:val="center"/>
          </w:tcPr>
          <w:p w14:paraId="5F482C4A">
            <w:pPr>
              <w:pStyle w:val="698"/>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盐化</w:t>
            </w:r>
          </w:p>
        </w:tc>
        <w:tc>
          <w:tcPr>
            <w:tcW w:w="1354" w:type="dxa"/>
            <w:noWrap w:val="0"/>
            <w:vAlign w:val="center"/>
          </w:tcPr>
          <w:p w14:paraId="2BC3CB62">
            <w:pPr>
              <w:pStyle w:val="698"/>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酸化</w:t>
            </w:r>
          </w:p>
        </w:tc>
        <w:tc>
          <w:tcPr>
            <w:tcW w:w="1206" w:type="dxa"/>
            <w:noWrap w:val="0"/>
            <w:vAlign w:val="center"/>
          </w:tcPr>
          <w:p w14:paraId="137A3529">
            <w:pPr>
              <w:pStyle w:val="698"/>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碱化</w:t>
            </w:r>
          </w:p>
        </w:tc>
      </w:tr>
      <w:tr w14:paraId="5059705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206" w:type="dxa"/>
            <w:noWrap w:val="0"/>
            <w:vAlign w:val="center"/>
          </w:tcPr>
          <w:p w14:paraId="7B51A514">
            <w:pPr>
              <w:pStyle w:val="698"/>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敏感</w:t>
            </w:r>
          </w:p>
        </w:tc>
        <w:tc>
          <w:tcPr>
            <w:tcW w:w="5092" w:type="dxa"/>
            <w:noWrap w:val="0"/>
            <w:vAlign w:val="center"/>
          </w:tcPr>
          <w:p w14:paraId="0B7C9FF7">
            <w:pPr>
              <w:snapToGrid w:val="0"/>
              <w:jc w:val="both"/>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建设项目所在地干燥度a＞2.5且常年地下水位平均埋深＜1.5m的地势平坦区域；或土壤含盐量＞4g/kg 的区域</w:t>
            </w:r>
          </w:p>
        </w:tc>
        <w:tc>
          <w:tcPr>
            <w:tcW w:w="1354" w:type="dxa"/>
            <w:noWrap w:val="0"/>
            <w:vAlign w:val="center"/>
          </w:tcPr>
          <w:p w14:paraId="23586CEF">
            <w:pPr>
              <w:keepNext w:val="0"/>
              <w:keepLines w:val="0"/>
              <w:widowControl/>
              <w:suppressLineNumbers w:val="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
              </w:rPr>
              <w:t>pH≤4.5</w:t>
            </w:r>
          </w:p>
        </w:tc>
        <w:tc>
          <w:tcPr>
            <w:tcW w:w="1206" w:type="dxa"/>
            <w:noWrap w:val="0"/>
            <w:vAlign w:val="center"/>
          </w:tcPr>
          <w:p w14:paraId="7D659E87">
            <w:pPr>
              <w:keepNext w:val="0"/>
              <w:keepLines w:val="0"/>
              <w:widowControl/>
              <w:suppressLineNumbers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
              </w:rPr>
              <w:t>pH≤9.0</w:t>
            </w:r>
          </w:p>
        </w:tc>
      </w:tr>
      <w:tr w14:paraId="3357C47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206" w:type="dxa"/>
            <w:noWrap w:val="0"/>
            <w:vAlign w:val="center"/>
          </w:tcPr>
          <w:p w14:paraId="5598F07A">
            <w:pPr>
              <w:pStyle w:val="698"/>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较敏感</w:t>
            </w:r>
          </w:p>
        </w:tc>
        <w:tc>
          <w:tcPr>
            <w:tcW w:w="5092" w:type="dxa"/>
            <w:noWrap w:val="0"/>
            <w:vAlign w:val="center"/>
          </w:tcPr>
          <w:p w14:paraId="7C37548C">
            <w:pPr>
              <w:keepNext w:val="0"/>
              <w:keepLines w:val="0"/>
              <w:widowControl/>
              <w:suppressLineNumbers w:val="0"/>
              <w:jc w:val="left"/>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建设项目所在地干燥度＞2.5 且常年地下水位平均埋深≥1.5m 的，或1.8＜干燥度≤2.5 且常年地下水位平均埋深＜1.8m 的地势平坦区域；建设项目所在地干燥度＞2.5或常年地下水位平均埋深＜1.5m的平原区；或2g/kg＜土壤含盐量≤4g/kg 的区域</w:t>
            </w:r>
          </w:p>
        </w:tc>
        <w:tc>
          <w:tcPr>
            <w:tcW w:w="1354" w:type="dxa"/>
            <w:noWrap w:val="0"/>
            <w:vAlign w:val="center"/>
          </w:tcPr>
          <w:p w14:paraId="7D92FC65">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4.5≤pH≤5.5</w:t>
            </w:r>
          </w:p>
        </w:tc>
        <w:tc>
          <w:tcPr>
            <w:tcW w:w="1206" w:type="dxa"/>
            <w:noWrap w:val="0"/>
            <w:vAlign w:val="center"/>
          </w:tcPr>
          <w:p w14:paraId="1700978A">
            <w:pPr>
              <w:pStyle w:val="698"/>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8.5≤pH≤9.0</w:t>
            </w:r>
          </w:p>
        </w:tc>
      </w:tr>
      <w:tr w14:paraId="345E327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206" w:type="dxa"/>
            <w:noWrap w:val="0"/>
            <w:vAlign w:val="center"/>
          </w:tcPr>
          <w:p w14:paraId="6F7A8790">
            <w:pPr>
              <w:pStyle w:val="698"/>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不敏感</w:t>
            </w:r>
          </w:p>
        </w:tc>
        <w:tc>
          <w:tcPr>
            <w:tcW w:w="5092" w:type="dxa"/>
            <w:noWrap w:val="0"/>
            <w:vAlign w:val="center"/>
          </w:tcPr>
          <w:p w14:paraId="4B8C3170">
            <w:pPr>
              <w:snapToGrid w:val="0"/>
              <w:jc w:val="both"/>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其他</w:t>
            </w:r>
          </w:p>
        </w:tc>
        <w:tc>
          <w:tcPr>
            <w:tcW w:w="2560" w:type="dxa"/>
            <w:gridSpan w:val="2"/>
            <w:noWrap w:val="0"/>
            <w:vAlign w:val="center"/>
          </w:tcPr>
          <w:p w14:paraId="16B634C4">
            <w:pPr>
              <w:pStyle w:val="698"/>
              <w:rPr>
                <w:rFonts w:hint="default"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5.5≤pH≤8.5</w:t>
            </w:r>
          </w:p>
        </w:tc>
      </w:tr>
      <w:tr w14:paraId="0526F1E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8858" w:type="dxa"/>
            <w:gridSpan w:val="4"/>
            <w:noWrap w:val="0"/>
            <w:vAlign w:val="center"/>
          </w:tcPr>
          <w:p w14:paraId="1C1D0985">
            <w:pPr>
              <w:pStyle w:val="698"/>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A：是指采用 E601 观测的多年平均水面蒸发量与降水量的比值，即蒸降比值。</w:t>
            </w:r>
          </w:p>
        </w:tc>
      </w:tr>
    </w:tbl>
    <w:p w14:paraId="66904E8C">
      <w:pPr>
        <w:pStyle w:val="41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eastAsia="zh-CN"/>
        </w:rPr>
        <w:t>本次评价委托广西恒沁检测科技有限公司对项目区域土壤含盐量及</w:t>
      </w:r>
      <w:r>
        <w:rPr>
          <w:rFonts w:hint="eastAsia" w:ascii="Times New Roman" w:hAnsi="Times New Roman" w:cs="Times New Roman"/>
          <w:color w:val="auto"/>
          <w:highlight w:val="none"/>
          <w:lang w:val="en-US" w:eastAsia="zh-CN"/>
        </w:rPr>
        <w:t>pH值进行监测，监测点位分别为S1钦州港路北侧、S2项目钦州港路和水系改造交汇处、S3项目东北侧350米处，具体监测结果见下表。</w:t>
      </w:r>
    </w:p>
    <w:p w14:paraId="4AF3D178">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r>
        <w:rPr>
          <w:rFonts w:hint="eastAsia"/>
          <w:color w:val="auto"/>
          <w:highlight w:val="none"/>
          <w:lang w:eastAsia="zh-CN"/>
        </w:rPr>
        <w:t>项目区域土壤含盐量及</w:t>
      </w:r>
      <w:r>
        <w:rPr>
          <w:rFonts w:hint="eastAsia"/>
          <w:color w:val="auto"/>
          <w:highlight w:val="none"/>
          <w:lang w:val="en-US" w:eastAsia="zh-CN"/>
        </w:rPr>
        <w:t>pH值监测结果一览表</w:t>
      </w:r>
    </w:p>
    <w:tbl>
      <w:tblPr>
        <w:tblStyle w:val="8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3210"/>
        <w:gridCol w:w="2057"/>
        <w:gridCol w:w="2214"/>
      </w:tblGrid>
      <w:tr w14:paraId="3E6BD4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1" w:type="pct"/>
            <w:vMerge w:val="restart"/>
            <w:noWrap w:val="0"/>
            <w:vAlign w:val="center"/>
          </w:tcPr>
          <w:p w14:paraId="55666AC4">
            <w:pPr>
              <w:snapToGrid w:val="0"/>
              <w:jc w:val="center"/>
              <w:rPr>
                <w:rFonts w:hint="eastAsia"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采样时间</w:t>
            </w:r>
          </w:p>
        </w:tc>
        <w:tc>
          <w:tcPr>
            <w:tcW w:w="1818" w:type="pct"/>
            <w:vMerge w:val="restart"/>
            <w:noWrap w:val="0"/>
            <w:vAlign w:val="center"/>
          </w:tcPr>
          <w:p w14:paraId="5C3E7288">
            <w:pPr>
              <w:snapToGrid w:val="0"/>
              <w:jc w:val="center"/>
              <w:rPr>
                <w:rFonts w:hint="eastAsia"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监测点位</w:t>
            </w:r>
          </w:p>
        </w:tc>
        <w:tc>
          <w:tcPr>
            <w:tcW w:w="2419" w:type="pct"/>
            <w:gridSpan w:val="2"/>
            <w:noWrap w:val="0"/>
            <w:vAlign w:val="center"/>
          </w:tcPr>
          <w:p w14:paraId="00D659CD">
            <w:pPr>
              <w:snapToGrid w:val="0"/>
              <w:jc w:val="center"/>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监测结果</w:t>
            </w:r>
          </w:p>
        </w:tc>
      </w:tr>
      <w:tr w14:paraId="340125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center"/>
          </w:tcPr>
          <w:p w14:paraId="46B441E8">
            <w:pPr>
              <w:snapToGrid w:val="0"/>
              <w:jc w:val="center"/>
              <w:rPr>
                <w:rFonts w:hint="eastAsia" w:ascii="Times New Roman" w:hAnsi="Times New Roman" w:eastAsia="宋体" w:cs="Times New Roman"/>
                <w:b/>
                <w:bCs w:val="0"/>
                <w:color w:val="auto"/>
                <w:sz w:val="21"/>
                <w:szCs w:val="21"/>
                <w:highlight w:val="none"/>
                <w:lang w:val="en-US" w:eastAsia="zh-CN"/>
              </w:rPr>
            </w:pPr>
          </w:p>
        </w:tc>
        <w:tc>
          <w:tcPr>
            <w:tcW w:w="1818" w:type="pct"/>
            <w:vMerge w:val="continue"/>
            <w:noWrap w:val="0"/>
            <w:vAlign w:val="center"/>
          </w:tcPr>
          <w:p w14:paraId="14A814B6">
            <w:pPr>
              <w:snapToGrid w:val="0"/>
              <w:jc w:val="center"/>
              <w:rPr>
                <w:rFonts w:hint="eastAsia" w:ascii="Times New Roman" w:hAnsi="Times New Roman" w:eastAsia="宋体" w:cs="Times New Roman"/>
                <w:b/>
                <w:bCs w:val="0"/>
                <w:color w:val="auto"/>
                <w:sz w:val="21"/>
                <w:szCs w:val="21"/>
                <w:highlight w:val="none"/>
                <w:lang w:val="en-US" w:eastAsia="zh-CN"/>
              </w:rPr>
            </w:pPr>
          </w:p>
        </w:tc>
        <w:tc>
          <w:tcPr>
            <w:tcW w:w="1165" w:type="pct"/>
            <w:noWrap w:val="0"/>
            <w:vAlign w:val="center"/>
          </w:tcPr>
          <w:p w14:paraId="62769645">
            <w:pPr>
              <w:snapToGrid w:val="0"/>
              <w:jc w:val="center"/>
              <w:rPr>
                <w:rFonts w:hint="eastAsia"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pH（无量纲）</w:t>
            </w:r>
          </w:p>
        </w:tc>
        <w:tc>
          <w:tcPr>
            <w:tcW w:w="1253" w:type="pct"/>
            <w:noWrap w:val="0"/>
            <w:vAlign w:val="center"/>
          </w:tcPr>
          <w:p w14:paraId="0B65359A">
            <w:pPr>
              <w:snapToGrid w:val="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水溶性盐总量（g/kg）</w:t>
            </w:r>
          </w:p>
        </w:tc>
      </w:tr>
      <w:tr w14:paraId="67B753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1" w:type="pct"/>
            <w:noWrap w:val="0"/>
            <w:vAlign w:val="center"/>
          </w:tcPr>
          <w:p w14:paraId="2A1B7535">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2025.4.21</w:t>
            </w:r>
          </w:p>
        </w:tc>
        <w:tc>
          <w:tcPr>
            <w:tcW w:w="1818" w:type="pct"/>
            <w:noWrap w:val="0"/>
            <w:vAlign w:val="center"/>
          </w:tcPr>
          <w:p w14:paraId="79A9BF98">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S1钦州港路北侧</w:t>
            </w:r>
          </w:p>
        </w:tc>
        <w:tc>
          <w:tcPr>
            <w:tcW w:w="1165" w:type="pct"/>
            <w:noWrap w:val="0"/>
            <w:vAlign w:val="center"/>
          </w:tcPr>
          <w:p w14:paraId="25F2879B">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6.78</w:t>
            </w:r>
          </w:p>
        </w:tc>
        <w:tc>
          <w:tcPr>
            <w:tcW w:w="1253" w:type="pct"/>
            <w:noWrap w:val="0"/>
            <w:vAlign w:val="center"/>
          </w:tcPr>
          <w:p w14:paraId="73942467">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1.0</w:t>
            </w:r>
          </w:p>
        </w:tc>
      </w:tr>
      <w:tr w14:paraId="68A582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1" w:type="pct"/>
            <w:noWrap w:val="0"/>
            <w:vAlign w:val="center"/>
          </w:tcPr>
          <w:p w14:paraId="2F7E4266">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2025.4.21</w:t>
            </w:r>
          </w:p>
        </w:tc>
        <w:tc>
          <w:tcPr>
            <w:tcW w:w="1818" w:type="pct"/>
            <w:noWrap w:val="0"/>
            <w:vAlign w:val="center"/>
          </w:tcPr>
          <w:p w14:paraId="3D4569F3">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S2项目钦州港路和水系改造交汇处</w:t>
            </w:r>
          </w:p>
        </w:tc>
        <w:tc>
          <w:tcPr>
            <w:tcW w:w="1165" w:type="pct"/>
            <w:noWrap w:val="0"/>
            <w:vAlign w:val="center"/>
          </w:tcPr>
          <w:p w14:paraId="5A4B97E3">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7.16</w:t>
            </w:r>
          </w:p>
        </w:tc>
        <w:tc>
          <w:tcPr>
            <w:tcW w:w="1253" w:type="pct"/>
            <w:noWrap w:val="0"/>
            <w:vAlign w:val="center"/>
          </w:tcPr>
          <w:p w14:paraId="0263DE1C">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0.7</w:t>
            </w:r>
          </w:p>
        </w:tc>
      </w:tr>
      <w:tr w14:paraId="2506C9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1" w:type="pct"/>
            <w:noWrap w:val="0"/>
            <w:vAlign w:val="center"/>
          </w:tcPr>
          <w:p w14:paraId="4568829A">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2025.4.21</w:t>
            </w:r>
          </w:p>
        </w:tc>
        <w:tc>
          <w:tcPr>
            <w:tcW w:w="1818" w:type="pct"/>
            <w:noWrap w:val="0"/>
            <w:vAlign w:val="center"/>
          </w:tcPr>
          <w:p w14:paraId="31004F07">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S3项目东北侧350米处</w:t>
            </w:r>
          </w:p>
        </w:tc>
        <w:tc>
          <w:tcPr>
            <w:tcW w:w="1165" w:type="pct"/>
            <w:noWrap w:val="0"/>
            <w:vAlign w:val="center"/>
          </w:tcPr>
          <w:p w14:paraId="2FA48A70">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6.72</w:t>
            </w:r>
          </w:p>
        </w:tc>
        <w:tc>
          <w:tcPr>
            <w:tcW w:w="1253" w:type="pct"/>
            <w:noWrap w:val="0"/>
            <w:vAlign w:val="center"/>
          </w:tcPr>
          <w:p w14:paraId="728E19E4">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1.2</w:t>
            </w:r>
          </w:p>
        </w:tc>
      </w:tr>
    </w:tbl>
    <w:p w14:paraId="547DE082">
      <w:pPr>
        <w:pStyle w:val="41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上述检测结果表明5.5≤pH≤8.5，水溶性盐总量＜2g/kg，</w:t>
      </w:r>
      <w:r>
        <w:rPr>
          <w:rFonts w:hint="eastAsia" w:ascii="Times New Roman" w:hAnsi="Times New Roman" w:cs="Times New Roman"/>
          <w:color w:val="auto"/>
          <w:highlight w:val="none"/>
          <w:lang w:eastAsia="zh-CN"/>
        </w:rPr>
        <w:t>经查询《中国年干燥度平均值分布在线地图》及《中国年干燥度(1951-1980年资料)》，建设项目所在地干燥度＜</w:t>
      </w:r>
      <w:r>
        <w:rPr>
          <w:rFonts w:hint="eastAsia" w:ascii="Times New Roman" w:hAnsi="Times New Roman" w:cs="Times New Roman"/>
          <w:color w:val="auto"/>
          <w:highlight w:val="none"/>
          <w:lang w:val="en-US" w:eastAsia="zh-CN"/>
        </w:rPr>
        <w:t>0.49，属于地势平坦区域，综合判定项目所在区域土壤敏感程度为“不敏感”。</w:t>
      </w:r>
    </w:p>
    <w:p w14:paraId="7453FD17">
      <w:pPr>
        <w:pStyle w:val="41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根据土壤环境影响评价类别、项目所在地土壤环境敏感程度划分评价工作等级，项目可不开展土壤环境影响评价。</w:t>
      </w:r>
    </w:p>
    <w:p w14:paraId="110153E7">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r>
        <w:rPr>
          <w:rFonts w:hint="default"/>
          <w:color w:val="auto"/>
          <w:highlight w:val="none"/>
        </w:rPr>
        <w:t>土壤环境影响评价项目类别</w:t>
      </w:r>
    </w:p>
    <w:tbl>
      <w:tblPr>
        <w:tblStyle w:val="87"/>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207"/>
        <w:gridCol w:w="3585"/>
        <w:gridCol w:w="2874"/>
        <w:gridCol w:w="1211"/>
      </w:tblGrid>
      <w:tr w14:paraId="29ADB52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0" w:hRule="atLeast"/>
          <w:jc w:val="center"/>
        </w:trPr>
        <w:tc>
          <w:tcPr>
            <w:tcW w:w="1207" w:type="dxa"/>
            <w:vMerge w:val="restart"/>
            <w:noWrap w:val="0"/>
            <w:vAlign w:val="center"/>
          </w:tcPr>
          <w:p w14:paraId="39493DE0">
            <w:pPr>
              <w:pStyle w:val="698"/>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敏感程度</w:t>
            </w:r>
          </w:p>
        </w:tc>
        <w:tc>
          <w:tcPr>
            <w:tcW w:w="7670" w:type="dxa"/>
            <w:gridSpan w:val="3"/>
            <w:tcBorders>
              <w:right w:val="single" w:color="auto" w:sz="4" w:space="0"/>
            </w:tcBorders>
            <w:noWrap w:val="0"/>
            <w:vAlign w:val="center"/>
          </w:tcPr>
          <w:p w14:paraId="470112FD">
            <w:pPr>
              <w:pStyle w:val="698"/>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判别依据</w:t>
            </w:r>
          </w:p>
        </w:tc>
      </w:tr>
      <w:tr w14:paraId="5045D16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0" w:hRule="atLeast"/>
          <w:jc w:val="center"/>
        </w:trPr>
        <w:tc>
          <w:tcPr>
            <w:tcW w:w="1207" w:type="dxa"/>
            <w:vMerge w:val="continue"/>
            <w:noWrap w:val="0"/>
            <w:vAlign w:val="center"/>
          </w:tcPr>
          <w:p w14:paraId="27B9A15E">
            <w:pPr>
              <w:pStyle w:val="698"/>
              <w:rPr>
                <w:rFonts w:hint="default" w:ascii="Times New Roman" w:hAnsi="Times New Roman" w:cs="Times New Roman"/>
                <w:color w:val="auto"/>
                <w:sz w:val="21"/>
                <w:szCs w:val="21"/>
                <w:highlight w:val="none"/>
              </w:rPr>
            </w:pPr>
          </w:p>
        </w:tc>
        <w:tc>
          <w:tcPr>
            <w:tcW w:w="3585" w:type="dxa"/>
            <w:noWrap w:val="0"/>
            <w:vAlign w:val="center"/>
          </w:tcPr>
          <w:p w14:paraId="2756B3A7">
            <w:pPr>
              <w:pStyle w:val="698"/>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highlight w:val="none"/>
              </w:rPr>
              <w:t>Ⅰ类</w:t>
            </w:r>
          </w:p>
        </w:tc>
        <w:tc>
          <w:tcPr>
            <w:tcW w:w="2874" w:type="dxa"/>
            <w:noWrap w:val="0"/>
            <w:vAlign w:val="center"/>
          </w:tcPr>
          <w:p w14:paraId="28CB04D5">
            <w:pPr>
              <w:pStyle w:val="698"/>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highlight w:val="none"/>
              </w:rPr>
              <w:t>Ⅱ类</w:t>
            </w:r>
          </w:p>
        </w:tc>
        <w:tc>
          <w:tcPr>
            <w:tcW w:w="1211" w:type="dxa"/>
            <w:noWrap w:val="0"/>
            <w:vAlign w:val="center"/>
          </w:tcPr>
          <w:p w14:paraId="0F365634">
            <w:pPr>
              <w:pStyle w:val="698"/>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highlight w:val="none"/>
              </w:rPr>
              <w:t>Ⅲ类</w:t>
            </w:r>
          </w:p>
        </w:tc>
      </w:tr>
      <w:tr w14:paraId="6E86668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207" w:type="dxa"/>
            <w:noWrap w:val="0"/>
            <w:vAlign w:val="center"/>
          </w:tcPr>
          <w:p w14:paraId="089FD3A2">
            <w:pPr>
              <w:pStyle w:val="698"/>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敏感</w:t>
            </w:r>
          </w:p>
        </w:tc>
        <w:tc>
          <w:tcPr>
            <w:tcW w:w="3585" w:type="dxa"/>
            <w:noWrap w:val="0"/>
            <w:vAlign w:val="center"/>
          </w:tcPr>
          <w:p w14:paraId="70EFEA26">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一级</w:t>
            </w:r>
          </w:p>
        </w:tc>
        <w:tc>
          <w:tcPr>
            <w:tcW w:w="2874" w:type="dxa"/>
            <w:noWrap w:val="0"/>
            <w:vAlign w:val="center"/>
          </w:tcPr>
          <w:p w14:paraId="293A4DEE">
            <w:pPr>
              <w:keepNext w:val="0"/>
              <w:keepLines w:val="0"/>
              <w:widowControl/>
              <w:suppressLineNumbers w:val="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val="en-US" w:eastAsia="zh-CN"/>
              </w:rPr>
              <w:t>二级</w:t>
            </w:r>
          </w:p>
        </w:tc>
        <w:tc>
          <w:tcPr>
            <w:tcW w:w="1211" w:type="dxa"/>
            <w:noWrap w:val="0"/>
            <w:vAlign w:val="center"/>
          </w:tcPr>
          <w:p w14:paraId="5FD276CC">
            <w:pPr>
              <w:keepNext w:val="0"/>
              <w:keepLines w:val="0"/>
              <w:widowControl/>
              <w:suppressLineNumbers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三级</w:t>
            </w:r>
          </w:p>
        </w:tc>
      </w:tr>
      <w:tr w14:paraId="2CDA4CF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207" w:type="dxa"/>
            <w:noWrap w:val="0"/>
            <w:vAlign w:val="center"/>
          </w:tcPr>
          <w:p w14:paraId="2808E039">
            <w:pPr>
              <w:pStyle w:val="698"/>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较敏感</w:t>
            </w:r>
          </w:p>
        </w:tc>
        <w:tc>
          <w:tcPr>
            <w:tcW w:w="3585" w:type="dxa"/>
            <w:noWrap w:val="0"/>
            <w:vAlign w:val="center"/>
          </w:tcPr>
          <w:p w14:paraId="586A967C">
            <w:pPr>
              <w:keepNext w:val="0"/>
              <w:keepLines w:val="0"/>
              <w:widowControl/>
              <w:suppressLineNumbers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二级</w:t>
            </w:r>
          </w:p>
        </w:tc>
        <w:tc>
          <w:tcPr>
            <w:tcW w:w="2874" w:type="dxa"/>
            <w:noWrap w:val="0"/>
            <w:vAlign w:val="center"/>
          </w:tcPr>
          <w:p w14:paraId="192D98DD">
            <w:pPr>
              <w:keepNext w:val="0"/>
              <w:keepLines w:val="0"/>
              <w:widowControl/>
              <w:suppressLineNumbers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二级</w:t>
            </w:r>
          </w:p>
        </w:tc>
        <w:tc>
          <w:tcPr>
            <w:tcW w:w="1211" w:type="dxa"/>
            <w:noWrap w:val="0"/>
            <w:vAlign w:val="center"/>
          </w:tcPr>
          <w:p w14:paraId="53DF426D">
            <w:pPr>
              <w:keepNext w:val="0"/>
              <w:keepLines w:val="0"/>
              <w:widowControl/>
              <w:suppressLineNumbers w:val="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三级</w:t>
            </w:r>
          </w:p>
        </w:tc>
      </w:tr>
      <w:tr w14:paraId="2AB1746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207" w:type="dxa"/>
            <w:noWrap w:val="0"/>
            <w:vAlign w:val="center"/>
          </w:tcPr>
          <w:p w14:paraId="1A578550">
            <w:pPr>
              <w:pStyle w:val="698"/>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不敏感</w:t>
            </w:r>
          </w:p>
        </w:tc>
        <w:tc>
          <w:tcPr>
            <w:tcW w:w="3585" w:type="dxa"/>
            <w:noWrap w:val="0"/>
            <w:vAlign w:val="center"/>
          </w:tcPr>
          <w:p w14:paraId="1E26628A">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三级</w:t>
            </w:r>
          </w:p>
        </w:tc>
        <w:tc>
          <w:tcPr>
            <w:tcW w:w="2874" w:type="dxa"/>
            <w:noWrap w:val="0"/>
            <w:vAlign w:val="center"/>
          </w:tcPr>
          <w:p w14:paraId="48B1AD02">
            <w:pPr>
              <w:snapToGrid w:val="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三级</w:t>
            </w:r>
          </w:p>
        </w:tc>
        <w:tc>
          <w:tcPr>
            <w:tcW w:w="1211" w:type="dxa"/>
            <w:noWrap w:val="0"/>
            <w:vAlign w:val="center"/>
          </w:tcPr>
          <w:p w14:paraId="2B5CEBC9">
            <w:pPr>
              <w:snapToGrid w:val="0"/>
              <w:jc w:val="center"/>
              <w:rPr>
                <w:rFonts w:hint="default" w:ascii="Times New Roman" w:hAnsi="Times New Roman" w:cs="Times New Roman"/>
                <w:color w:val="auto"/>
                <w:highlight w:val="none"/>
              </w:rPr>
            </w:pPr>
            <w:r>
              <w:rPr>
                <w:rFonts w:hint="default" w:ascii="Times New Roman" w:hAnsi="Times New Roman" w:cs="Times New Roman"/>
                <w:b w:val="0"/>
                <w:bCs w:val="0"/>
                <w:color w:val="auto"/>
                <w:sz w:val="21"/>
                <w:szCs w:val="21"/>
                <w:highlight w:val="none"/>
                <w:lang w:eastAsia="zh-CN"/>
              </w:rPr>
              <w:t>—</w:t>
            </w:r>
          </w:p>
        </w:tc>
      </w:tr>
      <w:tr w14:paraId="7B347E2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8877" w:type="dxa"/>
            <w:gridSpan w:val="4"/>
            <w:noWrap w:val="0"/>
            <w:vAlign w:val="center"/>
          </w:tcPr>
          <w:p w14:paraId="6F1B2A20">
            <w:pPr>
              <w:pStyle w:val="698"/>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注：“—”表示可不开展土壤环境影响评价工作。</w:t>
            </w:r>
          </w:p>
        </w:tc>
      </w:tr>
    </w:tbl>
    <w:p w14:paraId="41D292C6">
      <w:pPr>
        <w:pStyle w:val="41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项目类别为</w:t>
      </w:r>
      <w:r>
        <w:rPr>
          <w:rFonts w:hint="default" w:ascii="Times New Roman" w:hAnsi="Times New Roman" w:cs="Times New Roman"/>
          <w:color w:val="auto"/>
          <w:highlight w:val="none"/>
        </w:rPr>
        <w:t>Ⅲ类</w:t>
      </w:r>
      <w:r>
        <w:rPr>
          <w:rFonts w:hint="default" w:ascii="Times New Roman" w:hAnsi="Times New Roman" w:cs="Times New Roman"/>
          <w:color w:val="auto"/>
          <w:highlight w:val="none"/>
          <w:lang w:eastAsia="zh-CN"/>
        </w:rPr>
        <w:t>，建设项目所在地为</w:t>
      </w:r>
      <w:r>
        <w:rPr>
          <w:rFonts w:hint="eastAsia" w:ascii="Times New Roman" w:hAnsi="Times New Roman" w:cs="Times New Roman"/>
          <w:color w:val="auto"/>
          <w:highlight w:val="none"/>
          <w:lang w:eastAsia="zh-CN"/>
        </w:rPr>
        <w:t>不</w:t>
      </w:r>
      <w:r>
        <w:rPr>
          <w:rFonts w:hint="default" w:ascii="Times New Roman" w:hAnsi="Times New Roman" w:cs="Times New Roman"/>
          <w:color w:val="auto"/>
          <w:highlight w:val="none"/>
          <w:lang w:eastAsia="zh-CN"/>
        </w:rPr>
        <w:t>敏感区，项目可不开展土壤环境影响评价工作。</w:t>
      </w:r>
    </w:p>
    <w:p w14:paraId="644D9BB7">
      <w:pPr>
        <w:pStyle w:val="6"/>
        <w:bidi w:val="0"/>
        <w:ind w:left="0" w:leftChars="0" w:firstLine="0" w:firstLineChars="0"/>
        <w:rPr>
          <w:rFonts w:hint="default"/>
          <w:color w:val="auto"/>
          <w:highlight w:val="none"/>
        </w:rPr>
      </w:pPr>
      <w:r>
        <w:rPr>
          <w:rFonts w:hint="default"/>
          <w:color w:val="auto"/>
          <w:highlight w:val="none"/>
        </w:rPr>
        <w:t>环境风险</w:t>
      </w:r>
    </w:p>
    <w:p w14:paraId="11BEB164">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环境风险评价工作等级根据《建设项目环境风险评价技术导则》（HJ/T169-2018）确定，风险评价工作等级划分详见</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_Ref95316073 \r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表1.5-12</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w:t>
      </w:r>
    </w:p>
    <w:p w14:paraId="3538E127">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bookmarkStart w:id="26" w:name="_Ref95316073"/>
      <w:r>
        <w:rPr>
          <w:rFonts w:hint="default"/>
          <w:color w:val="auto"/>
          <w:highlight w:val="none"/>
        </w:rPr>
        <w:t>风险评价工作等级划分表</w:t>
      </w:r>
      <w:bookmarkEnd w:id="26"/>
    </w:p>
    <w:tbl>
      <w:tblPr>
        <w:tblStyle w:val="87"/>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733"/>
        <w:gridCol w:w="1723"/>
        <w:gridCol w:w="1728"/>
        <w:gridCol w:w="1728"/>
        <w:gridCol w:w="1730"/>
      </w:tblGrid>
      <w:tr w14:paraId="54DCAE3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0" w:hRule="atLeast"/>
          <w:jc w:val="center"/>
        </w:trPr>
        <w:tc>
          <w:tcPr>
            <w:tcW w:w="1733" w:type="dxa"/>
            <w:noWrap w:val="0"/>
            <w:vAlign w:val="center"/>
          </w:tcPr>
          <w:p w14:paraId="512B0C66">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环境风险潜势</w:t>
            </w:r>
          </w:p>
        </w:tc>
        <w:tc>
          <w:tcPr>
            <w:tcW w:w="1723" w:type="dxa"/>
            <w:noWrap w:val="0"/>
            <w:vAlign w:val="center"/>
          </w:tcPr>
          <w:p w14:paraId="4765B258">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IV、IV+</w:t>
            </w:r>
          </w:p>
        </w:tc>
        <w:tc>
          <w:tcPr>
            <w:tcW w:w="1728" w:type="dxa"/>
            <w:noWrap w:val="0"/>
            <w:vAlign w:val="center"/>
          </w:tcPr>
          <w:p w14:paraId="34BED18A">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Ⅲ</w:t>
            </w:r>
          </w:p>
        </w:tc>
        <w:tc>
          <w:tcPr>
            <w:tcW w:w="1728" w:type="dxa"/>
            <w:noWrap w:val="0"/>
            <w:vAlign w:val="center"/>
          </w:tcPr>
          <w:p w14:paraId="46B07526">
            <w:pPr>
              <w:pStyle w:val="698"/>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II</w:t>
            </w:r>
          </w:p>
        </w:tc>
        <w:tc>
          <w:tcPr>
            <w:tcW w:w="1730" w:type="dxa"/>
            <w:noWrap w:val="0"/>
            <w:vAlign w:val="center"/>
          </w:tcPr>
          <w:p w14:paraId="3F52FA64">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I</w:t>
            </w:r>
          </w:p>
        </w:tc>
      </w:tr>
      <w:tr w14:paraId="1420D2B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5" w:hRule="atLeast"/>
          <w:jc w:val="center"/>
        </w:trPr>
        <w:tc>
          <w:tcPr>
            <w:tcW w:w="1733" w:type="dxa"/>
            <w:noWrap w:val="0"/>
            <w:vAlign w:val="center"/>
          </w:tcPr>
          <w:p w14:paraId="7D529562">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评价工作等级</w:t>
            </w:r>
          </w:p>
        </w:tc>
        <w:tc>
          <w:tcPr>
            <w:tcW w:w="1723" w:type="dxa"/>
            <w:noWrap w:val="0"/>
            <w:vAlign w:val="center"/>
          </w:tcPr>
          <w:p w14:paraId="1CF3DAC7">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一</w:t>
            </w:r>
          </w:p>
        </w:tc>
        <w:tc>
          <w:tcPr>
            <w:tcW w:w="1728" w:type="dxa"/>
            <w:noWrap w:val="0"/>
            <w:vAlign w:val="center"/>
          </w:tcPr>
          <w:p w14:paraId="2458529C">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二</w:t>
            </w:r>
          </w:p>
        </w:tc>
        <w:tc>
          <w:tcPr>
            <w:tcW w:w="1728" w:type="dxa"/>
            <w:noWrap w:val="0"/>
            <w:vAlign w:val="center"/>
          </w:tcPr>
          <w:p w14:paraId="6B0B377A">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三</w:t>
            </w:r>
          </w:p>
        </w:tc>
        <w:tc>
          <w:tcPr>
            <w:tcW w:w="1730" w:type="dxa"/>
            <w:noWrap w:val="0"/>
            <w:vAlign w:val="center"/>
          </w:tcPr>
          <w:p w14:paraId="5A140A1D">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简单分析</w:t>
            </w:r>
            <w:r>
              <w:rPr>
                <w:rFonts w:hint="default" w:ascii="Times New Roman" w:hAnsi="Times New Roman" w:cs="Times New Roman"/>
                <w:color w:val="auto"/>
                <w:position w:val="8"/>
                <w:highlight w:val="none"/>
              </w:rPr>
              <w:t>a</w:t>
            </w:r>
          </w:p>
        </w:tc>
      </w:tr>
      <w:tr w14:paraId="562ADEF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5" w:hRule="atLeast"/>
          <w:jc w:val="center"/>
        </w:trPr>
        <w:tc>
          <w:tcPr>
            <w:tcW w:w="8642" w:type="dxa"/>
            <w:gridSpan w:val="5"/>
            <w:noWrap w:val="0"/>
            <w:vAlign w:val="center"/>
          </w:tcPr>
          <w:p w14:paraId="56864B06">
            <w:pPr>
              <w:pStyle w:val="698"/>
              <w:jc w:val="left"/>
              <w:rPr>
                <w:rFonts w:hint="default" w:ascii="Times New Roman" w:hAnsi="Times New Roman" w:cs="Times New Roman"/>
                <w:color w:val="auto"/>
                <w:highlight w:val="none"/>
              </w:rPr>
            </w:pPr>
            <w:r>
              <w:rPr>
                <w:rFonts w:hint="default" w:ascii="Times New Roman" w:hAnsi="Times New Roman" w:cs="Times New Roman"/>
                <w:color w:val="auto"/>
                <w:position w:val="6"/>
                <w:highlight w:val="none"/>
              </w:rPr>
              <w:t>a</w:t>
            </w:r>
            <w:r>
              <w:rPr>
                <w:rFonts w:hint="default" w:ascii="Times New Roman" w:hAnsi="Times New Roman" w:cs="Times New Roman"/>
                <w:color w:val="auto"/>
                <w:spacing w:val="-3"/>
                <w:highlight w:val="none"/>
              </w:rPr>
              <w:t>是相对于详细评价工作内容而言，在描述危险物质、环境影响途径、环境危害后果、风险防范措施等方面给出定性</w:t>
            </w:r>
            <w:r>
              <w:rPr>
                <w:rFonts w:hint="default" w:ascii="Times New Roman" w:hAnsi="Times New Roman" w:cs="Times New Roman"/>
                <w:color w:val="auto"/>
                <w:spacing w:val="-2"/>
                <w:highlight w:val="none"/>
              </w:rPr>
              <w:t>的说明。</w:t>
            </w:r>
          </w:p>
        </w:tc>
      </w:tr>
    </w:tbl>
    <w:p w14:paraId="70D703B9">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项目为</w:t>
      </w:r>
      <w:r>
        <w:rPr>
          <w:rFonts w:hint="default" w:ascii="Times New Roman" w:hAnsi="Times New Roman" w:cs="Times New Roman"/>
          <w:color w:val="auto"/>
          <w:highlight w:val="none"/>
          <w:lang w:eastAsia="zh-CN"/>
        </w:rPr>
        <w:t>防洪治涝工程</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运营期不涉及生产、使用、储存</w:t>
      </w:r>
      <w:r>
        <w:rPr>
          <w:rFonts w:hint="default" w:ascii="Times New Roman" w:hAnsi="Times New Roman" w:cs="Times New Roman"/>
          <w:color w:val="auto"/>
          <w:highlight w:val="none"/>
        </w:rPr>
        <w:t>附录B</w:t>
      </w:r>
      <w:r>
        <w:rPr>
          <w:rFonts w:hint="default" w:ascii="Times New Roman" w:hAnsi="Times New Roman" w:cs="Times New Roman"/>
          <w:color w:val="auto"/>
          <w:highlight w:val="none"/>
          <w:lang w:eastAsia="zh-CN"/>
        </w:rPr>
        <w:t>中提到的危险物质</w:t>
      </w:r>
      <w:r>
        <w:rPr>
          <w:rFonts w:hint="default" w:ascii="Times New Roman" w:hAnsi="Times New Roman" w:cs="Times New Roman"/>
          <w:color w:val="auto"/>
          <w:highlight w:val="none"/>
        </w:rPr>
        <w:t>。本项目涉及的危险物质主要来自施工期燃料（汽油、柴油），属于易燃、易爆物质</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基于工程的性质及规模，项目施工期燃料（汽油、柴油）不储存，本项目危险物质数量与临界量的比值Q&lt;1。根据《建设项目环境风险评价技术导则》（HJ169-2018），本项目环境风险潜势综合等级为Ⅰ，确定本项目风险评价等级为简单分析。</w:t>
      </w:r>
    </w:p>
    <w:p w14:paraId="6CC91667">
      <w:pPr>
        <w:pStyle w:val="5"/>
        <w:bidi w:val="0"/>
        <w:ind w:left="452" w:leftChars="0" w:firstLine="0" w:firstLineChars="0"/>
        <w:rPr>
          <w:rFonts w:hint="default"/>
          <w:color w:val="auto"/>
          <w:highlight w:val="none"/>
        </w:rPr>
      </w:pPr>
      <w:r>
        <w:rPr>
          <w:rFonts w:hint="default"/>
          <w:color w:val="auto"/>
          <w:highlight w:val="none"/>
        </w:rPr>
        <w:t>评价范围</w:t>
      </w:r>
    </w:p>
    <w:p w14:paraId="4829C544">
      <w:pPr>
        <w:pStyle w:val="410"/>
        <w:ind w:firstLine="454"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根据各专项环境影响评价技术导则（HJ2.1、HJ2.2、HJ2.3、HJ2.4、HJ19、HJ169）的要求，结合工程特点和工程所在地的环境特征，项目评价范围为：</w:t>
      </w:r>
    </w:p>
    <w:p w14:paraId="7976C80A">
      <w:pPr>
        <w:pStyle w:val="41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（1）生态环境影响评价范围</w:t>
      </w:r>
    </w:p>
    <w:p w14:paraId="2B290724">
      <w:pPr>
        <w:pStyle w:val="410"/>
        <w:ind w:right="106" w:rightChars="47"/>
        <w:rPr>
          <w:rFonts w:hint="default" w:ascii="Times New Roman" w:hAnsi="Times New Roman" w:cs="Times New Roman"/>
          <w:color w:val="auto"/>
          <w:highlight w:val="none"/>
        </w:rPr>
      </w:pPr>
      <w:r>
        <w:rPr>
          <w:rFonts w:hint="default" w:ascii="Times New Roman" w:hAnsi="Times New Roman" w:cs="Times New Roman"/>
          <w:color w:val="auto"/>
          <w:highlight w:val="none"/>
        </w:rPr>
        <w:t>根据工程的直接和间接影响区域，结合项目对生态因子的影响方式、影响程度和生态因子之间的相互影响和相互依存的关系，工程生态评价范围为：</w:t>
      </w:r>
    </w:p>
    <w:p w14:paraId="79859119">
      <w:pPr>
        <w:pStyle w:val="410"/>
        <w:ind w:right="106" w:rightChars="47"/>
        <w:rPr>
          <w:rFonts w:hint="default" w:ascii="Times New Roman" w:hAnsi="Times New Roman" w:cs="Times New Roman"/>
          <w:color w:val="auto"/>
          <w:highlight w:val="none"/>
        </w:rPr>
      </w:pPr>
      <w:r>
        <w:rPr>
          <w:rFonts w:hint="default" w:ascii="Times New Roman" w:hAnsi="Times New Roman" w:cs="Times New Roman"/>
          <w:color w:val="auto"/>
          <w:highlight w:val="none"/>
        </w:rPr>
        <w:t>水生生态评价范围与地表水评价范围一致，水生生态评价范围为</w:t>
      </w:r>
      <w:r>
        <w:rPr>
          <w:rFonts w:hint="default" w:ascii="Times New Roman" w:hAnsi="Times New Roman" w:cs="Times New Roman"/>
          <w:color w:val="auto"/>
          <w:highlight w:val="none"/>
          <w:lang w:eastAsia="zh-CN"/>
        </w:rPr>
        <w:t>项目边界上游</w:t>
      </w:r>
      <w:r>
        <w:rPr>
          <w:rFonts w:hint="default" w:ascii="Times New Roman" w:hAnsi="Times New Roman" w:cs="Times New Roman"/>
          <w:color w:val="auto"/>
          <w:highlight w:val="none"/>
          <w:lang w:val="en-US" w:eastAsia="zh-CN"/>
        </w:rPr>
        <w:t>500m至项目边界下游1000m</w:t>
      </w:r>
      <w:r>
        <w:rPr>
          <w:rFonts w:hint="default" w:ascii="Times New Roman" w:hAnsi="Times New Roman" w:cs="Times New Roman"/>
          <w:color w:val="auto"/>
          <w:highlight w:val="none"/>
        </w:rPr>
        <w:t>。</w:t>
      </w:r>
    </w:p>
    <w:p w14:paraId="5837385E">
      <w:pPr>
        <w:pStyle w:val="410"/>
        <w:ind w:right="106" w:rightChars="47"/>
        <w:rPr>
          <w:rFonts w:hint="default" w:ascii="Times New Roman" w:hAnsi="Times New Roman" w:cs="Times New Roman"/>
          <w:color w:val="auto"/>
          <w:highlight w:val="none"/>
        </w:rPr>
      </w:pPr>
      <w:r>
        <w:rPr>
          <w:rFonts w:hint="default" w:ascii="Times New Roman" w:hAnsi="Times New Roman" w:cs="Times New Roman"/>
          <w:color w:val="auto"/>
          <w:highlight w:val="none"/>
        </w:rPr>
        <w:t>陆生生态范围为场界外300m区域。</w:t>
      </w:r>
    </w:p>
    <w:p w14:paraId="78D19490">
      <w:pPr>
        <w:pStyle w:val="41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（2）大气环境影响评价范围</w:t>
      </w:r>
    </w:p>
    <w:p w14:paraId="392340DA">
      <w:pPr>
        <w:pStyle w:val="410"/>
        <w:rPr>
          <w:color w:val="auto"/>
          <w:highlight w:val="none"/>
        </w:rPr>
      </w:pPr>
      <w:r>
        <w:rPr>
          <w:rFonts w:hint="default" w:ascii="Times New Roman" w:hAnsi="Times New Roman" w:cs="Times New Roman"/>
          <w:color w:val="auto"/>
          <w:highlight w:val="none"/>
          <w:lang w:eastAsia="zh-CN"/>
        </w:rPr>
        <w:t>本项目运营期无生产废气产生，施工作业产生少量施工扬尘，物料运输过程中产生少量运输扬尘。环境空气评价等级为三级，根据《环境影响评价技术导则》(HJ2.2-2018)，</w:t>
      </w:r>
      <w:r>
        <w:rPr>
          <w:rFonts w:hint="eastAsia" w:ascii="Times New Roman" w:hAnsi="Times New Roman" w:cs="Times New Roman"/>
          <w:color w:val="auto"/>
          <w:highlight w:val="none"/>
          <w:lang w:eastAsia="zh-CN"/>
        </w:rPr>
        <w:t>三级评价不需设置</w:t>
      </w:r>
      <w:r>
        <w:rPr>
          <w:rFonts w:hint="default" w:ascii="Times New Roman" w:hAnsi="Times New Roman" w:cs="Times New Roman"/>
          <w:color w:val="auto"/>
          <w:highlight w:val="none"/>
          <w:lang w:eastAsia="zh-CN"/>
        </w:rPr>
        <w:t>环境空气影响评价范围</w:t>
      </w:r>
      <w:r>
        <w:rPr>
          <w:rFonts w:hint="eastAsia" w:ascii="Times New Roman" w:hAnsi="Times New Roman" w:cs="Times New Roman"/>
          <w:color w:val="auto"/>
          <w:highlight w:val="none"/>
          <w:lang w:eastAsia="zh-CN"/>
        </w:rPr>
        <w:t>。运营期不设置环境空气影响评价范围，施工期沿线两侧外延伸</w:t>
      </w:r>
      <w:r>
        <w:rPr>
          <w:rFonts w:hint="eastAsia" w:ascii="Times New Roman" w:hAnsi="Times New Roman" w:cs="Times New Roman"/>
          <w:color w:val="auto"/>
          <w:highlight w:val="none"/>
          <w:lang w:val="en-US" w:eastAsia="zh-CN"/>
        </w:rPr>
        <w:t>200m的范围</w:t>
      </w:r>
      <w:r>
        <w:rPr>
          <w:rFonts w:hint="default" w:ascii="Times New Roman" w:hAnsi="Times New Roman" w:cs="Times New Roman"/>
          <w:color w:val="auto"/>
          <w:highlight w:val="none"/>
          <w:lang w:eastAsia="zh-CN"/>
        </w:rPr>
        <w:t>。</w:t>
      </w:r>
    </w:p>
    <w:p w14:paraId="0D5AA5A2">
      <w:pPr>
        <w:pStyle w:val="41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（3）地表水环境影响评价范围</w:t>
      </w:r>
    </w:p>
    <w:p w14:paraId="64FAA186">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①水污染影响评价范围</w:t>
      </w:r>
    </w:p>
    <w:p w14:paraId="632F2DBC">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eastAsia" w:ascii="Times New Roman" w:hAnsi="Times New Roman" w:cs="Times New Roman"/>
          <w:color w:val="auto"/>
          <w:highlight w:val="none"/>
          <w:lang w:val="en-US" w:eastAsia="zh-CN"/>
        </w:rPr>
        <w:t>运营期无废水产生，</w:t>
      </w:r>
      <w:r>
        <w:rPr>
          <w:rFonts w:hint="default" w:ascii="Times New Roman" w:hAnsi="Times New Roman" w:cs="Times New Roman"/>
          <w:color w:val="auto"/>
          <w:highlight w:val="none"/>
        </w:rPr>
        <w:t>不设置污水排放口，根据《环境影响评价技术导则地表水环境》（HJ2.3-2018）</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项目地表水评价等级为三级B，</w:t>
      </w:r>
      <w:r>
        <w:rPr>
          <w:rFonts w:hint="eastAsia"/>
          <w:color w:val="auto"/>
          <w:highlight w:val="none"/>
          <w:lang w:val="en-US" w:eastAsia="zh-CN"/>
        </w:rPr>
        <w:t>不设置地表水污染影响评价范围</w:t>
      </w:r>
      <w:r>
        <w:rPr>
          <w:rFonts w:hint="default" w:ascii="Times New Roman" w:hAnsi="Times New Roman" w:cs="Times New Roman"/>
          <w:color w:val="auto"/>
          <w:highlight w:val="none"/>
        </w:rPr>
        <w:t>。</w:t>
      </w:r>
    </w:p>
    <w:p w14:paraId="575224C5">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②水文要素影响评价范围</w:t>
      </w:r>
    </w:p>
    <w:p w14:paraId="3CC93F1F">
      <w:pPr>
        <w:pStyle w:val="410"/>
        <w:rPr>
          <w:rFonts w:hint="default" w:ascii="Times New Roman" w:hAnsi="Times New Roman" w:cs="Times New Roman"/>
          <w:color w:val="auto"/>
          <w:spacing w:val="-10"/>
          <w:highlight w:val="none"/>
        </w:rPr>
      </w:pPr>
      <w:r>
        <w:rPr>
          <w:rFonts w:hint="default" w:ascii="Times New Roman" w:hAnsi="Times New Roman" w:cs="Times New Roman"/>
          <w:color w:val="auto"/>
          <w:spacing w:val="-10"/>
          <w:highlight w:val="none"/>
        </w:rPr>
        <w:t>拟建项目为</w:t>
      </w:r>
      <w:r>
        <w:rPr>
          <w:rFonts w:hint="default" w:ascii="Times New Roman" w:hAnsi="Times New Roman" w:cs="Times New Roman"/>
          <w:color w:val="auto"/>
          <w:spacing w:val="-10"/>
          <w:highlight w:val="none"/>
          <w:lang w:eastAsia="zh-CN"/>
        </w:rPr>
        <w:t>防洪治涝工程</w:t>
      </w:r>
      <w:r>
        <w:rPr>
          <w:rFonts w:hint="default" w:ascii="Times New Roman" w:hAnsi="Times New Roman" w:cs="Times New Roman"/>
          <w:color w:val="auto"/>
          <w:spacing w:val="-10"/>
          <w:highlight w:val="none"/>
        </w:rPr>
        <w:t>，对所在区域水文要素的影响主要为径流、流速和水深等。</w:t>
      </w:r>
    </w:p>
    <w:p w14:paraId="3EC520AF">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地表水环境》（HJ2.3-2018）中“5.3.3水文要素影响型建设项目评价范围，根据评价等级、水文要素影响类别、影响及恢复程度确定，评价范围应符合以下要求”。“b）径流要素影响评价范围为水体天然性状发生变化的水域，以及下游增减水影响水域”；“c）地表水域影响评价范围为相对建设项目建设前日均或潮均流速及水深</w:t>
      </w:r>
      <w:r>
        <w:rPr>
          <w:rFonts w:hint="default" w:ascii="Times New Roman" w:hAnsi="Times New Roman" w:cs="Times New Roman"/>
          <w:color w:val="auto"/>
          <w:highlight w:val="none"/>
          <w:lang w:eastAsia="zh-CN"/>
        </w:rPr>
        <w:t>或</w:t>
      </w:r>
      <w:r>
        <w:rPr>
          <w:rFonts w:hint="default" w:ascii="Times New Roman" w:hAnsi="Times New Roman" w:cs="Times New Roman"/>
          <w:color w:val="auto"/>
          <w:highlight w:val="none"/>
        </w:rPr>
        <w:t>高（累计频率5%）低（累积频率90%）水位（潮位）变化幅度超过±5%的水域”。</w:t>
      </w:r>
    </w:p>
    <w:p w14:paraId="5EC0CBF9">
      <w:pPr>
        <w:pStyle w:val="41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考虑本项目实际情况，</w:t>
      </w:r>
      <w:r>
        <w:rPr>
          <w:rFonts w:hint="default" w:ascii="Times New Roman" w:hAnsi="Times New Roman" w:cs="Times New Roman"/>
          <w:color w:val="auto"/>
          <w:highlight w:val="none"/>
        </w:rPr>
        <w:t>地表</w:t>
      </w:r>
      <w:r>
        <w:rPr>
          <w:rFonts w:hint="eastAsia"/>
          <w:color w:val="auto"/>
          <w:highlight w:val="none"/>
          <w:lang w:val="en-US" w:eastAsia="zh-CN"/>
        </w:rPr>
        <w:t>水</w:t>
      </w:r>
      <w:r>
        <w:rPr>
          <w:rFonts w:hint="default" w:ascii="Times New Roman" w:hAnsi="Times New Roman" w:cs="Times New Roman"/>
          <w:color w:val="auto"/>
          <w:highlight w:val="none"/>
          <w:lang w:eastAsia="zh-CN"/>
        </w:rPr>
        <w:t>环境</w:t>
      </w:r>
      <w:r>
        <w:rPr>
          <w:rFonts w:hint="default" w:ascii="Times New Roman" w:hAnsi="Times New Roman" w:cs="Times New Roman"/>
          <w:color w:val="auto"/>
          <w:highlight w:val="none"/>
        </w:rPr>
        <w:t>评价范围</w:t>
      </w:r>
      <w:r>
        <w:rPr>
          <w:rFonts w:hint="eastAsia" w:ascii="Times New Roman" w:hAnsi="Times New Roman" w:cs="Times New Roman"/>
          <w:color w:val="auto"/>
          <w:highlight w:val="none"/>
          <w:lang w:val="en-US" w:eastAsia="zh-CN"/>
        </w:rPr>
        <w:t>确定</w:t>
      </w:r>
      <w:r>
        <w:rPr>
          <w:rFonts w:hint="default" w:ascii="Times New Roman" w:hAnsi="Times New Roman" w:cs="Times New Roman"/>
          <w:color w:val="auto"/>
          <w:highlight w:val="none"/>
        </w:rPr>
        <w:t>为</w:t>
      </w:r>
      <w:r>
        <w:rPr>
          <w:rFonts w:hint="eastAsia" w:ascii="Times New Roman" w:hAnsi="Times New Roman" w:cs="Times New Roman"/>
          <w:color w:val="auto"/>
          <w:highlight w:val="none"/>
          <w:lang w:eastAsia="zh-CN"/>
        </w:rPr>
        <w:t>淡水湾江工程段</w:t>
      </w:r>
      <w:r>
        <w:rPr>
          <w:rFonts w:hint="default" w:ascii="Times New Roman" w:hAnsi="Times New Roman" w:cs="Times New Roman"/>
          <w:color w:val="auto"/>
          <w:highlight w:val="none"/>
        </w:rPr>
        <w:t>上游</w:t>
      </w:r>
      <w:r>
        <w:rPr>
          <w:rFonts w:hint="default" w:ascii="Times New Roman" w:hAnsi="Times New Roman" w:cs="Times New Roman"/>
          <w:color w:val="auto"/>
          <w:highlight w:val="none"/>
          <w:lang w:val="en-US" w:eastAsia="zh-CN"/>
        </w:rPr>
        <w:t>500m</w:t>
      </w:r>
      <w:r>
        <w:rPr>
          <w:rFonts w:hint="default" w:ascii="Times New Roman" w:hAnsi="Times New Roman" w:cs="Times New Roman"/>
          <w:color w:val="auto"/>
          <w:highlight w:val="none"/>
        </w:rPr>
        <w:t>处至边界下游</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km河段。</w:t>
      </w:r>
    </w:p>
    <w:p w14:paraId="63E6C9FD">
      <w:pPr>
        <w:pStyle w:val="410"/>
        <w:numPr>
          <w:ilvl w:val="0"/>
          <w:numId w:val="23"/>
        </w:numPr>
        <w:ind w:left="0" w:leftChars="0" w:firstLine="454" w:firstLineChars="0"/>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t>地下水环境影响评价范围</w:t>
      </w:r>
    </w:p>
    <w:p w14:paraId="60577461">
      <w:pPr>
        <w:pStyle w:val="41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lang w:val="en-US" w:eastAsia="zh-CN"/>
        </w:rPr>
        <w:t>根据《环境影响评价技术导则 地下水环境》（</w:t>
      </w:r>
      <w:r>
        <w:rPr>
          <w:rFonts w:hint="default" w:ascii="Times New Roman" w:hAnsi="Times New Roman" w:eastAsia="宋体" w:cs="Times New Roman"/>
          <w:color w:val="auto"/>
          <w:highlight w:val="none"/>
          <w:lang w:val="en-US" w:eastAsia="zh-CN"/>
        </w:rPr>
        <w:t>HJ610-2016</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8.2.2.</w:t>
      </w:r>
      <w:r>
        <w:rPr>
          <w:rFonts w:hint="eastAsia" w:ascii="Times New Roman" w:cs="Times New Roman"/>
          <w:color w:val="auto"/>
          <w:highlight w:val="none"/>
          <w:lang w:val="en-US" w:eastAsia="zh-CN"/>
        </w:rPr>
        <w:t>2</w:t>
      </w:r>
      <w:r>
        <w:rPr>
          <w:rFonts w:hint="default" w:ascii="Times New Roman" w:hAnsi="Times New Roman" w:eastAsia="宋体" w:cs="Times New Roman"/>
          <w:color w:val="auto"/>
          <w:highlight w:val="none"/>
          <w:lang w:val="en-US" w:eastAsia="zh-CN"/>
        </w:rPr>
        <w:t xml:space="preserve"> </w:t>
      </w:r>
      <w:r>
        <w:rPr>
          <w:rFonts w:hint="eastAsia" w:ascii="Times New Roman" w:cs="Times New Roman"/>
          <w:color w:val="auto"/>
          <w:highlight w:val="none"/>
          <w:u w:val="single"/>
          <w:lang w:val="en-US" w:eastAsia="zh-CN"/>
        </w:rPr>
        <w:t>线性工程应以工程边界两侧向外延伸200m作为调查评价范围，确定本项目地下水评价范围为项目工程边界外延伸200m范围</w:t>
      </w:r>
      <w:r>
        <w:rPr>
          <w:rFonts w:hint="default" w:ascii="Times New Roman" w:hAnsi="Times New Roman" w:eastAsia="宋体" w:cs="Times New Roman"/>
          <w:color w:val="auto"/>
          <w:highlight w:val="none"/>
          <w:u w:val="single"/>
          <w:lang w:val="en-US" w:eastAsia="zh-CN"/>
        </w:rPr>
        <w:t>。</w:t>
      </w:r>
    </w:p>
    <w:p w14:paraId="4C917E61">
      <w:pPr>
        <w:pStyle w:val="410"/>
        <w:numPr>
          <w:ilvl w:val="0"/>
          <w:numId w:val="23"/>
        </w:numPr>
        <w:ind w:left="0" w:leftChars="0" w:firstLine="454" w:firstLineChars="0"/>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声环境影响评价范围</w:t>
      </w:r>
    </w:p>
    <w:p w14:paraId="11F0BC23">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施工噪声以项目为中心，施工用地边界外200m范围；运营期</w:t>
      </w:r>
      <w:r>
        <w:rPr>
          <w:rFonts w:hint="eastAsia" w:ascii="Times New Roman" w:hAnsi="Times New Roman" w:cs="Times New Roman"/>
          <w:color w:val="auto"/>
          <w:highlight w:val="none"/>
          <w:lang w:val="en-US" w:eastAsia="zh-CN"/>
        </w:rPr>
        <w:t>声环境评价范围为改造河段及工程边界线外200m范围</w:t>
      </w:r>
      <w:r>
        <w:rPr>
          <w:rFonts w:hint="default" w:ascii="Times New Roman" w:hAnsi="Times New Roman" w:cs="Times New Roman"/>
          <w:color w:val="auto"/>
          <w:highlight w:val="none"/>
        </w:rPr>
        <w:t>。</w:t>
      </w:r>
    </w:p>
    <w:p w14:paraId="382D6081">
      <w:pPr>
        <w:pStyle w:val="410"/>
        <w:numPr>
          <w:ilvl w:val="0"/>
          <w:numId w:val="23"/>
        </w:numPr>
        <w:ind w:left="0" w:leftChars="0" w:firstLine="454" w:firstLineChars="0"/>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环境风险评价范围</w:t>
      </w:r>
      <w:r>
        <w:rPr>
          <w:rFonts w:hint="eastAsia" w:ascii="Times New Roman" w:cs="Times New Roman"/>
          <w:b/>
          <w:bCs/>
          <w:color w:val="auto"/>
          <w:highlight w:val="none"/>
          <w:lang w:val="en-US" w:eastAsia="zh-CN"/>
        </w:rPr>
        <w:t>。</w:t>
      </w:r>
    </w:p>
    <w:p w14:paraId="721CB187">
      <w:pPr>
        <w:pStyle w:val="410"/>
        <w:rPr>
          <w:rFonts w:hint="default" w:ascii="Times New Roman" w:hAnsi="Times New Roman" w:eastAsia="宋体" w:cs="Times New Roman"/>
          <w:color w:val="auto"/>
          <w:highlight w:val="none"/>
          <w:u w:val="none"/>
          <w:lang w:eastAsia="zh-CN"/>
        </w:rPr>
      </w:pPr>
      <w:r>
        <w:rPr>
          <w:rFonts w:hint="default" w:ascii="Times New Roman" w:hAnsi="Times New Roman" w:cs="Times New Roman"/>
          <w:color w:val="auto"/>
          <w:highlight w:val="none"/>
          <w:u w:val="none"/>
          <w:lang w:eastAsia="zh-CN"/>
        </w:rPr>
        <w:t>环境风险简单分析，不设置评价范围。</w:t>
      </w:r>
    </w:p>
    <w:p w14:paraId="47BC9B1B">
      <w:pPr>
        <w:pStyle w:val="410"/>
        <w:numPr>
          <w:ilvl w:val="0"/>
          <w:numId w:val="23"/>
        </w:numPr>
        <w:ind w:left="0" w:leftChars="0" w:firstLine="454"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本项目评价范围汇总</w:t>
      </w:r>
    </w:p>
    <w:p w14:paraId="3429D58C">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r>
        <w:rPr>
          <w:rFonts w:hint="default"/>
          <w:color w:val="auto"/>
          <w:highlight w:val="none"/>
        </w:rPr>
        <w:t>本项目评价范围一览表</w:t>
      </w:r>
    </w:p>
    <w:tbl>
      <w:tblPr>
        <w:tblStyle w:val="8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20"/>
        <w:gridCol w:w="1899"/>
        <w:gridCol w:w="4347"/>
      </w:tblGrid>
      <w:tr w14:paraId="3A587B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20" w:type="dxa"/>
            <w:noWrap w:val="0"/>
            <w:vAlign w:val="center"/>
          </w:tcPr>
          <w:p w14:paraId="563C6F0C">
            <w:pPr>
              <w:pStyle w:val="698"/>
              <w:rPr>
                <w:rFonts w:hint="default" w:ascii="Times New Roman" w:hAnsi="Times New Roman" w:cs="Times New Roman"/>
                <w:b/>
                <w:bCs/>
                <w:color w:val="auto"/>
                <w:highlight w:val="none"/>
                <w:u w:val="none"/>
              </w:rPr>
            </w:pPr>
            <w:r>
              <w:rPr>
                <w:rFonts w:hint="default" w:ascii="Times New Roman" w:hAnsi="Times New Roman" w:cs="Times New Roman"/>
                <w:b/>
                <w:bCs/>
                <w:color w:val="auto"/>
                <w:highlight w:val="none"/>
                <w:u w:val="none"/>
              </w:rPr>
              <w:t>要素</w:t>
            </w:r>
          </w:p>
        </w:tc>
        <w:tc>
          <w:tcPr>
            <w:tcW w:w="6246" w:type="dxa"/>
            <w:gridSpan w:val="2"/>
            <w:noWrap w:val="0"/>
            <w:vAlign w:val="center"/>
          </w:tcPr>
          <w:p w14:paraId="1B518DBD">
            <w:pPr>
              <w:pStyle w:val="698"/>
              <w:rPr>
                <w:rFonts w:hint="default" w:ascii="Times New Roman" w:hAnsi="Times New Roman" w:cs="Times New Roman"/>
                <w:b/>
                <w:bCs/>
                <w:color w:val="auto"/>
                <w:highlight w:val="none"/>
                <w:u w:val="none"/>
              </w:rPr>
            </w:pPr>
            <w:r>
              <w:rPr>
                <w:rFonts w:hint="default" w:ascii="Times New Roman" w:hAnsi="Times New Roman" w:cs="Times New Roman"/>
                <w:b/>
                <w:bCs/>
                <w:color w:val="auto"/>
                <w:highlight w:val="none"/>
                <w:u w:val="none"/>
              </w:rPr>
              <w:t>评价范围</w:t>
            </w:r>
          </w:p>
        </w:tc>
      </w:tr>
      <w:tr w14:paraId="650C76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20" w:type="dxa"/>
            <w:vMerge w:val="restart"/>
            <w:noWrap w:val="0"/>
            <w:vAlign w:val="center"/>
          </w:tcPr>
          <w:p w14:paraId="51489246">
            <w:pPr>
              <w:pStyle w:val="698"/>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生态环境</w:t>
            </w:r>
          </w:p>
        </w:tc>
        <w:tc>
          <w:tcPr>
            <w:tcW w:w="1899" w:type="dxa"/>
            <w:noWrap w:val="0"/>
            <w:vAlign w:val="center"/>
          </w:tcPr>
          <w:p w14:paraId="751FB042">
            <w:pPr>
              <w:pStyle w:val="698"/>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陆域生态</w:t>
            </w:r>
          </w:p>
        </w:tc>
        <w:tc>
          <w:tcPr>
            <w:tcW w:w="4347" w:type="dxa"/>
            <w:noWrap w:val="0"/>
            <w:vAlign w:val="center"/>
          </w:tcPr>
          <w:p w14:paraId="0CDB8155">
            <w:pPr>
              <w:pStyle w:val="698"/>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场界外300m区域</w:t>
            </w:r>
          </w:p>
        </w:tc>
      </w:tr>
      <w:tr w14:paraId="25B872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20" w:type="dxa"/>
            <w:vMerge w:val="continue"/>
            <w:noWrap w:val="0"/>
            <w:vAlign w:val="center"/>
          </w:tcPr>
          <w:p w14:paraId="167F04D0">
            <w:pPr>
              <w:pStyle w:val="698"/>
              <w:rPr>
                <w:rFonts w:hint="default" w:ascii="Times New Roman" w:hAnsi="Times New Roman" w:cs="Times New Roman"/>
                <w:color w:val="auto"/>
                <w:highlight w:val="none"/>
                <w:u w:val="none"/>
              </w:rPr>
            </w:pPr>
          </w:p>
        </w:tc>
        <w:tc>
          <w:tcPr>
            <w:tcW w:w="1899" w:type="dxa"/>
            <w:noWrap w:val="0"/>
            <w:vAlign w:val="center"/>
          </w:tcPr>
          <w:p w14:paraId="29656735">
            <w:pPr>
              <w:pStyle w:val="698"/>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水生生态</w:t>
            </w:r>
          </w:p>
        </w:tc>
        <w:tc>
          <w:tcPr>
            <w:tcW w:w="4347" w:type="dxa"/>
            <w:noWrap w:val="0"/>
            <w:vAlign w:val="center"/>
          </w:tcPr>
          <w:p w14:paraId="3B39494F">
            <w:pPr>
              <w:pStyle w:val="698"/>
              <w:rPr>
                <w:rFonts w:hint="eastAsia" w:ascii="Times New Roman" w:hAnsi="Times New Roman" w:eastAsia="宋体" w:cs="Times New Roman"/>
                <w:color w:val="auto"/>
                <w:highlight w:val="none"/>
                <w:u w:val="none"/>
                <w:lang w:val="en-US" w:eastAsia="zh-CN"/>
              </w:rPr>
            </w:pPr>
            <w:r>
              <w:rPr>
                <w:rFonts w:hint="eastAsia" w:ascii="Times New Roman" w:cs="Times New Roman"/>
                <w:color w:val="auto"/>
                <w:highlight w:val="none"/>
                <w:u w:val="single"/>
                <w:lang w:val="en-US" w:eastAsia="zh-CN"/>
              </w:rPr>
              <w:t>涉水工程施工区域</w:t>
            </w:r>
          </w:p>
        </w:tc>
      </w:tr>
      <w:tr w14:paraId="0B3642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20" w:type="dxa"/>
            <w:noWrap w:val="0"/>
            <w:vAlign w:val="center"/>
          </w:tcPr>
          <w:p w14:paraId="07E8449F">
            <w:pPr>
              <w:pStyle w:val="698"/>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大气环境</w:t>
            </w:r>
          </w:p>
        </w:tc>
        <w:tc>
          <w:tcPr>
            <w:tcW w:w="6246" w:type="dxa"/>
            <w:gridSpan w:val="2"/>
            <w:noWrap w:val="0"/>
            <w:vAlign w:val="center"/>
          </w:tcPr>
          <w:p w14:paraId="044A8E69">
            <w:pPr>
              <w:pStyle w:val="698"/>
              <w:jc w:val="center"/>
              <w:rPr>
                <w:rFonts w:hint="default" w:ascii="Times New Roman" w:hAnsi="Times New Roman" w:eastAsia="宋体" w:cs="Times New Roman"/>
                <w:color w:val="auto"/>
                <w:highlight w:val="none"/>
                <w:u w:val="none"/>
                <w:lang w:eastAsia="zh-CN"/>
              </w:rPr>
            </w:pPr>
            <w:r>
              <w:rPr>
                <w:rFonts w:hint="default" w:ascii="Times New Roman" w:hAnsi="Times New Roman" w:cs="Times New Roman"/>
                <w:color w:val="auto"/>
                <w:highlight w:val="none"/>
                <w:u w:val="none"/>
                <w:lang w:eastAsia="zh-CN"/>
              </w:rPr>
              <w:t>施工期沿线两侧向外延伸 200m 的范围</w:t>
            </w:r>
            <w:r>
              <w:rPr>
                <w:rFonts w:hint="eastAsia" w:ascii="Times New Roman" w:hAnsi="Times New Roman" w:cs="Times New Roman"/>
                <w:color w:val="auto"/>
                <w:highlight w:val="none"/>
                <w:u w:val="none"/>
                <w:lang w:eastAsia="zh-CN"/>
              </w:rPr>
              <w:t>，</w:t>
            </w:r>
            <w:r>
              <w:rPr>
                <w:rFonts w:hint="eastAsia" w:ascii="Times New Roman" w:hAnsi="Times New Roman" w:cs="Times New Roman"/>
                <w:color w:val="auto"/>
                <w:highlight w:val="none"/>
                <w:u w:val="none"/>
                <w:lang w:val="en-US" w:eastAsia="zh-CN"/>
              </w:rPr>
              <w:t>运营期</w:t>
            </w:r>
            <w:r>
              <w:rPr>
                <w:rFonts w:hint="default" w:ascii="Times New Roman" w:hAnsi="Times New Roman" w:cs="Times New Roman"/>
                <w:color w:val="auto"/>
                <w:highlight w:val="none"/>
                <w:u w:val="none"/>
                <w:lang w:eastAsia="zh-CN"/>
              </w:rPr>
              <w:t>不设置评价范围</w:t>
            </w:r>
          </w:p>
        </w:tc>
      </w:tr>
      <w:tr w14:paraId="2D7544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20" w:type="dxa"/>
            <w:noWrap w:val="0"/>
            <w:vAlign w:val="center"/>
          </w:tcPr>
          <w:p w14:paraId="1F591FC7">
            <w:pPr>
              <w:pStyle w:val="698"/>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地表水环境</w:t>
            </w:r>
          </w:p>
        </w:tc>
        <w:tc>
          <w:tcPr>
            <w:tcW w:w="6246" w:type="dxa"/>
            <w:gridSpan w:val="2"/>
            <w:noWrap w:val="0"/>
            <w:vAlign w:val="center"/>
          </w:tcPr>
          <w:p w14:paraId="55A5BCEB">
            <w:pPr>
              <w:pStyle w:val="698"/>
              <w:rPr>
                <w:rFonts w:hint="default" w:ascii="Times New Roman" w:hAnsi="Times New Roman" w:cs="Times New Roman"/>
                <w:color w:val="auto"/>
                <w:highlight w:val="none"/>
                <w:u w:val="none"/>
              </w:rPr>
            </w:pPr>
            <w:r>
              <w:rPr>
                <w:rFonts w:hint="eastAsia" w:ascii="Times New Roman" w:cs="Times New Roman"/>
                <w:color w:val="auto"/>
                <w:highlight w:val="none"/>
                <w:u w:val="none"/>
                <w:lang w:eastAsia="zh-CN"/>
              </w:rPr>
              <w:t>淡水湾江工程段</w:t>
            </w:r>
            <w:r>
              <w:rPr>
                <w:rFonts w:hint="default" w:ascii="Times New Roman" w:hAnsi="Times New Roman" w:cs="Times New Roman"/>
                <w:color w:val="auto"/>
                <w:highlight w:val="none"/>
                <w:u w:val="none"/>
                <w:lang w:eastAsia="zh-CN"/>
              </w:rPr>
              <w:t>上游</w:t>
            </w:r>
            <w:r>
              <w:rPr>
                <w:rFonts w:hint="default" w:ascii="Times New Roman" w:hAnsi="Times New Roman" w:cs="Times New Roman"/>
                <w:color w:val="auto"/>
                <w:highlight w:val="none"/>
                <w:u w:val="none"/>
                <w:lang w:val="en-US" w:eastAsia="zh-CN"/>
              </w:rPr>
              <w:t>500m至下游</w:t>
            </w:r>
            <w:r>
              <w:rPr>
                <w:rFonts w:hint="eastAsia" w:ascii="Times New Roman" w:cs="Times New Roman"/>
                <w:color w:val="auto"/>
                <w:highlight w:val="none"/>
                <w:u w:val="none"/>
                <w:lang w:val="en-US" w:eastAsia="zh-CN"/>
              </w:rPr>
              <w:t>1.0k</w:t>
            </w:r>
            <w:r>
              <w:rPr>
                <w:rFonts w:hint="default" w:ascii="Times New Roman" w:hAnsi="Times New Roman" w:cs="Times New Roman"/>
                <w:color w:val="auto"/>
                <w:highlight w:val="none"/>
                <w:u w:val="none"/>
                <w:lang w:val="en-US" w:eastAsia="zh-CN"/>
              </w:rPr>
              <w:t>m河段</w:t>
            </w:r>
          </w:p>
        </w:tc>
      </w:tr>
      <w:tr w14:paraId="017A51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20" w:type="dxa"/>
            <w:noWrap w:val="0"/>
            <w:vAlign w:val="center"/>
          </w:tcPr>
          <w:p w14:paraId="17F9354C">
            <w:pPr>
              <w:pStyle w:val="698"/>
              <w:rPr>
                <w:rFonts w:hint="default" w:ascii="Times New Roman" w:hAnsi="Times New Roman" w:eastAsia="宋体" w:cs="Times New Roman"/>
                <w:color w:val="auto"/>
                <w:highlight w:val="none"/>
                <w:u w:val="none"/>
                <w:lang w:eastAsia="zh-CN"/>
              </w:rPr>
            </w:pPr>
            <w:r>
              <w:rPr>
                <w:rFonts w:hint="default" w:ascii="Times New Roman" w:hAnsi="Times New Roman" w:cs="Times New Roman"/>
                <w:color w:val="auto"/>
                <w:highlight w:val="none"/>
                <w:u w:val="none"/>
                <w:lang w:eastAsia="zh-CN"/>
              </w:rPr>
              <w:t>地下水环境</w:t>
            </w:r>
          </w:p>
        </w:tc>
        <w:tc>
          <w:tcPr>
            <w:tcW w:w="6246" w:type="dxa"/>
            <w:gridSpan w:val="2"/>
            <w:noWrap w:val="0"/>
            <w:vAlign w:val="center"/>
          </w:tcPr>
          <w:p w14:paraId="76639897">
            <w:pPr>
              <w:pStyle w:val="698"/>
              <w:rPr>
                <w:rFonts w:hint="default" w:ascii="Times New Roman" w:hAnsi="Times New Roman" w:cs="Times New Roman"/>
                <w:color w:val="auto"/>
                <w:highlight w:val="none"/>
                <w:u w:val="none"/>
                <w:lang w:val="en-US" w:eastAsia="zh-CN"/>
              </w:rPr>
            </w:pPr>
            <w:r>
              <w:rPr>
                <w:rFonts w:hint="eastAsia" w:ascii="Times New Roman" w:cs="Times New Roman"/>
                <w:color w:val="auto"/>
                <w:highlight w:val="none"/>
                <w:u w:val="single"/>
                <w:lang w:val="en-US" w:eastAsia="zh-CN"/>
              </w:rPr>
              <w:t>工程边界外延200m范围</w:t>
            </w:r>
          </w:p>
        </w:tc>
      </w:tr>
      <w:tr w14:paraId="0440D5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20" w:type="dxa"/>
            <w:noWrap w:val="0"/>
            <w:vAlign w:val="center"/>
          </w:tcPr>
          <w:p w14:paraId="25E8FB14">
            <w:pPr>
              <w:pStyle w:val="698"/>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声环境</w:t>
            </w:r>
          </w:p>
        </w:tc>
        <w:tc>
          <w:tcPr>
            <w:tcW w:w="6246" w:type="dxa"/>
            <w:gridSpan w:val="2"/>
            <w:noWrap w:val="0"/>
            <w:vAlign w:val="center"/>
          </w:tcPr>
          <w:p w14:paraId="1AB43D86">
            <w:pPr>
              <w:pStyle w:val="698"/>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改造河段及工程边界线外200m范围</w:t>
            </w:r>
          </w:p>
        </w:tc>
      </w:tr>
      <w:tr w14:paraId="73FDFB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20" w:type="dxa"/>
            <w:noWrap w:val="0"/>
            <w:vAlign w:val="center"/>
          </w:tcPr>
          <w:p w14:paraId="0A47B135">
            <w:pPr>
              <w:pStyle w:val="698"/>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环境风险</w:t>
            </w:r>
          </w:p>
        </w:tc>
        <w:tc>
          <w:tcPr>
            <w:tcW w:w="6246" w:type="dxa"/>
            <w:gridSpan w:val="2"/>
            <w:noWrap w:val="0"/>
            <w:vAlign w:val="center"/>
          </w:tcPr>
          <w:p w14:paraId="4D45E6BB">
            <w:pPr>
              <w:pStyle w:val="698"/>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eastAsia="zh-CN"/>
              </w:rPr>
              <w:t>不设置评价范围</w:t>
            </w:r>
          </w:p>
        </w:tc>
      </w:tr>
    </w:tbl>
    <w:p w14:paraId="548F9E1A">
      <w:pPr>
        <w:pStyle w:val="410"/>
        <w:rPr>
          <w:rFonts w:hint="default" w:ascii="Times New Roman" w:hAnsi="Times New Roman" w:cs="Times New Roman"/>
          <w:color w:val="auto"/>
          <w:szCs w:val="18"/>
          <w:highlight w:val="none"/>
        </w:rPr>
        <w:sectPr>
          <w:headerReference r:id="rId5" w:type="default"/>
          <w:footerReference r:id="rId7" w:type="default"/>
          <w:headerReference r:id="rId6" w:type="even"/>
          <w:footerReference r:id="rId8" w:type="even"/>
          <w:pgSz w:w="11906" w:h="16838"/>
          <w:pgMar w:top="1418" w:right="1514" w:bottom="1418" w:left="1780" w:header="737" w:footer="992" w:gutter="0"/>
          <w:pgNumType w:start="1"/>
          <w:cols w:space="720" w:num="1"/>
          <w:docGrid w:type="linesAndChars" w:linePitch="466" w:charSpace="-2738"/>
        </w:sectPr>
      </w:pPr>
    </w:p>
    <w:p w14:paraId="7206B16B">
      <w:pPr>
        <w:pStyle w:val="4"/>
        <w:bidi w:val="0"/>
        <w:ind w:left="678" w:leftChars="0" w:firstLine="0" w:firstLineChars="0"/>
        <w:rPr>
          <w:rFonts w:hint="default"/>
          <w:color w:val="auto"/>
          <w:highlight w:val="none"/>
        </w:rPr>
      </w:pPr>
      <w:bookmarkStart w:id="27" w:name="_Toc21836"/>
      <w:bookmarkStart w:id="28" w:name="_Toc195236104"/>
      <w:r>
        <w:rPr>
          <w:rFonts w:hint="default"/>
          <w:color w:val="auto"/>
          <w:highlight w:val="none"/>
        </w:rPr>
        <w:t>主要环境保护目标</w:t>
      </w:r>
      <w:bookmarkEnd w:id="27"/>
      <w:bookmarkEnd w:id="28"/>
      <w:r>
        <w:rPr>
          <w:rFonts w:hint="eastAsia"/>
          <w:color w:val="auto"/>
          <w:highlight w:val="none"/>
          <w:lang w:val="en-US" w:eastAsia="zh-CN"/>
        </w:rPr>
        <w:t xml:space="preserve">  </w:t>
      </w:r>
    </w:p>
    <w:p w14:paraId="2A4C2A0A">
      <w:pPr>
        <w:pStyle w:val="410"/>
        <w:numPr>
          <w:ilvl w:val="0"/>
          <w:numId w:val="24"/>
        </w:numP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声环境保护目标</w:t>
      </w:r>
    </w:p>
    <w:p w14:paraId="1B74344B">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项目周边200m范围内存在声环境目标</w:t>
      </w:r>
      <w:r>
        <w:rPr>
          <w:rFonts w:hint="eastAsia" w:ascii="Times New Roman" w:cs="Times New Roman"/>
          <w:color w:val="auto"/>
          <w:highlight w:val="none"/>
          <w:lang w:val="en-US" w:eastAsia="zh-CN"/>
        </w:rPr>
        <w:t>3</w:t>
      </w:r>
      <w:r>
        <w:rPr>
          <w:rFonts w:hint="default" w:ascii="Times New Roman" w:hAnsi="Times New Roman" w:cs="Times New Roman"/>
          <w:color w:val="auto"/>
          <w:highlight w:val="none"/>
        </w:rPr>
        <w:t>处，</w:t>
      </w:r>
      <w:r>
        <w:rPr>
          <w:rFonts w:hint="default" w:ascii="Times New Roman" w:hAnsi="Times New Roman" w:cs="Times New Roman"/>
          <w:color w:val="auto"/>
          <w:highlight w:val="none"/>
          <w:lang w:eastAsia="zh-CN"/>
        </w:rPr>
        <w:t>最近声环境保护目标</w:t>
      </w:r>
      <w:r>
        <w:rPr>
          <w:rFonts w:hint="default" w:ascii="Times New Roman" w:hAnsi="Times New Roman" w:cs="Times New Roman"/>
          <w:color w:val="auto"/>
          <w:highlight w:val="none"/>
        </w:rPr>
        <w:t>为位于项目</w:t>
      </w:r>
      <w:r>
        <w:rPr>
          <w:rFonts w:hint="default" w:ascii="Times New Roman" w:hAnsi="Times New Roman" w:cs="Times New Roman"/>
          <w:color w:val="auto"/>
          <w:highlight w:val="none"/>
          <w:lang w:eastAsia="zh-CN"/>
        </w:rPr>
        <w:t>锦绣大道排水段西侧相邻的大岭脚村</w:t>
      </w:r>
      <w:r>
        <w:rPr>
          <w:rFonts w:hint="default" w:ascii="Times New Roman" w:hAnsi="Times New Roman" w:cs="Times New Roman"/>
          <w:color w:val="auto"/>
          <w:highlight w:val="none"/>
        </w:rPr>
        <w:t>。</w:t>
      </w:r>
    </w:p>
    <w:p w14:paraId="0AA5116C">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r>
        <w:rPr>
          <w:rFonts w:hint="default"/>
          <w:color w:val="auto"/>
          <w:highlight w:val="none"/>
        </w:rPr>
        <w:t xml:space="preserve">   本工程声环境保护目标一览表</w:t>
      </w:r>
    </w:p>
    <w:tbl>
      <w:tblPr>
        <w:tblStyle w:val="87"/>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0"/>
        <w:gridCol w:w="1351"/>
        <w:gridCol w:w="1420"/>
        <w:gridCol w:w="754"/>
        <w:gridCol w:w="3630"/>
        <w:gridCol w:w="6463"/>
      </w:tblGrid>
      <w:tr w14:paraId="75B5E4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9" w:hRule="atLeast"/>
        </w:trPr>
        <w:tc>
          <w:tcPr>
            <w:tcW w:w="600" w:type="dxa"/>
            <w:noWrap w:val="0"/>
            <w:vAlign w:val="center"/>
          </w:tcPr>
          <w:p w14:paraId="3C1496B7">
            <w:pPr>
              <w:pStyle w:val="69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序号</w:t>
            </w:r>
          </w:p>
        </w:tc>
        <w:tc>
          <w:tcPr>
            <w:tcW w:w="1351" w:type="dxa"/>
            <w:noWrap w:val="0"/>
            <w:vAlign w:val="center"/>
          </w:tcPr>
          <w:p w14:paraId="244F5B38">
            <w:pPr>
              <w:pStyle w:val="69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声环境保护目标名称</w:t>
            </w:r>
          </w:p>
        </w:tc>
        <w:tc>
          <w:tcPr>
            <w:tcW w:w="1420" w:type="dxa"/>
            <w:noWrap w:val="0"/>
            <w:vAlign w:val="center"/>
          </w:tcPr>
          <w:p w14:paraId="376AA505">
            <w:pPr>
              <w:pStyle w:val="69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距厂界最近距离/m</w:t>
            </w:r>
          </w:p>
        </w:tc>
        <w:tc>
          <w:tcPr>
            <w:tcW w:w="754" w:type="dxa"/>
            <w:noWrap w:val="0"/>
            <w:vAlign w:val="center"/>
          </w:tcPr>
          <w:p w14:paraId="7CBFA001">
            <w:pPr>
              <w:pStyle w:val="69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方位</w:t>
            </w:r>
          </w:p>
        </w:tc>
        <w:tc>
          <w:tcPr>
            <w:tcW w:w="3630" w:type="dxa"/>
            <w:noWrap w:val="0"/>
            <w:vAlign w:val="center"/>
          </w:tcPr>
          <w:p w14:paraId="54151050">
            <w:pPr>
              <w:pStyle w:val="69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执行标准/功能区类别</w:t>
            </w:r>
          </w:p>
        </w:tc>
        <w:tc>
          <w:tcPr>
            <w:tcW w:w="6463" w:type="dxa"/>
            <w:noWrap w:val="0"/>
            <w:vAlign w:val="center"/>
          </w:tcPr>
          <w:p w14:paraId="4AF9EB35">
            <w:pPr>
              <w:pStyle w:val="69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声环境保护目标情况说明</w:t>
            </w:r>
          </w:p>
        </w:tc>
      </w:tr>
      <w:tr w14:paraId="7DA02C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00" w:type="dxa"/>
            <w:noWrap w:val="0"/>
            <w:vAlign w:val="center"/>
          </w:tcPr>
          <w:p w14:paraId="717E637B">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1351" w:type="dxa"/>
            <w:noWrap w:val="0"/>
            <w:vAlign w:val="center"/>
          </w:tcPr>
          <w:p w14:paraId="27325E40">
            <w:pPr>
              <w:pStyle w:val="698"/>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大岭脚村</w:t>
            </w:r>
          </w:p>
        </w:tc>
        <w:tc>
          <w:tcPr>
            <w:tcW w:w="1420" w:type="dxa"/>
            <w:noWrap w:val="0"/>
            <w:vAlign w:val="center"/>
          </w:tcPr>
          <w:p w14:paraId="773EB0E8">
            <w:pPr>
              <w:pStyle w:val="698"/>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相邻</w:t>
            </w:r>
          </w:p>
        </w:tc>
        <w:tc>
          <w:tcPr>
            <w:tcW w:w="754" w:type="dxa"/>
            <w:noWrap w:val="0"/>
            <w:vAlign w:val="center"/>
          </w:tcPr>
          <w:p w14:paraId="7E67F5BC">
            <w:pPr>
              <w:pStyle w:val="698"/>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西侧</w:t>
            </w:r>
          </w:p>
        </w:tc>
        <w:tc>
          <w:tcPr>
            <w:tcW w:w="3630" w:type="dxa"/>
            <w:noWrap w:val="0"/>
            <w:vAlign w:val="center"/>
          </w:tcPr>
          <w:p w14:paraId="04A7D161">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《声环境质量标准》（GB3096-2008）</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类标准/</w:t>
            </w:r>
            <w:r>
              <w:rPr>
                <w:rFonts w:hint="default" w:ascii="Times New Roman" w:hAnsi="Times New Roman" w:cs="Times New Roman"/>
                <w:color w:val="auto"/>
                <w:highlight w:val="none"/>
                <w:lang w:val="en-US" w:eastAsia="zh-CN"/>
              </w:rPr>
              <w:t>4a</w:t>
            </w:r>
            <w:r>
              <w:rPr>
                <w:rFonts w:hint="default" w:ascii="Times New Roman" w:hAnsi="Times New Roman" w:cs="Times New Roman"/>
                <w:color w:val="auto"/>
                <w:highlight w:val="none"/>
              </w:rPr>
              <w:t>类区</w:t>
            </w:r>
          </w:p>
          <w:p w14:paraId="5A88C046">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《声环境质量标准》（GB3096-2008）</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类标准/</w:t>
            </w:r>
            <w:r>
              <w:rPr>
                <w:rFonts w:hint="default" w:ascii="Times New Roman" w:hAnsi="Times New Roman" w:cs="Times New Roman"/>
                <w:color w:val="auto"/>
                <w:highlight w:val="none"/>
                <w:lang w:eastAsia="zh-CN"/>
              </w:rPr>
              <w:t>二</w:t>
            </w:r>
            <w:r>
              <w:rPr>
                <w:rFonts w:hint="default" w:ascii="Times New Roman" w:hAnsi="Times New Roman" w:cs="Times New Roman"/>
                <w:color w:val="auto"/>
                <w:highlight w:val="none"/>
              </w:rPr>
              <w:t>类区</w:t>
            </w:r>
          </w:p>
        </w:tc>
        <w:tc>
          <w:tcPr>
            <w:tcW w:w="6463" w:type="dxa"/>
            <w:noWrap w:val="0"/>
            <w:vAlign w:val="center"/>
          </w:tcPr>
          <w:p w14:paraId="49D1D260">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该保护</w:t>
            </w:r>
            <w:r>
              <w:rPr>
                <w:rFonts w:hint="default" w:ascii="Times New Roman" w:hAnsi="Times New Roman" w:cs="Times New Roman"/>
                <w:color w:val="auto"/>
                <w:highlight w:val="none"/>
                <w:lang w:eastAsia="zh-CN"/>
              </w:rPr>
              <w:t>目标位于锦绣大道两侧，</w:t>
            </w:r>
            <w:r>
              <w:rPr>
                <w:rFonts w:hint="default" w:ascii="Times New Roman" w:hAnsi="Times New Roman" w:cs="Times New Roman"/>
                <w:color w:val="auto"/>
                <w:highlight w:val="none"/>
              </w:rPr>
              <w:t>约有</w:t>
            </w:r>
            <w:r>
              <w:rPr>
                <w:rFonts w:hint="default" w:ascii="Times New Roman" w:hAnsi="Times New Roman" w:cs="Times New Roman"/>
                <w:color w:val="auto"/>
                <w:highlight w:val="none"/>
                <w:lang w:val="en-US" w:eastAsia="zh-CN"/>
              </w:rPr>
              <w:t>20户</w:t>
            </w:r>
            <w:r>
              <w:rPr>
                <w:rFonts w:hint="default" w:ascii="Times New Roman" w:hAnsi="Times New Roman" w:cs="Times New Roman"/>
                <w:color w:val="auto"/>
                <w:highlight w:val="none"/>
              </w:rPr>
              <w:t>100人，建筑结构主要为混凝土结构，房屋朝向</w:t>
            </w:r>
            <w:r>
              <w:rPr>
                <w:rFonts w:hint="default" w:ascii="Times New Roman" w:hAnsi="Times New Roman" w:cs="Times New Roman"/>
                <w:color w:val="auto"/>
                <w:highlight w:val="none"/>
                <w:lang w:eastAsia="zh-CN"/>
              </w:rPr>
              <w:t>东南</w:t>
            </w:r>
            <w:r>
              <w:rPr>
                <w:rFonts w:hint="default" w:ascii="Times New Roman" w:hAnsi="Times New Roman" w:cs="Times New Roman"/>
                <w:color w:val="auto"/>
                <w:highlight w:val="none"/>
              </w:rPr>
              <w:t>，房屋楼层为</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层。</w:t>
            </w:r>
          </w:p>
        </w:tc>
      </w:tr>
      <w:tr w14:paraId="15120E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00" w:type="dxa"/>
            <w:noWrap w:val="0"/>
            <w:vAlign w:val="center"/>
          </w:tcPr>
          <w:p w14:paraId="53C051CB">
            <w:pPr>
              <w:pStyle w:val="698"/>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2</w:t>
            </w:r>
          </w:p>
        </w:tc>
        <w:tc>
          <w:tcPr>
            <w:tcW w:w="1351" w:type="dxa"/>
            <w:shd w:val="clear" w:color="auto" w:fill="auto"/>
            <w:noWrap w:val="0"/>
            <w:vAlign w:val="center"/>
          </w:tcPr>
          <w:p w14:paraId="6590445E">
            <w:pPr>
              <w:pStyle w:val="698"/>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eastAsia="zh-CN"/>
              </w:rPr>
              <w:t>大垌口村</w:t>
            </w:r>
          </w:p>
        </w:tc>
        <w:tc>
          <w:tcPr>
            <w:tcW w:w="1420" w:type="dxa"/>
            <w:shd w:val="clear" w:color="auto" w:fill="auto"/>
            <w:noWrap w:val="0"/>
            <w:vAlign w:val="center"/>
          </w:tcPr>
          <w:p w14:paraId="1B2E913D">
            <w:pPr>
              <w:pStyle w:val="698"/>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145</w:t>
            </w:r>
          </w:p>
        </w:tc>
        <w:tc>
          <w:tcPr>
            <w:tcW w:w="754" w:type="dxa"/>
            <w:shd w:val="clear" w:color="auto" w:fill="auto"/>
            <w:noWrap w:val="0"/>
            <w:vAlign w:val="center"/>
          </w:tcPr>
          <w:p w14:paraId="17A64F50">
            <w:pPr>
              <w:pStyle w:val="698"/>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eastAsia="zh-CN"/>
              </w:rPr>
              <w:t>北侧</w:t>
            </w:r>
          </w:p>
        </w:tc>
        <w:tc>
          <w:tcPr>
            <w:tcW w:w="3630" w:type="dxa"/>
            <w:shd w:val="clear" w:color="auto" w:fill="auto"/>
            <w:noWrap w:val="0"/>
            <w:vAlign w:val="center"/>
          </w:tcPr>
          <w:p w14:paraId="1C9BBE76">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《声环境质量标准》（GB3096-2008）</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类标准/</w:t>
            </w:r>
            <w:r>
              <w:rPr>
                <w:rFonts w:hint="default" w:ascii="Times New Roman" w:hAnsi="Times New Roman" w:cs="Times New Roman"/>
                <w:color w:val="auto"/>
                <w:sz w:val="21"/>
                <w:szCs w:val="21"/>
                <w:highlight w:val="none"/>
                <w:lang w:eastAsia="zh-CN"/>
              </w:rPr>
              <w:t>二</w:t>
            </w:r>
            <w:r>
              <w:rPr>
                <w:rFonts w:hint="default" w:ascii="Times New Roman" w:hAnsi="Times New Roman" w:cs="Times New Roman"/>
                <w:color w:val="auto"/>
                <w:sz w:val="21"/>
                <w:szCs w:val="21"/>
                <w:highlight w:val="none"/>
              </w:rPr>
              <w:t>类区</w:t>
            </w:r>
          </w:p>
        </w:tc>
        <w:tc>
          <w:tcPr>
            <w:tcW w:w="6463" w:type="dxa"/>
            <w:shd w:val="clear" w:color="auto" w:fill="auto"/>
            <w:noWrap w:val="0"/>
            <w:vAlign w:val="center"/>
          </w:tcPr>
          <w:p w14:paraId="1055D21A">
            <w:pPr>
              <w:pStyle w:val="698"/>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eastAsia="zh-CN"/>
              </w:rPr>
              <w:t>该保护目标</w:t>
            </w:r>
            <w:r>
              <w:rPr>
                <w:rFonts w:hint="default" w:ascii="Times New Roman" w:hAnsi="Times New Roman" w:cs="Times New Roman"/>
                <w:color w:val="auto"/>
                <w:sz w:val="21"/>
                <w:szCs w:val="21"/>
                <w:highlight w:val="none"/>
              </w:rPr>
              <w:t>约有</w:t>
            </w:r>
            <w:r>
              <w:rPr>
                <w:rFonts w:hint="default" w:ascii="Times New Roman" w:hAnsi="Times New Roman" w:cs="Times New Roman"/>
                <w:color w:val="auto"/>
                <w:sz w:val="21"/>
                <w:szCs w:val="21"/>
                <w:highlight w:val="none"/>
                <w:lang w:val="en-US" w:eastAsia="zh-CN"/>
              </w:rPr>
              <w:t>40户200</w:t>
            </w:r>
            <w:r>
              <w:rPr>
                <w:rFonts w:hint="default" w:ascii="Times New Roman" w:hAnsi="Times New Roman" w:cs="Times New Roman"/>
                <w:color w:val="auto"/>
                <w:sz w:val="21"/>
                <w:szCs w:val="21"/>
                <w:highlight w:val="none"/>
              </w:rPr>
              <w:t>人，建筑结构主要为混凝土结构，房屋朝向</w:t>
            </w:r>
            <w:r>
              <w:rPr>
                <w:rFonts w:hint="default" w:ascii="Times New Roman" w:hAnsi="Times New Roman" w:cs="Times New Roman"/>
                <w:color w:val="auto"/>
                <w:sz w:val="21"/>
                <w:szCs w:val="21"/>
                <w:highlight w:val="none"/>
                <w:lang w:eastAsia="zh-CN"/>
              </w:rPr>
              <w:t>东南</w:t>
            </w:r>
            <w:r>
              <w:rPr>
                <w:rFonts w:hint="default" w:ascii="Times New Roman" w:hAnsi="Times New Roman" w:cs="Times New Roman"/>
                <w:color w:val="auto"/>
                <w:sz w:val="21"/>
                <w:szCs w:val="21"/>
                <w:highlight w:val="none"/>
              </w:rPr>
              <w:t>，房屋楼层为</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层。</w:t>
            </w:r>
          </w:p>
        </w:tc>
      </w:tr>
      <w:tr w14:paraId="0F1B55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00" w:type="dxa"/>
            <w:noWrap w:val="0"/>
            <w:vAlign w:val="center"/>
          </w:tcPr>
          <w:p w14:paraId="5E42EF17">
            <w:pPr>
              <w:pStyle w:val="698"/>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3</w:t>
            </w:r>
          </w:p>
        </w:tc>
        <w:tc>
          <w:tcPr>
            <w:tcW w:w="1351" w:type="dxa"/>
            <w:shd w:val="clear" w:color="auto" w:fill="auto"/>
            <w:noWrap w:val="0"/>
            <w:vAlign w:val="center"/>
          </w:tcPr>
          <w:p w14:paraId="267FD81B">
            <w:pPr>
              <w:pStyle w:val="698"/>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eastAsia="zh-CN"/>
              </w:rPr>
              <w:t>巨龙如意城</w:t>
            </w:r>
          </w:p>
        </w:tc>
        <w:tc>
          <w:tcPr>
            <w:tcW w:w="1420" w:type="dxa"/>
            <w:shd w:val="clear" w:color="auto" w:fill="auto"/>
            <w:noWrap w:val="0"/>
            <w:vAlign w:val="center"/>
          </w:tcPr>
          <w:p w14:paraId="4BE9B315">
            <w:pPr>
              <w:pStyle w:val="698"/>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153</w:t>
            </w:r>
          </w:p>
        </w:tc>
        <w:tc>
          <w:tcPr>
            <w:tcW w:w="754" w:type="dxa"/>
            <w:shd w:val="clear" w:color="auto" w:fill="auto"/>
            <w:noWrap w:val="0"/>
            <w:vAlign w:val="center"/>
          </w:tcPr>
          <w:p w14:paraId="13675125">
            <w:pPr>
              <w:pStyle w:val="698"/>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eastAsia="zh-CN"/>
              </w:rPr>
              <w:t>东南</w:t>
            </w:r>
          </w:p>
        </w:tc>
        <w:tc>
          <w:tcPr>
            <w:tcW w:w="3630" w:type="dxa"/>
            <w:shd w:val="clear" w:color="auto" w:fill="auto"/>
            <w:noWrap w:val="0"/>
            <w:vAlign w:val="center"/>
          </w:tcPr>
          <w:p w14:paraId="4EF87874">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《声环境质量标准》（GB3096-2008）</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类标准/</w:t>
            </w:r>
            <w:r>
              <w:rPr>
                <w:rFonts w:hint="default" w:ascii="Times New Roman" w:hAnsi="Times New Roman" w:cs="Times New Roman"/>
                <w:color w:val="auto"/>
                <w:sz w:val="21"/>
                <w:szCs w:val="21"/>
                <w:highlight w:val="none"/>
                <w:lang w:eastAsia="zh-CN"/>
              </w:rPr>
              <w:t>二</w:t>
            </w:r>
            <w:r>
              <w:rPr>
                <w:rFonts w:hint="default" w:ascii="Times New Roman" w:hAnsi="Times New Roman" w:cs="Times New Roman"/>
                <w:color w:val="auto"/>
                <w:sz w:val="21"/>
                <w:szCs w:val="21"/>
                <w:highlight w:val="none"/>
              </w:rPr>
              <w:t>类区</w:t>
            </w:r>
          </w:p>
        </w:tc>
        <w:tc>
          <w:tcPr>
            <w:tcW w:w="6463" w:type="dxa"/>
            <w:shd w:val="clear" w:color="auto" w:fill="auto"/>
            <w:noWrap w:val="0"/>
            <w:vAlign w:val="center"/>
          </w:tcPr>
          <w:p w14:paraId="57F54B95">
            <w:pPr>
              <w:pStyle w:val="698"/>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eastAsia="zh-CN"/>
              </w:rPr>
              <w:t>该保护目标为住宅小区，约有</w:t>
            </w:r>
            <w:r>
              <w:rPr>
                <w:rFonts w:hint="default" w:ascii="Times New Roman" w:hAnsi="Times New Roman" w:cs="Times New Roman"/>
                <w:color w:val="auto"/>
                <w:sz w:val="21"/>
                <w:szCs w:val="21"/>
                <w:highlight w:val="none"/>
                <w:lang w:val="en-US" w:eastAsia="zh-CN"/>
              </w:rPr>
              <w:t>1200户，3600人，</w:t>
            </w:r>
            <w:r>
              <w:rPr>
                <w:rFonts w:hint="default" w:ascii="Times New Roman" w:hAnsi="Times New Roman" w:cs="Times New Roman"/>
                <w:color w:val="auto"/>
                <w:sz w:val="21"/>
                <w:szCs w:val="21"/>
                <w:highlight w:val="none"/>
              </w:rPr>
              <w:t>建筑结构主要为混凝土结构，房屋朝向</w:t>
            </w:r>
            <w:r>
              <w:rPr>
                <w:rFonts w:hint="default" w:ascii="Times New Roman" w:hAnsi="Times New Roman" w:cs="Times New Roman"/>
                <w:color w:val="auto"/>
                <w:sz w:val="21"/>
                <w:szCs w:val="21"/>
                <w:highlight w:val="none"/>
                <w:lang w:eastAsia="zh-CN"/>
              </w:rPr>
              <w:t>东南</w:t>
            </w:r>
            <w:r>
              <w:rPr>
                <w:rFonts w:hint="default" w:ascii="Times New Roman" w:hAnsi="Times New Roman" w:cs="Times New Roman"/>
                <w:color w:val="auto"/>
                <w:sz w:val="21"/>
                <w:szCs w:val="21"/>
                <w:highlight w:val="none"/>
              </w:rPr>
              <w:t>，房屋楼层为</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层。</w:t>
            </w:r>
          </w:p>
        </w:tc>
      </w:tr>
    </w:tbl>
    <w:p w14:paraId="7D53491A">
      <w:pPr>
        <w:pStyle w:val="410"/>
        <w:numPr>
          <w:ilvl w:val="0"/>
          <w:numId w:val="24"/>
        </w:numP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lang w:eastAsia="zh-CN"/>
        </w:rPr>
        <w:t>环境空气保护目标</w:t>
      </w:r>
    </w:p>
    <w:p w14:paraId="316D4C35">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本项目大气环境评价等级为三级，无须设置评价范围，本次评价对项目周边</w:t>
      </w:r>
      <w:r>
        <w:rPr>
          <w:rFonts w:hint="default" w:ascii="Times New Roman" w:hAnsi="Times New Roman" w:eastAsia="宋体" w:cs="Times New Roman"/>
          <w:color w:val="auto"/>
          <w:highlight w:val="none"/>
          <w:lang w:val="en-US" w:eastAsia="zh-CN"/>
        </w:rPr>
        <w:t>500m范围的保护目标进行调查，项目500m范围内存在大气环境保护目标共6处，保护目标如下。</w:t>
      </w:r>
    </w:p>
    <w:p w14:paraId="3BF8EACC">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lang w:val="en-US" w:eastAsia="zh-CN"/>
        </w:rPr>
      </w:pPr>
      <w:r>
        <w:rPr>
          <w:rFonts w:hint="default"/>
          <w:color w:val="auto"/>
          <w:highlight w:val="none"/>
        </w:rPr>
        <w:t xml:space="preserve">   本工程</w:t>
      </w:r>
      <w:r>
        <w:rPr>
          <w:rFonts w:hint="default"/>
          <w:color w:val="auto"/>
          <w:highlight w:val="none"/>
          <w:lang w:eastAsia="zh-CN"/>
        </w:rPr>
        <w:t>大气</w:t>
      </w:r>
      <w:r>
        <w:rPr>
          <w:rFonts w:hint="default"/>
          <w:color w:val="auto"/>
          <w:highlight w:val="none"/>
        </w:rPr>
        <w:t>环境保护目标一览表</w:t>
      </w:r>
    </w:p>
    <w:tbl>
      <w:tblPr>
        <w:tblStyle w:val="8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82"/>
        <w:gridCol w:w="436"/>
        <w:gridCol w:w="2591"/>
        <w:gridCol w:w="1740"/>
        <w:gridCol w:w="1725"/>
        <w:gridCol w:w="1213"/>
        <w:gridCol w:w="1148"/>
        <w:gridCol w:w="1225"/>
        <w:gridCol w:w="1115"/>
        <w:gridCol w:w="1843"/>
      </w:tblGrid>
      <w:tr w14:paraId="154D6F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1182" w:type="dxa"/>
            <w:vMerge w:val="restart"/>
            <w:noWrap w:val="0"/>
            <w:vAlign w:val="center"/>
          </w:tcPr>
          <w:p w14:paraId="4997FA8C">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保护类别</w:t>
            </w:r>
          </w:p>
        </w:tc>
        <w:tc>
          <w:tcPr>
            <w:tcW w:w="436" w:type="dxa"/>
            <w:vMerge w:val="restart"/>
            <w:noWrap w:val="0"/>
            <w:vAlign w:val="center"/>
          </w:tcPr>
          <w:p w14:paraId="3369CC2B">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2591" w:type="dxa"/>
            <w:vMerge w:val="restart"/>
            <w:noWrap w:val="0"/>
            <w:vAlign w:val="center"/>
          </w:tcPr>
          <w:p w14:paraId="6D960CC5">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名称</w:t>
            </w:r>
          </w:p>
        </w:tc>
        <w:tc>
          <w:tcPr>
            <w:tcW w:w="3465" w:type="dxa"/>
            <w:gridSpan w:val="2"/>
            <w:noWrap w:val="0"/>
            <w:vAlign w:val="center"/>
          </w:tcPr>
          <w:p w14:paraId="3793B71A">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经纬度</w:t>
            </w:r>
          </w:p>
        </w:tc>
        <w:tc>
          <w:tcPr>
            <w:tcW w:w="1213" w:type="dxa"/>
            <w:vMerge w:val="restart"/>
            <w:noWrap w:val="0"/>
            <w:vAlign w:val="center"/>
          </w:tcPr>
          <w:p w14:paraId="20B5BB8C">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与项目相对方位</w:t>
            </w:r>
          </w:p>
        </w:tc>
        <w:tc>
          <w:tcPr>
            <w:tcW w:w="1148" w:type="dxa"/>
            <w:vMerge w:val="restart"/>
            <w:noWrap w:val="0"/>
            <w:vAlign w:val="center"/>
          </w:tcPr>
          <w:p w14:paraId="04C49CD2">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与项目场界距离（m）</w:t>
            </w:r>
          </w:p>
        </w:tc>
        <w:tc>
          <w:tcPr>
            <w:tcW w:w="1225" w:type="dxa"/>
            <w:vMerge w:val="restart"/>
            <w:noWrap w:val="0"/>
            <w:vAlign w:val="center"/>
          </w:tcPr>
          <w:p w14:paraId="277A916A">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保护对象</w:t>
            </w:r>
          </w:p>
        </w:tc>
        <w:tc>
          <w:tcPr>
            <w:tcW w:w="1115" w:type="dxa"/>
            <w:vMerge w:val="restart"/>
            <w:noWrap w:val="0"/>
            <w:vAlign w:val="center"/>
          </w:tcPr>
          <w:p w14:paraId="134EAC0C">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保护户数/人数</w:t>
            </w:r>
          </w:p>
        </w:tc>
        <w:tc>
          <w:tcPr>
            <w:tcW w:w="1843" w:type="dxa"/>
            <w:vMerge w:val="restart"/>
            <w:noWrap w:val="0"/>
            <w:vAlign w:val="center"/>
          </w:tcPr>
          <w:p w14:paraId="762C6388">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环境保护内容</w:t>
            </w:r>
          </w:p>
        </w:tc>
      </w:tr>
      <w:tr w14:paraId="204086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1182" w:type="dxa"/>
            <w:vMerge w:val="continue"/>
            <w:noWrap w:val="0"/>
            <w:vAlign w:val="center"/>
          </w:tcPr>
          <w:p w14:paraId="1D90348E">
            <w:pPr>
              <w:pStyle w:val="698"/>
              <w:rPr>
                <w:rFonts w:hint="default" w:ascii="Times New Roman" w:hAnsi="Times New Roman" w:cs="Times New Roman"/>
                <w:color w:val="auto"/>
                <w:highlight w:val="none"/>
              </w:rPr>
            </w:pPr>
          </w:p>
        </w:tc>
        <w:tc>
          <w:tcPr>
            <w:tcW w:w="436" w:type="dxa"/>
            <w:vMerge w:val="continue"/>
            <w:noWrap w:val="0"/>
            <w:vAlign w:val="center"/>
          </w:tcPr>
          <w:p w14:paraId="530C18BA">
            <w:pPr>
              <w:pStyle w:val="698"/>
              <w:rPr>
                <w:rFonts w:hint="default" w:ascii="Times New Roman" w:hAnsi="Times New Roman" w:cs="Times New Roman"/>
                <w:color w:val="auto"/>
                <w:highlight w:val="none"/>
              </w:rPr>
            </w:pPr>
          </w:p>
        </w:tc>
        <w:tc>
          <w:tcPr>
            <w:tcW w:w="2591" w:type="dxa"/>
            <w:vMerge w:val="continue"/>
            <w:noWrap w:val="0"/>
            <w:vAlign w:val="center"/>
          </w:tcPr>
          <w:p w14:paraId="75294F8C">
            <w:pPr>
              <w:pStyle w:val="698"/>
              <w:rPr>
                <w:rFonts w:hint="default" w:ascii="Times New Roman" w:hAnsi="Times New Roman" w:cs="Times New Roman"/>
                <w:color w:val="auto"/>
                <w:highlight w:val="none"/>
              </w:rPr>
            </w:pPr>
          </w:p>
        </w:tc>
        <w:tc>
          <w:tcPr>
            <w:tcW w:w="1740" w:type="dxa"/>
            <w:noWrap w:val="0"/>
            <w:vAlign w:val="center"/>
          </w:tcPr>
          <w:p w14:paraId="003D5A61">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经度</w:t>
            </w:r>
          </w:p>
        </w:tc>
        <w:tc>
          <w:tcPr>
            <w:tcW w:w="1725" w:type="dxa"/>
            <w:noWrap w:val="0"/>
            <w:vAlign w:val="center"/>
          </w:tcPr>
          <w:p w14:paraId="45E4865A">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纬度</w:t>
            </w:r>
          </w:p>
        </w:tc>
        <w:tc>
          <w:tcPr>
            <w:tcW w:w="1213" w:type="dxa"/>
            <w:vMerge w:val="continue"/>
            <w:noWrap w:val="0"/>
            <w:vAlign w:val="center"/>
          </w:tcPr>
          <w:p w14:paraId="68878CC1">
            <w:pPr>
              <w:pStyle w:val="698"/>
              <w:rPr>
                <w:rFonts w:hint="default" w:ascii="Times New Roman" w:hAnsi="Times New Roman" w:cs="Times New Roman"/>
                <w:color w:val="auto"/>
                <w:highlight w:val="none"/>
              </w:rPr>
            </w:pPr>
          </w:p>
        </w:tc>
        <w:tc>
          <w:tcPr>
            <w:tcW w:w="1148" w:type="dxa"/>
            <w:vMerge w:val="continue"/>
            <w:noWrap w:val="0"/>
            <w:vAlign w:val="center"/>
          </w:tcPr>
          <w:p w14:paraId="1D141779">
            <w:pPr>
              <w:pStyle w:val="698"/>
              <w:rPr>
                <w:rFonts w:hint="default" w:ascii="Times New Roman" w:hAnsi="Times New Roman" w:cs="Times New Roman"/>
                <w:color w:val="auto"/>
                <w:highlight w:val="none"/>
              </w:rPr>
            </w:pPr>
          </w:p>
        </w:tc>
        <w:tc>
          <w:tcPr>
            <w:tcW w:w="1225" w:type="dxa"/>
            <w:vMerge w:val="continue"/>
            <w:noWrap w:val="0"/>
            <w:vAlign w:val="center"/>
          </w:tcPr>
          <w:p w14:paraId="1307B964">
            <w:pPr>
              <w:pStyle w:val="698"/>
              <w:rPr>
                <w:rFonts w:hint="default" w:ascii="Times New Roman" w:hAnsi="Times New Roman" w:cs="Times New Roman"/>
                <w:color w:val="auto"/>
                <w:highlight w:val="none"/>
              </w:rPr>
            </w:pPr>
          </w:p>
        </w:tc>
        <w:tc>
          <w:tcPr>
            <w:tcW w:w="1115" w:type="dxa"/>
            <w:vMerge w:val="continue"/>
            <w:noWrap w:val="0"/>
            <w:vAlign w:val="center"/>
          </w:tcPr>
          <w:p w14:paraId="3B2ADA6E">
            <w:pPr>
              <w:pStyle w:val="698"/>
              <w:rPr>
                <w:rFonts w:hint="default" w:ascii="Times New Roman" w:hAnsi="Times New Roman" w:cs="Times New Roman"/>
                <w:color w:val="auto"/>
                <w:highlight w:val="none"/>
              </w:rPr>
            </w:pPr>
          </w:p>
        </w:tc>
        <w:tc>
          <w:tcPr>
            <w:tcW w:w="1843" w:type="dxa"/>
            <w:vMerge w:val="continue"/>
            <w:noWrap w:val="0"/>
            <w:vAlign w:val="top"/>
          </w:tcPr>
          <w:p w14:paraId="10474C31">
            <w:pPr>
              <w:pStyle w:val="698"/>
              <w:rPr>
                <w:rFonts w:hint="default" w:ascii="Times New Roman" w:hAnsi="Times New Roman" w:cs="Times New Roman"/>
                <w:color w:val="auto"/>
                <w:highlight w:val="none"/>
              </w:rPr>
            </w:pPr>
          </w:p>
        </w:tc>
      </w:tr>
      <w:tr w14:paraId="3DE9FC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30" w:hRule="atLeast"/>
          <w:jc w:val="center"/>
        </w:trPr>
        <w:tc>
          <w:tcPr>
            <w:tcW w:w="1182" w:type="dxa"/>
            <w:vMerge w:val="restart"/>
            <w:noWrap w:val="0"/>
            <w:vAlign w:val="center"/>
          </w:tcPr>
          <w:p w14:paraId="5F9ACAC6">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大气环境</w:t>
            </w:r>
          </w:p>
        </w:tc>
        <w:tc>
          <w:tcPr>
            <w:tcW w:w="436" w:type="dxa"/>
            <w:noWrap w:val="0"/>
            <w:vAlign w:val="center"/>
          </w:tcPr>
          <w:p w14:paraId="7FA9FB80">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2591" w:type="dxa"/>
            <w:noWrap w:val="0"/>
            <w:vAlign w:val="center"/>
          </w:tcPr>
          <w:p w14:paraId="294CA4A2">
            <w:pPr>
              <w:pStyle w:val="306"/>
              <w:keepNext w:val="0"/>
              <w:keepLines w:val="0"/>
              <w:pageBreakBefore w:val="0"/>
              <w:widowControl w:val="0"/>
              <w:tabs>
                <w:tab w:val="center" w:pos="4393"/>
                <w:tab w:val="left" w:pos="6780"/>
              </w:tabs>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sz w:val="21"/>
                <w:szCs w:val="21"/>
                <w:highlight w:val="none"/>
                <w:u w:val="none"/>
                <w:lang w:val="en-US" w:eastAsia="zh-CN"/>
              </w:rPr>
              <w:t>大岭脚村</w:t>
            </w:r>
          </w:p>
        </w:tc>
        <w:tc>
          <w:tcPr>
            <w:tcW w:w="1740" w:type="dxa"/>
            <w:noWrap w:val="0"/>
            <w:vAlign w:val="center"/>
          </w:tcPr>
          <w:p w14:paraId="4F5DFDD7">
            <w:pPr>
              <w:pStyle w:val="1653"/>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u w:val="none"/>
                <w:lang w:val="en-US" w:eastAsia="zh-CN" w:bidi="ar-SA"/>
              </w:rPr>
              <w:t>108.66951665</w:t>
            </w:r>
          </w:p>
        </w:tc>
        <w:tc>
          <w:tcPr>
            <w:tcW w:w="1725" w:type="dxa"/>
            <w:noWrap w:val="0"/>
            <w:vAlign w:val="center"/>
          </w:tcPr>
          <w:p w14:paraId="7717780E">
            <w:pPr>
              <w:pStyle w:val="698"/>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u w:val="none"/>
                <w:lang w:val="en-US" w:eastAsia="zh-CN" w:bidi="ar-SA"/>
              </w:rPr>
              <w:t>21.74097545</w:t>
            </w:r>
          </w:p>
        </w:tc>
        <w:tc>
          <w:tcPr>
            <w:tcW w:w="1213" w:type="dxa"/>
            <w:noWrap w:val="0"/>
            <w:vAlign w:val="center"/>
          </w:tcPr>
          <w:p w14:paraId="20E7602D">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西侧</w:t>
            </w:r>
          </w:p>
        </w:tc>
        <w:tc>
          <w:tcPr>
            <w:tcW w:w="1148" w:type="dxa"/>
            <w:noWrap w:val="0"/>
            <w:vAlign w:val="center"/>
          </w:tcPr>
          <w:p w14:paraId="091E424A">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相邻</w:t>
            </w:r>
          </w:p>
        </w:tc>
        <w:tc>
          <w:tcPr>
            <w:tcW w:w="1225" w:type="dxa"/>
            <w:noWrap w:val="0"/>
            <w:vAlign w:val="center"/>
          </w:tcPr>
          <w:p w14:paraId="0A8A0C11">
            <w:pPr>
              <w:pStyle w:val="698"/>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村庄</w:t>
            </w:r>
          </w:p>
        </w:tc>
        <w:tc>
          <w:tcPr>
            <w:tcW w:w="1115" w:type="dxa"/>
            <w:noWrap w:val="0"/>
            <w:vAlign w:val="center"/>
          </w:tcPr>
          <w:p w14:paraId="28E1EE42">
            <w:pPr>
              <w:pStyle w:val="698"/>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20/100</w:t>
            </w:r>
          </w:p>
        </w:tc>
        <w:tc>
          <w:tcPr>
            <w:tcW w:w="1843" w:type="dxa"/>
            <w:vMerge w:val="restart"/>
            <w:noWrap w:val="0"/>
            <w:vAlign w:val="top"/>
          </w:tcPr>
          <w:p w14:paraId="170CA8FD">
            <w:pPr>
              <w:pStyle w:val="698"/>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环境空气达到《环境空气质量标准》（GB3095-2012）及</w:t>
            </w:r>
            <w:r>
              <w:rPr>
                <w:rFonts w:hint="default" w:ascii="Times New Roman" w:hAnsi="Times New Roman" w:cs="Times New Roman"/>
                <w:color w:val="auto"/>
                <w:highlight w:val="none"/>
              </w:rPr>
              <w:t>其修改单中二级标准</w:t>
            </w:r>
          </w:p>
        </w:tc>
      </w:tr>
      <w:tr w14:paraId="1E67EC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82" w:type="dxa"/>
            <w:vMerge w:val="continue"/>
            <w:noWrap w:val="0"/>
            <w:vAlign w:val="center"/>
          </w:tcPr>
          <w:p w14:paraId="6C624B2F">
            <w:pPr>
              <w:pStyle w:val="698"/>
              <w:rPr>
                <w:rFonts w:hint="default" w:ascii="Times New Roman" w:hAnsi="Times New Roman" w:cs="Times New Roman"/>
                <w:color w:val="auto"/>
                <w:highlight w:val="none"/>
              </w:rPr>
            </w:pPr>
          </w:p>
        </w:tc>
        <w:tc>
          <w:tcPr>
            <w:tcW w:w="436" w:type="dxa"/>
            <w:noWrap w:val="0"/>
            <w:vAlign w:val="center"/>
          </w:tcPr>
          <w:p w14:paraId="0B2AAEB5">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2591" w:type="dxa"/>
            <w:noWrap w:val="0"/>
            <w:vAlign w:val="center"/>
          </w:tcPr>
          <w:p w14:paraId="22DD9B08">
            <w:pPr>
              <w:pStyle w:val="306"/>
              <w:keepNext w:val="0"/>
              <w:keepLines w:val="0"/>
              <w:pageBreakBefore w:val="0"/>
              <w:widowControl w:val="0"/>
              <w:tabs>
                <w:tab w:val="center" w:pos="4393"/>
                <w:tab w:val="left" w:pos="6780"/>
              </w:tabs>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sz w:val="21"/>
                <w:szCs w:val="21"/>
                <w:highlight w:val="none"/>
                <w:u w:val="none"/>
                <w:lang w:val="en-US" w:eastAsia="zh-CN"/>
              </w:rPr>
              <w:t>大垌口村</w:t>
            </w:r>
          </w:p>
        </w:tc>
        <w:tc>
          <w:tcPr>
            <w:tcW w:w="1740" w:type="dxa"/>
            <w:noWrap w:val="0"/>
            <w:vAlign w:val="center"/>
          </w:tcPr>
          <w:p w14:paraId="43BA918E">
            <w:pPr>
              <w:pStyle w:val="1653"/>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u w:val="none"/>
                <w:lang w:val="en-US" w:eastAsia="zh-CN" w:bidi="ar-SA"/>
              </w:rPr>
              <w:t>108.67096310</w:t>
            </w:r>
          </w:p>
        </w:tc>
        <w:tc>
          <w:tcPr>
            <w:tcW w:w="1725" w:type="dxa"/>
            <w:noWrap w:val="0"/>
            <w:vAlign w:val="center"/>
          </w:tcPr>
          <w:p w14:paraId="1C14856D">
            <w:pPr>
              <w:pStyle w:val="698"/>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u w:val="none"/>
                <w:lang w:val="en-US" w:eastAsia="zh-CN" w:bidi="ar-SA"/>
              </w:rPr>
              <w:t>21.74141150</w:t>
            </w:r>
          </w:p>
        </w:tc>
        <w:tc>
          <w:tcPr>
            <w:tcW w:w="1213" w:type="dxa"/>
            <w:noWrap w:val="0"/>
            <w:vAlign w:val="center"/>
          </w:tcPr>
          <w:p w14:paraId="559C521B">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西侧</w:t>
            </w:r>
          </w:p>
        </w:tc>
        <w:tc>
          <w:tcPr>
            <w:tcW w:w="1148" w:type="dxa"/>
            <w:noWrap w:val="0"/>
            <w:vAlign w:val="center"/>
          </w:tcPr>
          <w:p w14:paraId="7D0494FF">
            <w:pPr>
              <w:pStyle w:val="698"/>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142</w:t>
            </w:r>
          </w:p>
        </w:tc>
        <w:tc>
          <w:tcPr>
            <w:tcW w:w="1225" w:type="dxa"/>
            <w:noWrap w:val="0"/>
            <w:vAlign w:val="center"/>
          </w:tcPr>
          <w:p w14:paraId="3236A38A">
            <w:pPr>
              <w:pStyle w:val="698"/>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村庄</w:t>
            </w:r>
          </w:p>
        </w:tc>
        <w:tc>
          <w:tcPr>
            <w:tcW w:w="1115" w:type="dxa"/>
            <w:noWrap w:val="0"/>
            <w:vAlign w:val="center"/>
          </w:tcPr>
          <w:p w14:paraId="361BD6B0">
            <w:pPr>
              <w:pStyle w:val="698"/>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45/220</w:t>
            </w:r>
          </w:p>
        </w:tc>
        <w:tc>
          <w:tcPr>
            <w:tcW w:w="1843" w:type="dxa"/>
            <w:vMerge w:val="continue"/>
            <w:noWrap w:val="0"/>
            <w:vAlign w:val="center"/>
          </w:tcPr>
          <w:p w14:paraId="37FF9307">
            <w:pPr>
              <w:pStyle w:val="698"/>
              <w:rPr>
                <w:rFonts w:hint="default" w:ascii="Times New Roman" w:hAnsi="Times New Roman" w:cs="Times New Roman"/>
                <w:color w:val="auto"/>
                <w:kern w:val="0"/>
                <w:highlight w:val="none"/>
              </w:rPr>
            </w:pPr>
          </w:p>
        </w:tc>
      </w:tr>
      <w:tr w14:paraId="1865D9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82" w:type="dxa"/>
            <w:vMerge w:val="continue"/>
            <w:noWrap w:val="0"/>
            <w:vAlign w:val="center"/>
          </w:tcPr>
          <w:p w14:paraId="76CF3D7F">
            <w:pPr>
              <w:pStyle w:val="698"/>
              <w:rPr>
                <w:rFonts w:hint="default" w:ascii="Times New Roman" w:hAnsi="Times New Roman" w:cs="Times New Roman"/>
                <w:color w:val="auto"/>
                <w:highlight w:val="none"/>
              </w:rPr>
            </w:pPr>
          </w:p>
        </w:tc>
        <w:tc>
          <w:tcPr>
            <w:tcW w:w="436" w:type="dxa"/>
            <w:noWrap w:val="0"/>
            <w:vAlign w:val="center"/>
          </w:tcPr>
          <w:p w14:paraId="39A5C0BC">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2591" w:type="dxa"/>
            <w:noWrap w:val="0"/>
            <w:vAlign w:val="center"/>
          </w:tcPr>
          <w:p w14:paraId="3102764A">
            <w:pPr>
              <w:pStyle w:val="306"/>
              <w:keepNext w:val="0"/>
              <w:keepLines w:val="0"/>
              <w:pageBreakBefore w:val="0"/>
              <w:widowControl w:val="0"/>
              <w:tabs>
                <w:tab w:val="center" w:pos="4393"/>
                <w:tab w:val="left" w:pos="6780"/>
              </w:tabs>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sz w:val="21"/>
                <w:szCs w:val="21"/>
                <w:highlight w:val="none"/>
                <w:u w:val="none"/>
                <w:lang w:val="en-US" w:eastAsia="zh-CN"/>
              </w:rPr>
              <w:t>细垌环村</w:t>
            </w:r>
          </w:p>
        </w:tc>
        <w:tc>
          <w:tcPr>
            <w:tcW w:w="1740" w:type="dxa"/>
            <w:noWrap w:val="0"/>
            <w:vAlign w:val="center"/>
          </w:tcPr>
          <w:p w14:paraId="17A57E1D">
            <w:pPr>
              <w:pStyle w:val="1653"/>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u w:val="none"/>
                <w:lang w:val="en-US" w:eastAsia="zh-CN" w:bidi="ar-SA"/>
              </w:rPr>
              <w:t>108.66698412</w:t>
            </w:r>
          </w:p>
        </w:tc>
        <w:tc>
          <w:tcPr>
            <w:tcW w:w="1725" w:type="dxa"/>
            <w:noWrap w:val="0"/>
            <w:vAlign w:val="center"/>
          </w:tcPr>
          <w:p w14:paraId="394ACC6B">
            <w:pPr>
              <w:pStyle w:val="698"/>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u w:val="none"/>
                <w:lang w:val="en-US" w:eastAsia="zh-CN" w:bidi="ar-SA"/>
              </w:rPr>
              <w:t>21.74147373</w:t>
            </w:r>
          </w:p>
        </w:tc>
        <w:tc>
          <w:tcPr>
            <w:tcW w:w="1213" w:type="dxa"/>
            <w:noWrap w:val="0"/>
            <w:vAlign w:val="center"/>
          </w:tcPr>
          <w:p w14:paraId="3305C2A1">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北侧</w:t>
            </w:r>
          </w:p>
        </w:tc>
        <w:tc>
          <w:tcPr>
            <w:tcW w:w="1148" w:type="dxa"/>
            <w:noWrap w:val="0"/>
            <w:vAlign w:val="center"/>
          </w:tcPr>
          <w:p w14:paraId="18952D12">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145</w:t>
            </w:r>
          </w:p>
        </w:tc>
        <w:tc>
          <w:tcPr>
            <w:tcW w:w="1225" w:type="dxa"/>
            <w:noWrap w:val="0"/>
            <w:vAlign w:val="top"/>
          </w:tcPr>
          <w:p w14:paraId="6EE6578B">
            <w:pPr>
              <w:pStyle w:val="698"/>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村庄</w:t>
            </w:r>
          </w:p>
        </w:tc>
        <w:tc>
          <w:tcPr>
            <w:tcW w:w="1115" w:type="dxa"/>
            <w:noWrap w:val="0"/>
            <w:vAlign w:val="center"/>
          </w:tcPr>
          <w:p w14:paraId="74413176">
            <w:pPr>
              <w:pStyle w:val="698"/>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40/200</w:t>
            </w:r>
          </w:p>
        </w:tc>
        <w:tc>
          <w:tcPr>
            <w:tcW w:w="1843" w:type="dxa"/>
            <w:vMerge w:val="continue"/>
            <w:noWrap w:val="0"/>
            <w:vAlign w:val="top"/>
          </w:tcPr>
          <w:p w14:paraId="5BB26CBE">
            <w:pPr>
              <w:pStyle w:val="698"/>
              <w:rPr>
                <w:rFonts w:hint="default" w:ascii="Times New Roman" w:hAnsi="Times New Roman" w:cs="Times New Roman"/>
                <w:color w:val="auto"/>
                <w:highlight w:val="none"/>
              </w:rPr>
            </w:pPr>
          </w:p>
        </w:tc>
      </w:tr>
      <w:tr w14:paraId="68CC47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82" w:type="dxa"/>
            <w:vMerge w:val="continue"/>
            <w:noWrap w:val="0"/>
            <w:vAlign w:val="center"/>
          </w:tcPr>
          <w:p w14:paraId="292C0709">
            <w:pPr>
              <w:pStyle w:val="698"/>
              <w:rPr>
                <w:rFonts w:hint="default" w:ascii="Times New Roman" w:hAnsi="Times New Roman" w:cs="Times New Roman"/>
                <w:color w:val="auto"/>
                <w:highlight w:val="none"/>
              </w:rPr>
            </w:pPr>
          </w:p>
        </w:tc>
        <w:tc>
          <w:tcPr>
            <w:tcW w:w="436" w:type="dxa"/>
            <w:noWrap w:val="0"/>
            <w:vAlign w:val="center"/>
          </w:tcPr>
          <w:p w14:paraId="0E8DE585">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2591" w:type="dxa"/>
            <w:noWrap w:val="0"/>
            <w:vAlign w:val="center"/>
          </w:tcPr>
          <w:p w14:paraId="6F0B077E">
            <w:pPr>
              <w:pStyle w:val="306"/>
              <w:keepNext w:val="0"/>
              <w:keepLines w:val="0"/>
              <w:pageBreakBefore w:val="0"/>
              <w:widowControl w:val="0"/>
              <w:tabs>
                <w:tab w:val="center" w:pos="4393"/>
                <w:tab w:val="left" w:pos="6780"/>
              </w:tabs>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sz w:val="21"/>
                <w:szCs w:val="21"/>
                <w:highlight w:val="none"/>
                <w:u w:val="none"/>
                <w:lang w:val="en-US" w:eastAsia="zh-CN"/>
              </w:rPr>
              <w:t>巨龙如意城</w:t>
            </w:r>
          </w:p>
        </w:tc>
        <w:tc>
          <w:tcPr>
            <w:tcW w:w="1740" w:type="dxa"/>
            <w:noWrap w:val="0"/>
            <w:vAlign w:val="center"/>
          </w:tcPr>
          <w:p w14:paraId="536A0EFF">
            <w:pPr>
              <w:pStyle w:val="1653"/>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u w:val="none"/>
                <w:lang w:val="en-US" w:eastAsia="zh-CN" w:bidi="ar-SA"/>
              </w:rPr>
              <w:t>108.66722033</w:t>
            </w:r>
          </w:p>
        </w:tc>
        <w:tc>
          <w:tcPr>
            <w:tcW w:w="1725" w:type="dxa"/>
            <w:noWrap w:val="0"/>
            <w:vAlign w:val="center"/>
          </w:tcPr>
          <w:p w14:paraId="4B5EF908">
            <w:pPr>
              <w:pStyle w:val="698"/>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u w:val="none"/>
                <w:lang w:val="en-US" w:eastAsia="zh-CN" w:bidi="ar-SA"/>
              </w:rPr>
              <w:t>21.73379380</w:t>
            </w:r>
          </w:p>
        </w:tc>
        <w:tc>
          <w:tcPr>
            <w:tcW w:w="1213" w:type="dxa"/>
            <w:noWrap w:val="0"/>
            <w:vAlign w:val="center"/>
          </w:tcPr>
          <w:p w14:paraId="3621D2C3">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东南</w:t>
            </w:r>
          </w:p>
        </w:tc>
        <w:tc>
          <w:tcPr>
            <w:tcW w:w="1148" w:type="dxa"/>
            <w:noWrap w:val="0"/>
            <w:vAlign w:val="center"/>
          </w:tcPr>
          <w:p w14:paraId="2CDE839E">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153</w:t>
            </w:r>
          </w:p>
        </w:tc>
        <w:tc>
          <w:tcPr>
            <w:tcW w:w="1225" w:type="dxa"/>
            <w:noWrap w:val="0"/>
            <w:vAlign w:val="top"/>
          </w:tcPr>
          <w:p w14:paraId="3CFAFC69">
            <w:pPr>
              <w:pStyle w:val="698"/>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居民区</w:t>
            </w:r>
          </w:p>
        </w:tc>
        <w:tc>
          <w:tcPr>
            <w:tcW w:w="1115" w:type="dxa"/>
            <w:noWrap w:val="0"/>
            <w:vAlign w:val="center"/>
          </w:tcPr>
          <w:p w14:paraId="06108DD1">
            <w:pPr>
              <w:pStyle w:val="698"/>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1200/3600</w:t>
            </w:r>
          </w:p>
        </w:tc>
        <w:tc>
          <w:tcPr>
            <w:tcW w:w="1843" w:type="dxa"/>
            <w:vMerge w:val="continue"/>
            <w:noWrap w:val="0"/>
            <w:vAlign w:val="top"/>
          </w:tcPr>
          <w:p w14:paraId="0BCBC772">
            <w:pPr>
              <w:pStyle w:val="698"/>
              <w:rPr>
                <w:rFonts w:hint="default" w:ascii="Times New Roman" w:hAnsi="Times New Roman" w:cs="Times New Roman"/>
                <w:color w:val="auto"/>
                <w:highlight w:val="none"/>
              </w:rPr>
            </w:pPr>
          </w:p>
        </w:tc>
      </w:tr>
      <w:tr w14:paraId="05B41B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82" w:type="dxa"/>
            <w:vMerge w:val="continue"/>
            <w:noWrap w:val="0"/>
            <w:vAlign w:val="center"/>
          </w:tcPr>
          <w:p w14:paraId="76AF65F6">
            <w:pPr>
              <w:pStyle w:val="698"/>
              <w:rPr>
                <w:rFonts w:hint="default" w:ascii="Times New Roman" w:hAnsi="Times New Roman" w:cs="Times New Roman"/>
                <w:color w:val="auto"/>
                <w:highlight w:val="none"/>
              </w:rPr>
            </w:pPr>
          </w:p>
        </w:tc>
        <w:tc>
          <w:tcPr>
            <w:tcW w:w="436" w:type="dxa"/>
            <w:noWrap w:val="0"/>
            <w:vAlign w:val="center"/>
          </w:tcPr>
          <w:p w14:paraId="01E218B9">
            <w:pPr>
              <w:pStyle w:val="698"/>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5</w:t>
            </w:r>
          </w:p>
        </w:tc>
        <w:tc>
          <w:tcPr>
            <w:tcW w:w="2591" w:type="dxa"/>
            <w:noWrap w:val="0"/>
            <w:vAlign w:val="center"/>
          </w:tcPr>
          <w:p w14:paraId="2FA7C6D9">
            <w:pPr>
              <w:pStyle w:val="306"/>
              <w:keepNext w:val="0"/>
              <w:keepLines w:val="0"/>
              <w:pageBreakBefore w:val="0"/>
              <w:widowControl w:val="0"/>
              <w:tabs>
                <w:tab w:val="center" w:pos="4393"/>
                <w:tab w:val="left" w:pos="6780"/>
              </w:tabs>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sz w:val="21"/>
                <w:szCs w:val="21"/>
                <w:highlight w:val="none"/>
                <w:u w:val="none"/>
                <w:lang w:val="en-US" w:eastAsia="zh-CN"/>
              </w:rPr>
              <w:t>中船生活区</w:t>
            </w:r>
          </w:p>
        </w:tc>
        <w:tc>
          <w:tcPr>
            <w:tcW w:w="1740" w:type="dxa"/>
            <w:noWrap w:val="0"/>
            <w:vAlign w:val="center"/>
          </w:tcPr>
          <w:p w14:paraId="6C897168">
            <w:pPr>
              <w:pStyle w:val="1653"/>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u w:val="none"/>
                <w:lang w:val="en-US" w:eastAsia="zh-CN" w:bidi="ar-SA"/>
              </w:rPr>
              <w:t>108.66454267</w:t>
            </w:r>
          </w:p>
        </w:tc>
        <w:tc>
          <w:tcPr>
            <w:tcW w:w="1725" w:type="dxa"/>
            <w:noWrap w:val="0"/>
            <w:vAlign w:val="center"/>
          </w:tcPr>
          <w:p w14:paraId="345A8205">
            <w:pPr>
              <w:pStyle w:val="698"/>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u w:val="none"/>
                <w:lang w:val="en-US" w:eastAsia="zh-CN" w:bidi="ar-SA"/>
              </w:rPr>
              <w:t>21.73431678</w:t>
            </w:r>
          </w:p>
        </w:tc>
        <w:tc>
          <w:tcPr>
            <w:tcW w:w="1213" w:type="dxa"/>
            <w:noWrap w:val="0"/>
            <w:vAlign w:val="center"/>
          </w:tcPr>
          <w:p w14:paraId="0E0A2F37">
            <w:pPr>
              <w:pStyle w:val="698"/>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西侧</w:t>
            </w:r>
          </w:p>
        </w:tc>
        <w:tc>
          <w:tcPr>
            <w:tcW w:w="1148" w:type="dxa"/>
            <w:noWrap w:val="0"/>
            <w:vAlign w:val="center"/>
          </w:tcPr>
          <w:p w14:paraId="64E6BDCE">
            <w:pPr>
              <w:pStyle w:val="698"/>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364</w:t>
            </w:r>
          </w:p>
        </w:tc>
        <w:tc>
          <w:tcPr>
            <w:tcW w:w="1225" w:type="dxa"/>
            <w:noWrap w:val="0"/>
            <w:vAlign w:val="top"/>
          </w:tcPr>
          <w:p w14:paraId="2C1645E7">
            <w:pPr>
              <w:pStyle w:val="698"/>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职工宿舍</w:t>
            </w:r>
          </w:p>
        </w:tc>
        <w:tc>
          <w:tcPr>
            <w:tcW w:w="1115" w:type="dxa"/>
            <w:noWrap w:val="0"/>
            <w:vAlign w:val="center"/>
          </w:tcPr>
          <w:p w14:paraId="0057F4FC">
            <w:pPr>
              <w:pStyle w:val="698"/>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2</w:t>
            </w:r>
            <w:r>
              <w:rPr>
                <w:rFonts w:hint="eastAsia" w:ascii="Times New Roman" w:cs="Times New Roman"/>
                <w:color w:val="auto"/>
                <w:highlight w:val="none"/>
                <w:lang w:val="en-US" w:eastAsia="zh-CN"/>
              </w:rPr>
              <w:t>栋</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60</w:t>
            </w:r>
            <w:r>
              <w:rPr>
                <w:rFonts w:hint="eastAsia" w:ascii="Times New Roman" w:cs="Times New Roman"/>
                <w:color w:val="auto"/>
                <w:highlight w:val="none"/>
                <w:lang w:val="en-US" w:eastAsia="zh-CN"/>
              </w:rPr>
              <w:t>人</w:t>
            </w:r>
          </w:p>
        </w:tc>
        <w:tc>
          <w:tcPr>
            <w:tcW w:w="1843" w:type="dxa"/>
            <w:vMerge w:val="continue"/>
            <w:noWrap w:val="0"/>
            <w:vAlign w:val="top"/>
          </w:tcPr>
          <w:p w14:paraId="546C8A4A">
            <w:pPr>
              <w:pStyle w:val="698"/>
              <w:rPr>
                <w:rFonts w:hint="default" w:ascii="Times New Roman" w:hAnsi="Times New Roman" w:cs="Times New Roman"/>
                <w:color w:val="auto"/>
                <w:highlight w:val="none"/>
              </w:rPr>
            </w:pPr>
          </w:p>
        </w:tc>
      </w:tr>
      <w:tr w14:paraId="4787E4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82" w:type="dxa"/>
            <w:vMerge w:val="continue"/>
            <w:noWrap w:val="0"/>
            <w:vAlign w:val="center"/>
          </w:tcPr>
          <w:p w14:paraId="6D73DFB5">
            <w:pPr>
              <w:pStyle w:val="698"/>
              <w:rPr>
                <w:rFonts w:hint="default" w:ascii="Times New Roman" w:hAnsi="Times New Roman" w:cs="Times New Roman"/>
                <w:color w:val="auto"/>
                <w:highlight w:val="none"/>
              </w:rPr>
            </w:pPr>
          </w:p>
        </w:tc>
        <w:tc>
          <w:tcPr>
            <w:tcW w:w="436" w:type="dxa"/>
            <w:noWrap w:val="0"/>
            <w:vAlign w:val="center"/>
          </w:tcPr>
          <w:p w14:paraId="5A0D7BDE">
            <w:pPr>
              <w:pStyle w:val="698"/>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6</w:t>
            </w:r>
          </w:p>
        </w:tc>
        <w:tc>
          <w:tcPr>
            <w:tcW w:w="2591" w:type="dxa"/>
            <w:noWrap w:val="0"/>
            <w:vAlign w:val="center"/>
          </w:tcPr>
          <w:p w14:paraId="774CA4FD">
            <w:pPr>
              <w:pStyle w:val="306"/>
              <w:keepNext w:val="0"/>
              <w:keepLines w:val="0"/>
              <w:pageBreakBefore w:val="0"/>
              <w:widowControl w:val="0"/>
              <w:tabs>
                <w:tab w:val="center" w:pos="4393"/>
                <w:tab w:val="left" w:pos="6780"/>
              </w:tabs>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sz w:val="21"/>
                <w:szCs w:val="21"/>
                <w:highlight w:val="none"/>
                <w:u w:val="none"/>
                <w:lang w:val="en-US" w:eastAsia="zh-CN"/>
              </w:rPr>
              <w:t>蚝蜊墩村</w:t>
            </w:r>
          </w:p>
        </w:tc>
        <w:tc>
          <w:tcPr>
            <w:tcW w:w="1740" w:type="dxa"/>
            <w:noWrap w:val="0"/>
            <w:vAlign w:val="center"/>
          </w:tcPr>
          <w:p w14:paraId="69D46B65">
            <w:pPr>
              <w:pStyle w:val="1653"/>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u w:val="none"/>
                <w:lang w:val="en-US" w:eastAsia="zh-CN" w:bidi="ar-SA"/>
              </w:rPr>
              <w:t>108.67750163</w:t>
            </w:r>
          </w:p>
        </w:tc>
        <w:tc>
          <w:tcPr>
            <w:tcW w:w="1725" w:type="dxa"/>
            <w:noWrap w:val="0"/>
            <w:vAlign w:val="center"/>
          </w:tcPr>
          <w:p w14:paraId="75120050">
            <w:pPr>
              <w:pStyle w:val="698"/>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u w:val="none"/>
                <w:lang w:val="en-US" w:eastAsia="zh-CN" w:bidi="ar-SA"/>
              </w:rPr>
              <w:t>21.73988989</w:t>
            </w:r>
          </w:p>
        </w:tc>
        <w:tc>
          <w:tcPr>
            <w:tcW w:w="1213" w:type="dxa"/>
            <w:noWrap w:val="0"/>
            <w:vAlign w:val="center"/>
          </w:tcPr>
          <w:p w14:paraId="2D2BAC1B">
            <w:pPr>
              <w:pStyle w:val="698"/>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东侧</w:t>
            </w:r>
          </w:p>
        </w:tc>
        <w:tc>
          <w:tcPr>
            <w:tcW w:w="1148" w:type="dxa"/>
            <w:noWrap w:val="0"/>
            <w:vAlign w:val="center"/>
          </w:tcPr>
          <w:p w14:paraId="42ED95AA">
            <w:pPr>
              <w:pStyle w:val="698"/>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428</w:t>
            </w:r>
          </w:p>
        </w:tc>
        <w:tc>
          <w:tcPr>
            <w:tcW w:w="1225" w:type="dxa"/>
            <w:noWrap w:val="0"/>
            <w:vAlign w:val="top"/>
          </w:tcPr>
          <w:p w14:paraId="40A82CA9">
            <w:pPr>
              <w:pStyle w:val="698"/>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村庄</w:t>
            </w:r>
          </w:p>
        </w:tc>
        <w:tc>
          <w:tcPr>
            <w:tcW w:w="1115" w:type="dxa"/>
            <w:noWrap w:val="0"/>
            <w:vAlign w:val="center"/>
          </w:tcPr>
          <w:p w14:paraId="2179868D">
            <w:pPr>
              <w:pStyle w:val="698"/>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80/360</w:t>
            </w:r>
          </w:p>
        </w:tc>
        <w:tc>
          <w:tcPr>
            <w:tcW w:w="1843" w:type="dxa"/>
            <w:vMerge w:val="continue"/>
            <w:noWrap w:val="0"/>
            <w:vAlign w:val="top"/>
          </w:tcPr>
          <w:p w14:paraId="7E551DD5">
            <w:pPr>
              <w:pStyle w:val="698"/>
              <w:rPr>
                <w:rFonts w:hint="default" w:ascii="Times New Roman" w:hAnsi="Times New Roman" w:cs="Times New Roman"/>
                <w:color w:val="auto"/>
                <w:highlight w:val="none"/>
              </w:rPr>
            </w:pPr>
          </w:p>
        </w:tc>
      </w:tr>
    </w:tbl>
    <w:p w14:paraId="132A5A1E">
      <w:pPr>
        <w:pStyle w:val="410"/>
        <w:numPr>
          <w:ilvl w:val="0"/>
          <w:numId w:val="24"/>
        </w:numPr>
        <w:rPr>
          <w:rFonts w:hint="default" w:ascii="Times New Roman" w:hAnsi="Times New Roman" w:cs="Times New Roman"/>
          <w:b/>
          <w:bCs/>
          <w:color w:val="auto"/>
          <w:sz w:val="21"/>
          <w:highlight w:val="none"/>
        </w:rPr>
      </w:pPr>
      <w:r>
        <w:rPr>
          <w:rFonts w:hint="default" w:ascii="Times New Roman" w:hAnsi="Times New Roman" w:cs="Times New Roman"/>
          <w:b/>
          <w:bCs/>
          <w:color w:val="auto"/>
          <w:highlight w:val="none"/>
        </w:rPr>
        <w:t>地表水环境保护目标</w:t>
      </w:r>
    </w:p>
    <w:p w14:paraId="2FA90EF0">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项目地表水环境保护目标为</w:t>
      </w:r>
      <w:r>
        <w:rPr>
          <w:rFonts w:hint="default" w:ascii="Times New Roman" w:hAnsi="Times New Roman" w:cs="Times New Roman"/>
          <w:color w:val="auto"/>
          <w:highlight w:val="none"/>
          <w:lang w:val="en-US" w:eastAsia="zh-CN"/>
        </w:rPr>
        <w:t>项目上游500m至下游</w:t>
      </w:r>
      <w:r>
        <w:rPr>
          <w:rFonts w:hint="eastAsia" w:ascii="Times New Roman" w:cs="Times New Roman"/>
          <w:color w:val="auto"/>
          <w:highlight w:val="none"/>
          <w:lang w:val="en-US" w:eastAsia="zh-CN"/>
        </w:rPr>
        <w:t>1.0k</w:t>
      </w:r>
      <w:r>
        <w:rPr>
          <w:rFonts w:hint="default" w:ascii="Times New Roman" w:hAnsi="Times New Roman" w:cs="Times New Roman"/>
          <w:color w:val="auto"/>
          <w:highlight w:val="none"/>
          <w:lang w:val="en-US" w:eastAsia="zh-CN"/>
        </w:rPr>
        <w:t>m处的淡水湾江</w:t>
      </w:r>
      <w:r>
        <w:rPr>
          <w:rFonts w:hint="default" w:ascii="Times New Roman" w:hAnsi="Times New Roman" w:cs="Times New Roman"/>
          <w:color w:val="auto"/>
          <w:highlight w:val="none"/>
        </w:rPr>
        <w:t>河段。</w:t>
      </w:r>
    </w:p>
    <w:p w14:paraId="194359F5">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r>
        <w:rPr>
          <w:rFonts w:hint="default"/>
          <w:color w:val="auto"/>
          <w:highlight w:val="none"/>
        </w:rPr>
        <w:t>地表水保护目标一览表</w:t>
      </w:r>
    </w:p>
    <w:tbl>
      <w:tblPr>
        <w:tblStyle w:val="87"/>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26"/>
        <w:gridCol w:w="2693"/>
        <w:gridCol w:w="6444"/>
        <w:gridCol w:w="3555"/>
      </w:tblGrid>
      <w:tr w14:paraId="52F7C7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26" w:type="dxa"/>
            <w:noWrap w:val="0"/>
            <w:vAlign w:val="center"/>
          </w:tcPr>
          <w:p w14:paraId="2AC4CBD8">
            <w:pPr>
              <w:pStyle w:val="69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序号</w:t>
            </w:r>
          </w:p>
        </w:tc>
        <w:tc>
          <w:tcPr>
            <w:tcW w:w="2693" w:type="dxa"/>
            <w:noWrap w:val="0"/>
            <w:vAlign w:val="center"/>
          </w:tcPr>
          <w:p w14:paraId="7675208B">
            <w:pPr>
              <w:pStyle w:val="69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地表水体名称</w:t>
            </w:r>
          </w:p>
        </w:tc>
        <w:tc>
          <w:tcPr>
            <w:tcW w:w="6444" w:type="dxa"/>
            <w:noWrap w:val="0"/>
            <w:vAlign w:val="center"/>
          </w:tcPr>
          <w:p w14:paraId="1F495A76">
            <w:pPr>
              <w:pStyle w:val="69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项目与保护目标关系</w:t>
            </w:r>
          </w:p>
        </w:tc>
        <w:tc>
          <w:tcPr>
            <w:tcW w:w="3555" w:type="dxa"/>
            <w:noWrap w:val="0"/>
            <w:vAlign w:val="center"/>
          </w:tcPr>
          <w:p w14:paraId="65FD4098">
            <w:pPr>
              <w:pStyle w:val="69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水质目标</w:t>
            </w:r>
          </w:p>
        </w:tc>
      </w:tr>
      <w:tr w14:paraId="29526D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26" w:type="dxa"/>
            <w:noWrap w:val="0"/>
            <w:vAlign w:val="center"/>
          </w:tcPr>
          <w:p w14:paraId="5328D409">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2693" w:type="dxa"/>
            <w:noWrap w:val="0"/>
            <w:vAlign w:val="center"/>
          </w:tcPr>
          <w:p w14:paraId="23216075">
            <w:pPr>
              <w:pStyle w:val="698"/>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淡水湾江</w:t>
            </w:r>
          </w:p>
        </w:tc>
        <w:tc>
          <w:tcPr>
            <w:tcW w:w="6444" w:type="dxa"/>
            <w:noWrap w:val="0"/>
            <w:vAlign w:val="center"/>
          </w:tcPr>
          <w:p w14:paraId="0DA15DED">
            <w:pPr>
              <w:pStyle w:val="698"/>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水系改造段涉及淡水湾江</w:t>
            </w:r>
          </w:p>
        </w:tc>
        <w:tc>
          <w:tcPr>
            <w:tcW w:w="3555" w:type="dxa"/>
            <w:noWrap w:val="0"/>
            <w:vAlign w:val="center"/>
          </w:tcPr>
          <w:p w14:paraId="4A4A0266">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《地表水环境质量标准》（GB3838-2002）Ⅲ类</w:t>
            </w:r>
          </w:p>
        </w:tc>
      </w:tr>
    </w:tbl>
    <w:p w14:paraId="664914A3">
      <w:pPr>
        <w:pStyle w:val="410"/>
        <w:numPr>
          <w:ilvl w:val="0"/>
          <w:numId w:val="24"/>
        </w:numP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地下水环境保护目标</w:t>
      </w:r>
    </w:p>
    <w:p w14:paraId="2B99161F">
      <w:pPr>
        <w:pStyle w:val="85"/>
        <w:ind w:firstLine="454"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根据现场调查，项目地下水环境评价范围内没有地下水集中式供水水源</w:t>
      </w:r>
      <w:r>
        <w:rPr>
          <w:rFonts w:hint="default"/>
          <w:color w:val="auto"/>
          <w:sz w:val="24"/>
          <w:szCs w:val="24"/>
          <w:highlight w:val="none"/>
          <w:u w:val="none"/>
          <w:lang w:eastAsia="zh-CN"/>
        </w:rPr>
        <w:t>（包括已建成的在用、备用、应急水源，在建和规划的饮用水水源），区域内自来供水管网已完善，评价区周边零星分布有民井，民众不再利用现有民井作为饮用水源，无分散式饮用水源。</w:t>
      </w:r>
      <w:r>
        <w:rPr>
          <w:rFonts w:hint="eastAsia" w:ascii="Times New Roman" w:hAnsi="Times New Roman" w:eastAsia="宋体" w:cs="Times New Roman"/>
          <w:color w:val="auto"/>
          <w:sz w:val="24"/>
          <w:szCs w:val="24"/>
          <w:highlight w:val="none"/>
          <w:lang w:eastAsia="zh-CN"/>
        </w:rPr>
        <w:t>无</w:t>
      </w:r>
      <w:r>
        <w:rPr>
          <w:rFonts w:hint="default" w:ascii="Times New Roman" w:hAnsi="Times New Roman" w:eastAsia="宋体" w:cs="Times New Roman"/>
          <w:color w:val="auto"/>
          <w:sz w:val="24"/>
          <w:szCs w:val="24"/>
          <w:highlight w:val="none"/>
        </w:rPr>
        <w:t>热水、矿泉水、温泉等特殊地下水资源。</w:t>
      </w:r>
    </w:p>
    <w:p w14:paraId="4CC6CC8B">
      <w:pPr>
        <w:pStyle w:val="410"/>
        <w:numPr>
          <w:ilvl w:val="0"/>
          <w:numId w:val="24"/>
        </w:numP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生态环境保护目标</w:t>
      </w:r>
    </w:p>
    <w:p w14:paraId="423B5D8F">
      <w:pPr>
        <w:pStyle w:val="85"/>
        <w:ind w:firstLine="454"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本工程生态调查期间未发现保护、珍稀濒危鱼类。本项目生态环境保护目标见</w:t>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REF _Ref151362459 \r \h  \* MERGEFORMAT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表1.6-4</w:t>
      </w:r>
      <w:r>
        <w:rPr>
          <w:rFonts w:hint="default" w:ascii="Times New Roman" w:hAnsi="Times New Roman" w:cs="Times New Roman"/>
          <w:color w:val="auto"/>
          <w:sz w:val="24"/>
          <w:szCs w:val="24"/>
          <w:highlight w:val="none"/>
        </w:rPr>
        <w:fldChar w:fldCharType="end"/>
      </w:r>
      <w:r>
        <w:rPr>
          <w:rFonts w:hint="default" w:ascii="Times New Roman" w:hAnsi="Times New Roman" w:cs="Times New Roman"/>
          <w:color w:val="auto"/>
          <w:sz w:val="24"/>
          <w:szCs w:val="24"/>
          <w:highlight w:val="none"/>
        </w:rPr>
        <w:t>。</w:t>
      </w:r>
    </w:p>
    <w:p w14:paraId="4A43D91B">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bookmarkStart w:id="29" w:name="_Ref151362459"/>
      <w:r>
        <w:rPr>
          <w:rFonts w:hint="default"/>
          <w:color w:val="auto"/>
          <w:highlight w:val="none"/>
        </w:rPr>
        <w:t>生态环境保护目标统计表</w:t>
      </w:r>
      <w:bookmarkEnd w:id="29"/>
    </w:p>
    <w:tbl>
      <w:tblPr>
        <w:tblStyle w:val="87"/>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69"/>
        <w:gridCol w:w="1951"/>
        <w:gridCol w:w="2000"/>
        <w:gridCol w:w="9087"/>
      </w:tblGrid>
      <w:tr w14:paraId="6061A0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69" w:type="dxa"/>
            <w:noWrap w:val="0"/>
            <w:vAlign w:val="center"/>
          </w:tcPr>
          <w:p w14:paraId="761BC262">
            <w:pPr>
              <w:pStyle w:val="1647"/>
              <w:keepNext w:val="0"/>
              <w:keepLines w:val="0"/>
              <w:pageBreakBefore w:val="0"/>
              <w:widowControl w:val="0"/>
              <w:kinsoku/>
              <w:wordWrap/>
              <w:overflowPunct/>
              <w:topLinePunct w:val="0"/>
              <w:autoSpaceDE/>
              <w:autoSpaceDN/>
              <w:bidi w:val="0"/>
              <w:adjustRightInd/>
              <w:snapToGrid/>
              <w:spacing w:line="221" w:lineRule="auto"/>
              <w:ind w:left="0" w:leftChars="0"/>
              <w:jc w:val="center"/>
              <w:textAlignment w:val="auto"/>
              <w:rPr>
                <w:rFonts w:hint="default" w:ascii="Times New Roman" w:hAnsi="Times New Roman" w:cs="Times New Roman"/>
                <w:b/>
                <w:bCs/>
                <w:color w:val="auto"/>
                <w:sz w:val="21"/>
                <w:szCs w:val="16"/>
                <w:highlight w:val="none"/>
              </w:rPr>
            </w:pPr>
            <w:r>
              <w:rPr>
                <w:rFonts w:hint="default" w:ascii="Times New Roman" w:hAnsi="Times New Roman" w:cs="Times New Roman"/>
                <w:color w:val="auto"/>
                <w:spacing w:val="-2"/>
                <w:highlight w:val="none"/>
              </w:rPr>
              <w:t>环境要素</w:t>
            </w:r>
          </w:p>
        </w:tc>
        <w:tc>
          <w:tcPr>
            <w:tcW w:w="1951" w:type="dxa"/>
            <w:noWrap w:val="0"/>
            <w:vAlign w:val="center"/>
          </w:tcPr>
          <w:p w14:paraId="4DAD91DE">
            <w:pPr>
              <w:pStyle w:val="1647"/>
              <w:keepNext w:val="0"/>
              <w:keepLines w:val="0"/>
              <w:pageBreakBefore w:val="0"/>
              <w:widowControl w:val="0"/>
              <w:kinsoku/>
              <w:wordWrap/>
              <w:overflowPunct/>
              <w:topLinePunct w:val="0"/>
              <w:autoSpaceDE/>
              <w:autoSpaceDN/>
              <w:bidi w:val="0"/>
              <w:adjustRightInd/>
              <w:snapToGrid/>
              <w:spacing w:line="221" w:lineRule="auto"/>
              <w:ind w:left="0" w:leftChars="0"/>
              <w:jc w:val="center"/>
              <w:textAlignment w:val="auto"/>
              <w:rPr>
                <w:rFonts w:hint="default" w:ascii="Times New Roman" w:hAnsi="Times New Roman" w:cs="Times New Roman"/>
                <w:b/>
                <w:bCs/>
                <w:color w:val="auto"/>
                <w:sz w:val="21"/>
                <w:szCs w:val="16"/>
                <w:highlight w:val="none"/>
              </w:rPr>
            </w:pPr>
            <w:r>
              <w:rPr>
                <w:rFonts w:hint="default" w:ascii="Times New Roman" w:hAnsi="Times New Roman" w:cs="Times New Roman"/>
                <w:color w:val="auto"/>
                <w:spacing w:val="-2"/>
                <w:highlight w:val="none"/>
              </w:rPr>
              <w:t>保护对象</w:t>
            </w:r>
          </w:p>
        </w:tc>
        <w:tc>
          <w:tcPr>
            <w:tcW w:w="2000" w:type="dxa"/>
            <w:noWrap w:val="0"/>
            <w:vAlign w:val="center"/>
          </w:tcPr>
          <w:p w14:paraId="3CD98169">
            <w:pPr>
              <w:pStyle w:val="1647"/>
              <w:keepNext w:val="0"/>
              <w:keepLines w:val="0"/>
              <w:pageBreakBefore w:val="0"/>
              <w:widowControl w:val="0"/>
              <w:kinsoku/>
              <w:wordWrap/>
              <w:overflowPunct/>
              <w:topLinePunct w:val="0"/>
              <w:autoSpaceDE/>
              <w:autoSpaceDN/>
              <w:bidi w:val="0"/>
              <w:adjustRightInd/>
              <w:snapToGrid/>
              <w:spacing w:line="221" w:lineRule="auto"/>
              <w:ind w:left="0" w:leftChars="0"/>
              <w:jc w:val="center"/>
              <w:textAlignment w:val="auto"/>
              <w:rPr>
                <w:rFonts w:hint="default" w:ascii="Times New Roman" w:hAnsi="Times New Roman" w:cs="Times New Roman"/>
                <w:b/>
                <w:bCs/>
                <w:color w:val="auto"/>
                <w:sz w:val="21"/>
                <w:szCs w:val="16"/>
                <w:highlight w:val="none"/>
              </w:rPr>
            </w:pPr>
            <w:r>
              <w:rPr>
                <w:rFonts w:hint="default" w:ascii="Times New Roman" w:hAnsi="Times New Roman" w:cs="Times New Roman"/>
                <w:color w:val="auto"/>
                <w:spacing w:val="-2"/>
                <w:highlight w:val="none"/>
              </w:rPr>
              <w:t>与工程位置关系</w:t>
            </w:r>
          </w:p>
        </w:tc>
        <w:tc>
          <w:tcPr>
            <w:tcW w:w="9087" w:type="dxa"/>
            <w:noWrap w:val="0"/>
            <w:vAlign w:val="center"/>
          </w:tcPr>
          <w:p w14:paraId="6D877DA5">
            <w:pPr>
              <w:pStyle w:val="1647"/>
              <w:keepNext w:val="0"/>
              <w:keepLines w:val="0"/>
              <w:pageBreakBefore w:val="0"/>
              <w:widowControl w:val="0"/>
              <w:kinsoku/>
              <w:wordWrap/>
              <w:overflowPunct/>
              <w:topLinePunct w:val="0"/>
              <w:autoSpaceDE/>
              <w:autoSpaceDN/>
              <w:bidi w:val="0"/>
              <w:adjustRightInd/>
              <w:snapToGrid/>
              <w:spacing w:line="221" w:lineRule="auto"/>
              <w:ind w:left="0" w:leftChars="0"/>
              <w:jc w:val="center"/>
              <w:textAlignment w:val="auto"/>
              <w:rPr>
                <w:rFonts w:hint="default" w:ascii="Times New Roman" w:hAnsi="Times New Roman" w:cs="Times New Roman"/>
                <w:b/>
                <w:bCs/>
                <w:color w:val="auto"/>
                <w:sz w:val="21"/>
                <w:szCs w:val="16"/>
                <w:highlight w:val="none"/>
              </w:rPr>
            </w:pPr>
            <w:r>
              <w:rPr>
                <w:rFonts w:hint="default" w:ascii="Times New Roman" w:hAnsi="Times New Roman" w:cs="Times New Roman"/>
                <w:color w:val="auto"/>
                <w:spacing w:val="-2"/>
                <w:highlight w:val="none"/>
              </w:rPr>
              <w:t>保护目标</w:t>
            </w:r>
          </w:p>
        </w:tc>
      </w:tr>
      <w:tr w14:paraId="0CDE42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69" w:type="dxa"/>
            <w:vMerge w:val="restart"/>
            <w:noWrap w:val="0"/>
            <w:vAlign w:val="center"/>
          </w:tcPr>
          <w:p w14:paraId="46CB34EB">
            <w:pPr>
              <w:pStyle w:val="1647"/>
              <w:keepNext w:val="0"/>
              <w:keepLines w:val="0"/>
              <w:pageBreakBefore w:val="0"/>
              <w:widowControl w:val="0"/>
              <w:kinsoku/>
              <w:wordWrap/>
              <w:overflowPunct/>
              <w:topLinePunct w:val="0"/>
              <w:autoSpaceDE/>
              <w:autoSpaceDN/>
              <w:bidi w:val="0"/>
              <w:adjustRightInd/>
              <w:snapToGrid/>
              <w:spacing w:line="221" w:lineRule="auto"/>
              <w:ind w:left="0" w:leftChars="0"/>
              <w:jc w:val="center"/>
              <w:textAlignment w:val="auto"/>
              <w:rPr>
                <w:rFonts w:hint="default" w:ascii="Times New Roman" w:hAnsi="Times New Roman" w:cs="Times New Roman"/>
                <w:color w:val="auto"/>
                <w:sz w:val="21"/>
                <w:szCs w:val="16"/>
                <w:highlight w:val="none"/>
              </w:rPr>
            </w:pPr>
            <w:r>
              <w:rPr>
                <w:rFonts w:hint="default" w:ascii="Times New Roman" w:hAnsi="Times New Roman" w:cs="Times New Roman"/>
                <w:color w:val="auto"/>
                <w:spacing w:val="-2"/>
                <w:highlight w:val="none"/>
              </w:rPr>
              <w:t>生态环境</w:t>
            </w:r>
          </w:p>
        </w:tc>
        <w:tc>
          <w:tcPr>
            <w:tcW w:w="1951" w:type="dxa"/>
            <w:noWrap w:val="0"/>
            <w:vAlign w:val="center"/>
          </w:tcPr>
          <w:p w14:paraId="5830EDBB">
            <w:pPr>
              <w:pStyle w:val="1647"/>
              <w:keepNext w:val="0"/>
              <w:keepLines w:val="0"/>
              <w:pageBreakBefore w:val="0"/>
              <w:widowControl w:val="0"/>
              <w:kinsoku/>
              <w:wordWrap/>
              <w:overflowPunct/>
              <w:topLinePunct w:val="0"/>
              <w:autoSpaceDE/>
              <w:autoSpaceDN/>
              <w:bidi w:val="0"/>
              <w:adjustRightInd/>
              <w:snapToGrid/>
              <w:spacing w:line="221" w:lineRule="auto"/>
              <w:ind w:left="0" w:leftChars="0"/>
              <w:jc w:val="center"/>
              <w:textAlignment w:val="auto"/>
              <w:rPr>
                <w:rFonts w:hint="default" w:ascii="Times New Roman" w:hAnsi="Times New Roman" w:cs="Times New Roman"/>
                <w:color w:val="auto"/>
                <w:sz w:val="21"/>
                <w:szCs w:val="16"/>
                <w:highlight w:val="none"/>
              </w:rPr>
            </w:pPr>
            <w:r>
              <w:rPr>
                <w:rFonts w:hint="default" w:ascii="Times New Roman" w:hAnsi="Times New Roman" w:cs="Times New Roman"/>
                <w:color w:val="auto"/>
                <w:spacing w:val="-3"/>
                <w:highlight w:val="none"/>
              </w:rPr>
              <w:t>陆地植被和动物</w:t>
            </w:r>
          </w:p>
        </w:tc>
        <w:tc>
          <w:tcPr>
            <w:tcW w:w="2000" w:type="dxa"/>
            <w:vMerge w:val="restart"/>
            <w:noWrap w:val="0"/>
            <w:vAlign w:val="center"/>
          </w:tcPr>
          <w:p w14:paraId="1A18028B">
            <w:pPr>
              <w:pStyle w:val="1647"/>
              <w:keepNext w:val="0"/>
              <w:keepLines w:val="0"/>
              <w:pageBreakBefore w:val="0"/>
              <w:widowControl w:val="0"/>
              <w:kinsoku/>
              <w:wordWrap/>
              <w:overflowPunct/>
              <w:topLinePunct w:val="0"/>
              <w:autoSpaceDE/>
              <w:autoSpaceDN/>
              <w:bidi w:val="0"/>
              <w:adjustRightInd/>
              <w:snapToGrid/>
              <w:spacing w:line="221" w:lineRule="auto"/>
              <w:ind w:left="0" w:leftChars="0"/>
              <w:jc w:val="center"/>
              <w:textAlignment w:val="auto"/>
              <w:rPr>
                <w:rFonts w:hint="default" w:ascii="Times New Roman" w:hAnsi="Times New Roman" w:cs="Times New Roman"/>
                <w:color w:val="auto"/>
                <w:sz w:val="21"/>
                <w:szCs w:val="16"/>
                <w:highlight w:val="none"/>
              </w:rPr>
            </w:pPr>
            <w:r>
              <w:rPr>
                <w:rFonts w:hint="default" w:ascii="Times New Roman" w:hAnsi="Times New Roman" w:cs="Times New Roman"/>
                <w:color w:val="auto"/>
                <w:spacing w:val="-1"/>
                <w:highlight w:val="none"/>
              </w:rPr>
              <w:t>场址范围及周边区域</w:t>
            </w:r>
          </w:p>
        </w:tc>
        <w:tc>
          <w:tcPr>
            <w:tcW w:w="9087" w:type="dxa"/>
            <w:noWrap w:val="0"/>
            <w:vAlign w:val="center"/>
          </w:tcPr>
          <w:p w14:paraId="3A961F1F">
            <w:pPr>
              <w:pStyle w:val="1647"/>
              <w:keepNext w:val="0"/>
              <w:keepLines w:val="0"/>
              <w:pageBreakBefore w:val="0"/>
              <w:widowControl w:val="0"/>
              <w:kinsoku/>
              <w:wordWrap/>
              <w:overflowPunct/>
              <w:topLinePunct w:val="0"/>
              <w:autoSpaceDE/>
              <w:autoSpaceDN/>
              <w:bidi w:val="0"/>
              <w:adjustRightInd/>
              <w:snapToGrid/>
              <w:spacing w:line="220" w:lineRule="auto"/>
              <w:ind w:left="0"/>
              <w:jc w:val="center"/>
              <w:textAlignment w:val="auto"/>
              <w:rPr>
                <w:rFonts w:hint="default" w:ascii="Times New Roman" w:hAnsi="Times New Roman" w:cs="Times New Roman"/>
                <w:color w:val="auto"/>
                <w:sz w:val="21"/>
                <w:szCs w:val="16"/>
                <w:highlight w:val="none"/>
              </w:rPr>
            </w:pPr>
            <w:r>
              <w:rPr>
                <w:rFonts w:hint="default" w:ascii="Times New Roman" w:hAnsi="Times New Roman" w:cs="Times New Roman"/>
                <w:color w:val="auto"/>
                <w:spacing w:val="-1"/>
                <w:highlight w:val="none"/>
              </w:rPr>
              <w:t>主要为人工种植作物和桉树以及分布</w:t>
            </w:r>
            <w:r>
              <w:rPr>
                <w:rFonts w:hint="default" w:ascii="Times New Roman" w:hAnsi="Times New Roman" w:cs="Times New Roman"/>
                <w:color w:val="auto"/>
                <w:spacing w:val="-3"/>
                <w:highlight w:val="none"/>
              </w:rPr>
              <w:t>于河滩地上的草本植物，未发现珍稀动</w:t>
            </w:r>
            <w:r>
              <w:rPr>
                <w:rFonts w:hint="default" w:ascii="Times New Roman" w:hAnsi="Times New Roman" w:cs="Times New Roman"/>
                <w:color w:val="auto"/>
                <w:spacing w:val="-1"/>
                <w:highlight w:val="none"/>
              </w:rPr>
              <w:t>植物分布，保护生物多样性</w:t>
            </w:r>
          </w:p>
        </w:tc>
      </w:tr>
      <w:tr w14:paraId="6FF101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69" w:type="dxa"/>
            <w:vMerge w:val="continue"/>
            <w:noWrap w:val="0"/>
            <w:vAlign w:val="center"/>
          </w:tcPr>
          <w:p w14:paraId="4D3095F9">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color w:val="auto"/>
                <w:sz w:val="21"/>
                <w:szCs w:val="16"/>
                <w:highlight w:val="none"/>
              </w:rPr>
            </w:pPr>
          </w:p>
        </w:tc>
        <w:tc>
          <w:tcPr>
            <w:tcW w:w="1951" w:type="dxa"/>
            <w:noWrap w:val="0"/>
            <w:vAlign w:val="center"/>
          </w:tcPr>
          <w:p w14:paraId="4AEF4C35">
            <w:pPr>
              <w:pStyle w:val="1647"/>
              <w:keepNext w:val="0"/>
              <w:keepLines w:val="0"/>
              <w:pageBreakBefore w:val="0"/>
              <w:widowControl w:val="0"/>
              <w:kinsoku/>
              <w:wordWrap/>
              <w:overflowPunct/>
              <w:topLinePunct w:val="0"/>
              <w:autoSpaceDE/>
              <w:autoSpaceDN/>
              <w:bidi w:val="0"/>
              <w:adjustRightInd/>
              <w:snapToGrid/>
              <w:spacing w:line="221" w:lineRule="auto"/>
              <w:ind w:left="0" w:leftChars="0"/>
              <w:jc w:val="center"/>
              <w:textAlignment w:val="auto"/>
              <w:rPr>
                <w:rFonts w:hint="default" w:ascii="Times New Roman" w:hAnsi="Times New Roman" w:cs="Times New Roman"/>
                <w:color w:val="auto"/>
                <w:sz w:val="21"/>
                <w:szCs w:val="16"/>
                <w:highlight w:val="none"/>
              </w:rPr>
            </w:pPr>
            <w:r>
              <w:rPr>
                <w:rFonts w:hint="eastAsia" w:ascii="Times New Roman" w:hAnsi="Times New Roman" w:cs="Times New Roman"/>
                <w:color w:val="auto"/>
                <w:spacing w:val="-2"/>
                <w:highlight w:val="none"/>
                <w:lang w:val="en-US" w:eastAsia="zh-CN"/>
              </w:rPr>
              <w:t>淡水湾江</w:t>
            </w:r>
            <w:r>
              <w:rPr>
                <w:rFonts w:hint="default" w:ascii="Times New Roman" w:hAnsi="Times New Roman" w:cs="Times New Roman"/>
                <w:color w:val="auto"/>
                <w:spacing w:val="-2"/>
                <w:highlight w:val="none"/>
              </w:rPr>
              <w:t>水生生物</w:t>
            </w:r>
          </w:p>
        </w:tc>
        <w:tc>
          <w:tcPr>
            <w:tcW w:w="2000" w:type="dxa"/>
            <w:vMerge w:val="continue"/>
            <w:noWrap w:val="0"/>
            <w:vAlign w:val="center"/>
          </w:tcPr>
          <w:p w14:paraId="6321A5D7">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color w:val="auto"/>
                <w:sz w:val="21"/>
                <w:szCs w:val="16"/>
                <w:highlight w:val="none"/>
              </w:rPr>
            </w:pPr>
          </w:p>
        </w:tc>
        <w:tc>
          <w:tcPr>
            <w:tcW w:w="9087" w:type="dxa"/>
            <w:noWrap w:val="0"/>
            <w:vAlign w:val="center"/>
          </w:tcPr>
          <w:p w14:paraId="775BC855">
            <w:pPr>
              <w:pStyle w:val="1647"/>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rFonts w:hint="default" w:ascii="Times New Roman" w:hAnsi="Times New Roman" w:cs="Times New Roman"/>
                <w:color w:val="auto"/>
                <w:sz w:val="21"/>
                <w:szCs w:val="16"/>
                <w:highlight w:val="none"/>
              </w:rPr>
            </w:pPr>
            <w:r>
              <w:rPr>
                <w:rFonts w:hint="default" w:ascii="Times New Roman" w:hAnsi="Times New Roman" w:cs="Times New Roman"/>
                <w:color w:val="auto"/>
                <w:spacing w:val="-3"/>
                <w:highlight w:val="none"/>
              </w:rPr>
              <w:t>鱼类、植物、浮游生物等水生生物多样</w:t>
            </w:r>
            <w:r>
              <w:rPr>
                <w:rFonts w:hint="default" w:ascii="Times New Roman" w:hAnsi="Times New Roman" w:cs="Times New Roman"/>
                <w:color w:val="auto"/>
                <w:spacing w:val="-1"/>
                <w:highlight w:val="none"/>
              </w:rPr>
              <w:t>性</w:t>
            </w:r>
          </w:p>
        </w:tc>
      </w:tr>
    </w:tbl>
    <w:p w14:paraId="157845CA">
      <w:pPr>
        <w:pStyle w:val="410"/>
        <w:rPr>
          <w:rFonts w:hint="default" w:ascii="Times New Roman" w:hAnsi="Times New Roman" w:cs="Times New Roman"/>
          <w:color w:val="auto"/>
          <w:sz w:val="21"/>
          <w:highlight w:val="none"/>
        </w:rPr>
      </w:pPr>
    </w:p>
    <w:p w14:paraId="6E29C2A7">
      <w:pPr>
        <w:pStyle w:val="410"/>
        <w:rPr>
          <w:rFonts w:hint="default" w:ascii="Times New Roman" w:hAnsi="Times New Roman" w:cs="Times New Roman"/>
          <w:color w:val="auto"/>
          <w:sz w:val="21"/>
          <w:highlight w:val="none"/>
        </w:rPr>
        <w:sectPr>
          <w:pgSz w:w="16838" w:h="11906" w:orient="landscape"/>
          <w:pgMar w:top="1780" w:right="1418" w:bottom="1514" w:left="1418" w:header="1134" w:footer="992" w:gutter="0"/>
          <w:cols w:space="720" w:num="1"/>
          <w:docGrid w:type="linesAndChars" w:linePitch="466" w:charSpace="-2738"/>
        </w:sectPr>
      </w:pPr>
    </w:p>
    <w:p w14:paraId="53BB2803">
      <w:pPr>
        <w:pStyle w:val="4"/>
        <w:bidi w:val="0"/>
        <w:ind w:left="678" w:leftChars="0" w:firstLine="0" w:firstLineChars="0"/>
        <w:rPr>
          <w:rFonts w:hint="default"/>
          <w:color w:val="auto"/>
          <w:highlight w:val="none"/>
        </w:rPr>
      </w:pPr>
      <w:bookmarkStart w:id="30" w:name="_Ref149833627"/>
      <w:bookmarkStart w:id="31" w:name="_Ref149833623"/>
      <w:bookmarkStart w:id="32" w:name="_Toc3852"/>
      <w:bookmarkStart w:id="33" w:name="_Ref149833619"/>
      <w:bookmarkStart w:id="34" w:name="_Ref149833609"/>
      <w:r>
        <w:rPr>
          <w:rFonts w:hint="default"/>
          <w:color w:val="auto"/>
          <w:highlight w:val="none"/>
        </w:rPr>
        <w:t>产业政策及规划相符性分析</w:t>
      </w:r>
      <w:bookmarkEnd w:id="30"/>
      <w:bookmarkEnd w:id="31"/>
      <w:bookmarkEnd w:id="32"/>
      <w:bookmarkEnd w:id="33"/>
      <w:bookmarkEnd w:id="34"/>
    </w:p>
    <w:p w14:paraId="464F6424">
      <w:pPr>
        <w:pStyle w:val="5"/>
        <w:bidi w:val="0"/>
        <w:ind w:left="452" w:leftChars="0" w:firstLine="0" w:firstLineChars="0"/>
        <w:rPr>
          <w:rFonts w:hint="default"/>
          <w:color w:val="auto"/>
          <w:highlight w:val="none"/>
        </w:rPr>
      </w:pPr>
      <w:r>
        <w:rPr>
          <w:rFonts w:hint="default"/>
          <w:color w:val="auto"/>
          <w:highlight w:val="none"/>
        </w:rPr>
        <w:t>与国家产业政策相符性分析</w:t>
      </w:r>
    </w:p>
    <w:p w14:paraId="7493B0EA">
      <w:pPr>
        <w:pStyle w:val="41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eastAsia="zh-CN"/>
        </w:rPr>
        <w:t>为防洪治涝工程</w:t>
      </w:r>
      <w:r>
        <w:rPr>
          <w:rFonts w:hint="default" w:ascii="Times New Roman" w:hAnsi="Times New Roman" w:cs="Times New Roman"/>
          <w:color w:val="auto"/>
          <w:highlight w:val="none"/>
        </w:rPr>
        <w:t>，对照《产业结构调整指导目录（</w:t>
      </w:r>
      <w:r>
        <w:rPr>
          <w:rFonts w:hint="default" w:ascii="Times New Roman" w:hAnsi="Times New Roman" w:cs="Times New Roman"/>
          <w:color w:val="auto"/>
          <w:highlight w:val="none"/>
          <w:lang w:val="en-US" w:eastAsia="zh-CN"/>
        </w:rPr>
        <w:t>2024</w:t>
      </w:r>
      <w:r>
        <w:rPr>
          <w:rFonts w:hint="default" w:ascii="Times New Roman" w:hAnsi="Times New Roman" w:cs="Times New Roman"/>
          <w:color w:val="auto"/>
          <w:highlight w:val="none"/>
        </w:rPr>
        <w:t>年本）》，属于“鼓励类”第二</w:t>
      </w:r>
      <w:r>
        <w:rPr>
          <w:rFonts w:hint="default" w:ascii="Times New Roman" w:hAnsi="Times New Roman" w:cs="Times New Roman"/>
          <w:color w:val="auto"/>
          <w:highlight w:val="none"/>
          <w:lang w:eastAsia="zh-CN"/>
        </w:rPr>
        <w:t>条“</w:t>
      </w:r>
      <w:r>
        <w:rPr>
          <w:rFonts w:hint="eastAsia" w:ascii="Times New Roman" w:hAnsi="Times New Roman" w:cs="Times New Roman"/>
          <w:color w:val="auto"/>
          <w:highlight w:val="none"/>
          <w:lang w:eastAsia="zh-CN"/>
        </w:rPr>
        <w:t>水利</w:t>
      </w:r>
      <w:r>
        <w:rPr>
          <w:rFonts w:hint="default" w:ascii="Times New Roman" w:hAnsi="Times New Roman" w:cs="Times New Roman"/>
          <w:color w:val="auto"/>
          <w:highlight w:val="none"/>
          <w:lang w:eastAsia="zh-CN"/>
        </w:rPr>
        <w:t>”第</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项</w:t>
      </w:r>
      <w:r>
        <w:rPr>
          <w:rFonts w:hint="eastAsia" w:ascii="Times New Roman" w:hAnsi="Times New Roman" w:cs="Times New Roman"/>
          <w:color w:val="auto"/>
          <w:highlight w:val="none"/>
          <w:lang w:eastAsia="zh-CN"/>
        </w:rPr>
        <w:t>“防洪</w:t>
      </w:r>
      <w:r>
        <w:rPr>
          <w:rFonts w:hint="eastAsia" w:ascii="Times New Roman" w:cs="Times New Roman"/>
          <w:color w:val="auto"/>
          <w:highlight w:val="none"/>
          <w:lang w:val="en-US" w:eastAsia="zh-CN"/>
        </w:rPr>
        <w:t>提升</w:t>
      </w:r>
      <w:r>
        <w:rPr>
          <w:rFonts w:hint="eastAsia" w:ascii="Times New Roman" w:hAnsi="Times New Roman" w:cs="Times New Roman"/>
          <w:color w:val="auto"/>
          <w:highlight w:val="none"/>
          <w:lang w:eastAsia="zh-CN"/>
        </w:rPr>
        <w:t>工程：江河湖海堤防建设及河道治理工程”</w:t>
      </w:r>
      <w:r>
        <w:rPr>
          <w:rFonts w:hint="default" w:ascii="Times New Roman" w:hAnsi="Times New Roman" w:cs="Times New Roman"/>
          <w:color w:val="auto"/>
          <w:highlight w:val="none"/>
          <w:lang w:eastAsia="zh-CN"/>
        </w:rPr>
        <w:t>，项目</w:t>
      </w:r>
      <w:r>
        <w:rPr>
          <w:rFonts w:hint="default" w:ascii="Times New Roman" w:hAnsi="Times New Roman" w:cs="Times New Roman"/>
          <w:color w:val="auto"/>
          <w:highlight w:val="none"/>
          <w:lang w:val="en-US" w:eastAsia="zh-CN"/>
        </w:rPr>
        <w:t>已取得《中国（广西）自由贸易试验区钦州港片区行政审批局关于钦州港新型城乡融合发展示范区（自贸新城）排水改造工程初步设计（含概算）的批复》，项目代码：2310-450704-04-01-967064。</w:t>
      </w:r>
    </w:p>
    <w:p w14:paraId="6F828DE6">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项目</w:t>
      </w:r>
      <w:r>
        <w:rPr>
          <w:rFonts w:hint="default" w:ascii="Times New Roman" w:hAnsi="Times New Roman" w:cs="Times New Roman"/>
          <w:color w:val="auto"/>
          <w:highlight w:val="none"/>
        </w:rPr>
        <w:t>符合现行国家</w:t>
      </w:r>
      <w:r>
        <w:rPr>
          <w:rFonts w:hint="default" w:ascii="Times New Roman" w:hAnsi="Times New Roman" w:cs="Times New Roman"/>
          <w:color w:val="auto"/>
          <w:highlight w:val="none"/>
          <w:lang w:eastAsia="zh-CN"/>
        </w:rPr>
        <w:t>和地方</w:t>
      </w:r>
      <w:r>
        <w:rPr>
          <w:rFonts w:hint="default" w:ascii="Times New Roman" w:hAnsi="Times New Roman" w:cs="Times New Roman"/>
          <w:color w:val="auto"/>
          <w:highlight w:val="none"/>
        </w:rPr>
        <w:t>产业政策。</w:t>
      </w:r>
    </w:p>
    <w:p w14:paraId="4656687D">
      <w:pPr>
        <w:pStyle w:val="5"/>
        <w:bidi w:val="0"/>
        <w:ind w:left="452" w:leftChars="0" w:firstLine="0" w:firstLineChars="0"/>
        <w:rPr>
          <w:rFonts w:hint="default"/>
          <w:color w:val="auto"/>
          <w:highlight w:val="none"/>
        </w:rPr>
      </w:pPr>
      <w:bookmarkStart w:id="35" w:name="_Ref143768270"/>
      <w:r>
        <w:rPr>
          <w:rFonts w:hint="default"/>
          <w:color w:val="auto"/>
          <w:highlight w:val="none"/>
        </w:rPr>
        <w:t>与</w:t>
      </w:r>
      <w:bookmarkEnd w:id="35"/>
      <w:r>
        <w:rPr>
          <w:rFonts w:hint="default"/>
          <w:color w:val="auto"/>
          <w:highlight w:val="none"/>
        </w:rPr>
        <w:t>项目与《关于印发机场、港口、水利（河湖整治与防洪除涝工程）三个行业建设项目环境影响评价文件审批原则的通知》（环办环评〔2018〕2号）符合性分析</w:t>
      </w:r>
    </w:p>
    <w:p w14:paraId="3675472D">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r>
        <w:rPr>
          <w:rFonts w:hint="default"/>
          <w:color w:val="auto"/>
          <w:highlight w:val="none"/>
          <w:lang w:val="en-US" w:eastAsia="zh-CN"/>
        </w:rPr>
        <w:t>水利建设项目</w:t>
      </w:r>
      <w:r>
        <w:rPr>
          <w:rFonts w:hint="default"/>
          <w:color w:val="auto"/>
          <w:highlight w:val="none"/>
        </w:rPr>
        <w:t>环境影响评价文件审批原则（试行）内容摘要</w:t>
      </w:r>
    </w:p>
    <w:tbl>
      <w:tblPr>
        <w:tblStyle w:val="8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25"/>
        <w:gridCol w:w="4413"/>
        <w:gridCol w:w="3067"/>
        <w:gridCol w:w="710"/>
      </w:tblGrid>
      <w:tr w14:paraId="6EC1B4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5" w:type="dxa"/>
            <w:noWrap w:val="0"/>
            <w:vAlign w:val="center"/>
          </w:tcPr>
          <w:p w14:paraId="0F97BD2B">
            <w:pPr>
              <w:pStyle w:val="1648"/>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4413" w:type="dxa"/>
            <w:noWrap w:val="0"/>
            <w:vAlign w:val="center"/>
          </w:tcPr>
          <w:p w14:paraId="493E790B">
            <w:pPr>
              <w:pStyle w:val="1648"/>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《水利建设项目</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河湖整治与防洪除涝工程</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环境影响评价文件审批原则</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试行</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》要求</w:t>
            </w:r>
          </w:p>
        </w:tc>
        <w:tc>
          <w:tcPr>
            <w:tcW w:w="3067" w:type="dxa"/>
            <w:noWrap w:val="0"/>
            <w:vAlign w:val="center"/>
          </w:tcPr>
          <w:p w14:paraId="52D8546A">
            <w:pPr>
              <w:pStyle w:val="1648"/>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项目情况</w:t>
            </w:r>
          </w:p>
        </w:tc>
        <w:tc>
          <w:tcPr>
            <w:tcW w:w="710" w:type="dxa"/>
            <w:noWrap w:val="0"/>
            <w:vAlign w:val="center"/>
          </w:tcPr>
          <w:p w14:paraId="4196C973">
            <w:pPr>
              <w:pStyle w:val="1648"/>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符合性</w:t>
            </w:r>
          </w:p>
        </w:tc>
      </w:tr>
      <w:tr w14:paraId="4845ED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5" w:type="dxa"/>
            <w:noWrap w:val="0"/>
            <w:vAlign w:val="center"/>
          </w:tcPr>
          <w:p w14:paraId="5FBC51AC">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4413" w:type="dxa"/>
            <w:noWrap w:val="0"/>
            <w:vAlign w:val="center"/>
          </w:tcPr>
          <w:p w14:paraId="5D0AF02C">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本原则适用于河湖整治与防洪除涝工程环境影响评价文件的审批，工程建设内容包括疏浚、堤防建设、闸坝闸站建设、岸线治理、水系连通、蓄</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滞</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洪区建设、排涝治理等</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引调水、防洪水库等水利枢纽工程除外</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。其他类似工程可参照执行。</w:t>
            </w:r>
          </w:p>
        </w:tc>
        <w:tc>
          <w:tcPr>
            <w:tcW w:w="3067" w:type="dxa"/>
            <w:noWrap w:val="0"/>
            <w:vAlign w:val="center"/>
          </w:tcPr>
          <w:p w14:paraId="56F1EA3F">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w:t>
            </w:r>
            <w:r>
              <w:rPr>
                <w:rFonts w:hint="default" w:ascii="Times New Roman" w:hAnsi="Times New Roman" w:cs="Times New Roman"/>
                <w:color w:val="auto"/>
                <w:sz w:val="21"/>
                <w:szCs w:val="21"/>
                <w:highlight w:val="none"/>
                <w:lang w:eastAsia="zh-CN"/>
              </w:rPr>
              <w:t>为</w:t>
            </w:r>
            <w:r>
              <w:rPr>
                <w:rFonts w:hint="eastAsia" w:ascii="Times New Roman" w:hAnsi="Times New Roman" w:cs="Times New Roman"/>
                <w:color w:val="auto"/>
                <w:sz w:val="21"/>
                <w:szCs w:val="21"/>
                <w:highlight w:val="none"/>
                <w:lang w:eastAsia="zh-CN"/>
              </w:rPr>
              <w:t>防洪除涝</w:t>
            </w:r>
            <w:r>
              <w:rPr>
                <w:rFonts w:hint="default" w:ascii="Times New Roman" w:hAnsi="Times New Roman" w:cs="Times New Roman"/>
                <w:color w:val="auto"/>
                <w:sz w:val="21"/>
                <w:szCs w:val="21"/>
                <w:highlight w:val="none"/>
              </w:rPr>
              <w:t>环境影响评价</w:t>
            </w:r>
            <w:r>
              <w:rPr>
                <w:rFonts w:hint="default" w:ascii="Times New Roman" w:hAnsi="Times New Roman" w:cs="Times New Roman"/>
                <w:color w:val="auto"/>
                <w:sz w:val="21"/>
                <w:szCs w:val="21"/>
                <w:highlight w:val="none"/>
                <w:lang w:eastAsia="zh-CN"/>
              </w:rPr>
              <w:t>文件，工程建设内容为</w:t>
            </w:r>
            <w:r>
              <w:rPr>
                <w:rFonts w:hint="eastAsia" w:ascii="Times New Roman" w:hAnsi="Times New Roman" w:cs="Times New Roman"/>
                <w:color w:val="auto"/>
                <w:sz w:val="21"/>
                <w:szCs w:val="21"/>
                <w:highlight w:val="none"/>
                <w:lang w:eastAsia="zh-CN"/>
              </w:rPr>
              <w:t>排水管建设、</w:t>
            </w:r>
            <w:r>
              <w:rPr>
                <w:rFonts w:hint="default" w:ascii="Times New Roman" w:hAnsi="Times New Roman" w:cs="Times New Roman"/>
                <w:color w:val="auto"/>
                <w:sz w:val="21"/>
                <w:szCs w:val="21"/>
                <w:highlight w:val="none"/>
                <w:lang w:eastAsia="zh-CN"/>
              </w:rPr>
              <w:t>岸线治理、排涝治理及</w:t>
            </w:r>
            <w:r>
              <w:rPr>
                <w:rFonts w:hint="default" w:ascii="Times New Roman" w:hAnsi="Times New Roman" w:cs="Times New Roman"/>
                <w:color w:val="auto"/>
                <w:sz w:val="21"/>
                <w:szCs w:val="21"/>
                <w:highlight w:val="none"/>
              </w:rPr>
              <w:t>建筑物工程等。</w:t>
            </w:r>
          </w:p>
        </w:tc>
        <w:tc>
          <w:tcPr>
            <w:tcW w:w="710" w:type="dxa"/>
            <w:noWrap w:val="0"/>
            <w:vAlign w:val="center"/>
          </w:tcPr>
          <w:p w14:paraId="0B29AB74">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0275ED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25" w:type="dxa"/>
            <w:noWrap w:val="0"/>
            <w:vAlign w:val="center"/>
          </w:tcPr>
          <w:p w14:paraId="0162FE33">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4413" w:type="dxa"/>
            <w:noWrap w:val="0"/>
            <w:vAlign w:val="center"/>
          </w:tcPr>
          <w:p w14:paraId="4E4A7A04">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符合环境保护相关法律法规和政策要求，与主体功能区规划、生态功能区划、水环境功能区划、水功能区划、生态环境保护规划、流域综合规划、防洪规划等相协调，满足相关规划环评要求。工程涉及岸线调整</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治导线变化</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、裁弯取直、围垦水面和占用河湖滩地等建设内容的，充分论证了方案环境可行性，最大程度保持了河湖自然形态，最大限度维护了河湖健康、生态系统功能和生物多样性。</w:t>
            </w:r>
          </w:p>
        </w:tc>
        <w:tc>
          <w:tcPr>
            <w:tcW w:w="3067" w:type="dxa"/>
            <w:noWrap w:val="0"/>
            <w:vAlign w:val="center"/>
          </w:tcPr>
          <w:p w14:paraId="5766B4AE">
            <w:pPr>
              <w:pStyle w:val="1648"/>
              <w:snapToGrid w:val="0"/>
              <w:jc w:val="center"/>
              <w:rPr>
                <w:rFonts w:hint="default" w:ascii="Times New Roman" w:hAnsi="Times New Roman" w:cs="Times New Roman"/>
                <w:color w:val="auto"/>
                <w:sz w:val="21"/>
                <w:szCs w:val="21"/>
                <w:highlight w:val="none"/>
                <w:u w:val="single"/>
              </w:rPr>
            </w:pPr>
            <w:r>
              <w:rPr>
                <w:rFonts w:hint="default" w:ascii="Times New Roman" w:hAnsi="Times New Roman" w:cs="Times New Roman"/>
                <w:color w:val="auto"/>
                <w:sz w:val="21"/>
                <w:szCs w:val="21"/>
                <w:highlight w:val="none"/>
                <w:u w:val="single"/>
              </w:rPr>
              <w:t>本项目</w:t>
            </w:r>
            <w:r>
              <w:rPr>
                <w:rFonts w:hint="default" w:ascii="Times New Roman" w:hAnsi="Times New Roman" w:cs="Times New Roman"/>
                <w:color w:val="auto"/>
                <w:sz w:val="21"/>
                <w:szCs w:val="21"/>
                <w:highlight w:val="none"/>
                <w:u w:val="single"/>
                <w:lang w:eastAsia="zh-CN"/>
              </w:rPr>
              <w:t>属于《产业结构调整指导目录》（2024年本）中的鼓励类项目，</w:t>
            </w:r>
            <w:r>
              <w:rPr>
                <w:rFonts w:hint="default" w:ascii="Times New Roman" w:hAnsi="Times New Roman" w:eastAsia="宋体" w:cs="Times New Roman"/>
                <w:color w:val="auto"/>
                <w:sz w:val="21"/>
                <w:szCs w:val="21"/>
                <w:highlight w:val="none"/>
                <w:u w:val="single"/>
              </w:rPr>
              <w:t>符合</w:t>
            </w:r>
            <w:r>
              <w:rPr>
                <w:rFonts w:hint="default" w:ascii="Times New Roman" w:hAnsi="Times New Roman" w:eastAsia="宋体" w:cs="Times New Roman"/>
                <w:color w:val="auto"/>
                <w:sz w:val="21"/>
                <w:szCs w:val="21"/>
                <w:highlight w:val="none"/>
                <w:u w:val="single"/>
                <w:lang w:eastAsia="zh-CN"/>
              </w:rPr>
              <w:t>《</w:t>
            </w:r>
            <w:r>
              <w:rPr>
                <w:rFonts w:hint="eastAsia" w:ascii="Times New Roman" w:hAnsi="Times New Roman" w:eastAsia="宋体" w:cs="Times New Roman"/>
                <w:color w:val="auto"/>
                <w:sz w:val="21"/>
                <w:szCs w:val="21"/>
                <w:highlight w:val="none"/>
                <w:u w:val="single"/>
                <w:lang w:eastAsia="zh-CN"/>
              </w:rPr>
              <w:t>钦州市生态环境分区管控动态更新成果（</w:t>
            </w:r>
            <w:r>
              <w:rPr>
                <w:rFonts w:hint="eastAsia" w:ascii="Times New Roman" w:hAnsi="Times New Roman" w:eastAsia="宋体" w:cs="Times New Roman"/>
                <w:color w:val="auto"/>
                <w:sz w:val="21"/>
                <w:szCs w:val="21"/>
                <w:highlight w:val="none"/>
                <w:u w:val="single"/>
                <w:lang w:val="en-US" w:eastAsia="zh-CN"/>
              </w:rPr>
              <w:t>2023版</w:t>
            </w:r>
            <w:r>
              <w:rPr>
                <w:rFonts w:hint="eastAsia" w:ascii="Times New Roman" w:hAnsi="Times New Roman" w:eastAsia="宋体" w:cs="Times New Roman"/>
                <w:color w:val="auto"/>
                <w:sz w:val="21"/>
                <w:szCs w:val="21"/>
                <w:highlight w:val="none"/>
                <w:u w:val="single"/>
                <w:lang w:eastAsia="zh-CN"/>
              </w:rPr>
              <w:t>）》</w:t>
            </w:r>
            <w:r>
              <w:rPr>
                <w:rFonts w:hint="default" w:ascii="Times New Roman" w:hAnsi="Times New Roman" w:cs="Times New Roman"/>
                <w:color w:val="auto"/>
                <w:sz w:val="21"/>
                <w:szCs w:val="21"/>
                <w:highlight w:val="none"/>
                <w:u w:val="single"/>
              </w:rPr>
              <w:t>相关要求，项目建设不降低区域水环境质量。</w:t>
            </w:r>
          </w:p>
          <w:p w14:paraId="195F80D4">
            <w:pPr>
              <w:pStyle w:val="1648"/>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u w:val="single"/>
                <w:lang w:val="en-US" w:eastAsia="zh-CN"/>
              </w:rPr>
              <w:t xml:space="preserve"> 项目建设涉及河道裁弯取直，建设符合城区建设规划，同时项目建设有利于区域行洪、排水能力的提升。本次评价论证裁弯取直的生态影响及可行性，项目建设对原河道健康</w:t>
            </w:r>
            <w:r>
              <w:rPr>
                <w:rFonts w:hint="default" w:ascii="Times New Roman" w:hAnsi="Times New Roman" w:cs="Times New Roman"/>
                <w:color w:val="auto"/>
                <w:sz w:val="21"/>
                <w:szCs w:val="21"/>
                <w:highlight w:val="none"/>
                <w:u w:val="single"/>
              </w:rPr>
              <w:t>生态系统功能和生物多样性</w:t>
            </w:r>
            <w:r>
              <w:rPr>
                <w:rFonts w:hint="eastAsia" w:ascii="Times New Roman" w:cs="Times New Roman"/>
                <w:color w:val="auto"/>
                <w:sz w:val="21"/>
                <w:szCs w:val="21"/>
                <w:highlight w:val="none"/>
                <w:u w:val="single"/>
                <w:lang w:val="en-US" w:eastAsia="zh-CN"/>
              </w:rPr>
              <w:t>产生一定影响，但对区域流域生态环境影响不大。</w:t>
            </w:r>
          </w:p>
        </w:tc>
        <w:tc>
          <w:tcPr>
            <w:tcW w:w="710" w:type="dxa"/>
            <w:noWrap w:val="0"/>
            <w:vAlign w:val="center"/>
          </w:tcPr>
          <w:p w14:paraId="03F44EE0">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4C6125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5" w:type="dxa"/>
            <w:noWrap w:val="0"/>
            <w:vAlign w:val="center"/>
          </w:tcPr>
          <w:p w14:paraId="62823FFA">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4413" w:type="dxa"/>
            <w:noWrap w:val="0"/>
            <w:vAlign w:val="center"/>
          </w:tcPr>
          <w:p w14:paraId="5EEBFD7F">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程选址选线、施工布置原则上不占用自然保护区、风景名胜区、世界文化和自然遗产地以及其他生态保护红线等环境敏感区中法律法规禁止占用的区域，并与饮用水水源保护区的保护要求相协调。法律法规、政策另有规定的从其规定。</w:t>
            </w:r>
          </w:p>
        </w:tc>
        <w:tc>
          <w:tcPr>
            <w:tcW w:w="3067" w:type="dxa"/>
            <w:noWrap w:val="0"/>
            <w:vAlign w:val="center"/>
          </w:tcPr>
          <w:p w14:paraId="6BC1A0FA">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本项目工程选址选线、施工布置不占用自然保护区、风景名胜区、世界文化和自然遗产地以及其他生态保护红线等环境敏感区中法律法规禁止占用的区域。</w:t>
            </w:r>
          </w:p>
        </w:tc>
        <w:tc>
          <w:tcPr>
            <w:tcW w:w="710" w:type="dxa"/>
            <w:noWrap w:val="0"/>
            <w:vAlign w:val="center"/>
          </w:tcPr>
          <w:p w14:paraId="6294FBC0">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062FBF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5" w:type="dxa"/>
            <w:noWrap w:val="0"/>
            <w:vAlign w:val="center"/>
          </w:tcPr>
          <w:p w14:paraId="54CE5604">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4413" w:type="dxa"/>
            <w:noWrap w:val="0"/>
            <w:vAlign w:val="center"/>
          </w:tcPr>
          <w:p w14:paraId="0D044965">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实施改变水动力条件或水文过程且对水质产生不利影响的，提出了工程优化调整、科学调度、实施区域流域水污染防治等措施。对地下水环境产生不利影响或次生环境影响的，提出了优化工程设计、导排、防护等针对性的防治措施。</w:t>
            </w:r>
          </w:p>
          <w:p w14:paraId="7BC9ECB1">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在采取上述措施后，对水环境的不利影响能够得到缓解和控制，居民用水安全能够得到保障，相关区域不会出现显著的土壤潜育化、沼泽化、盐碱化等次生环境问题。</w:t>
            </w:r>
          </w:p>
        </w:tc>
        <w:tc>
          <w:tcPr>
            <w:tcW w:w="3067" w:type="dxa"/>
            <w:noWrap w:val="0"/>
            <w:vAlign w:val="center"/>
          </w:tcPr>
          <w:p w14:paraId="707B2DCC">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u w:val="single"/>
              </w:rPr>
              <w:t>本项目实施过程中，</w:t>
            </w:r>
            <w:r>
              <w:rPr>
                <w:rFonts w:hint="eastAsia" w:ascii="Times New Roman" w:hAnsi="Times New Roman" w:cs="Times New Roman"/>
                <w:color w:val="auto"/>
                <w:sz w:val="21"/>
                <w:szCs w:val="21"/>
                <w:highlight w:val="none"/>
                <w:u w:val="single"/>
                <w:lang w:eastAsia="zh-CN"/>
              </w:rPr>
              <w:t>对区域水动力条件及水文过程造成一定影响</w:t>
            </w:r>
            <w:r>
              <w:rPr>
                <w:rFonts w:hint="default" w:ascii="Times New Roman" w:hAnsi="Times New Roman" w:cs="Times New Roman"/>
                <w:color w:val="auto"/>
                <w:sz w:val="21"/>
                <w:szCs w:val="21"/>
                <w:highlight w:val="none"/>
                <w:u w:val="single"/>
              </w:rPr>
              <w:t>，</w:t>
            </w:r>
            <w:r>
              <w:rPr>
                <w:rFonts w:hint="eastAsia" w:ascii="Times New Roman" w:cs="Times New Roman"/>
                <w:color w:val="auto"/>
                <w:sz w:val="21"/>
                <w:szCs w:val="21"/>
                <w:highlight w:val="none"/>
                <w:u w:val="single"/>
                <w:lang w:val="en-US" w:eastAsia="zh-CN"/>
              </w:rPr>
              <w:t>项目建设有利于区域排水，工程本身不产生水环境污染物，不会对</w:t>
            </w:r>
            <w:r>
              <w:rPr>
                <w:rFonts w:hint="default" w:ascii="Times New Roman" w:hAnsi="Times New Roman" w:cs="Times New Roman"/>
                <w:color w:val="auto"/>
                <w:sz w:val="21"/>
                <w:szCs w:val="21"/>
                <w:highlight w:val="none"/>
                <w:u w:val="single"/>
              </w:rPr>
              <w:t>水质产生不利影响，项目建成后可改善区域</w:t>
            </w:r>
            <w:r>
              <w:rPr>
                <w:rFonts w:hint="eastAsia" w:ascii="Times New Roman" w:cs="Times New Roman"/>
                <w:color w:val="auto"/>
                <w:sz w:val="21"/>
                <w:szCs w:val="21"/>
                <w:highlight w:val="none"/>
                <w:u w:val="single"/>
                <w:lang w:val="en-US" w:eastAsia="zh-CN"/>
              </w:rPr>
              <w:t>排水、行洪能力，有利于</w:t>
            </w:r>
            <w:r>
              <w:rPr>
                <w:rFonts w:hint="default" w:ascii="Times New Roman" w:hAnsi="Times New Roman" w:cs="Times New Roman"/>
                <w:color w:val="auto"/>
                <w:sz w:val="21"/>
                <w:szCs w:val="21"/>
                <w:highlight w:val="none"/>
                <w:u w:val="single"/>
              </w:rPr>
              <w:t>地表水水质</w:t>
            </w:r>
            <w:r>
              <w:rPr>
                <w:rFonts w:hint="eastAsia" w:ascii="Times New Roman" w:cs="Times New Roman"/>
                <w:color w:val="auto"/>
                <w:sz w:val="21"/>
                <w:szCs w:val="21"/>
                <w:highlight w:val="none"/>
                <w:u w:val="single"/>
                <w:lang w:val="en-US" w:eastAsia="zh-CN"/>
              </w:rPr>
              <w:t>的提升</w:t>
            </w:r>
            <w:r>
              <w:rPr>
                <w:rFonts w:hint="default" w:ascii="Times New Roman" w:hAnsi="Times New Roman" w:cs="Times New Roman"/>
                <w:color w:val="auto"/>
                <w:sz w:val="21"/>
                <w:szCs w:val="21"/>
                <w:highlight w:val="none"/>
                <w:u w:val="single"/>
              </w:rPr>
              <w:t>。</w:t>
            </w:r>
          </w:p>
        </w:tc>
        <w:tc>
          <w:tcPr>
            <w:tcW w:w="710" w:type="dxa"/>
            <w:noWrap w:val="0"/>
            <w:vAlign w:val="center"/>
          </w:tcPr>
          <w:p w14:paraId="57AF2A90">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4FF351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5" w:type="dxa"/>
            <w:noWrap w:val="0"/>
            <w:vAlign w:val="center"/>
          </w:tcPr>
          <w:p w14:paraId="51ED154F">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4413" w:type="dxa"/>
            <w:noWrap w:val="0"/>
            <w:vAlign w:val="center"/>
          </w:tcPr>
          <w:p w14:paraId="44C9F95A">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项目对鱼类等水生生物的洄游通道及“三场”等重要生境、物种多样性及资源量等产生不利影响的，提出了下泄生态流量、恢复鱼类洄游通道、采用生态友好型护岸</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坡、底</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、生态修复、增殖放流等措施。</w:t>
            </w:r>
          </w:p>
          <w:p w14:paraId="05787F51">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在采取上述措施后，对水生生物的不利影响能够得到缓解和控制，不会造成原有珍稀濒危保护、区域特有或重要经济水生生物在相关河段消失，不会对相关河段水生生态系统造成重大不利影响。</w:t>
            </w:r>
          </w:p>
        </w:tc>
        <w:tc>
          <w:tcPr>
            <w:tcW w:w="3067" w:type="dxa"/>
            <w:noWrap w:val="0"/>
            <w:vAlign w:val="center"/>
          </w:tcPr>
          <w:p w14:paraId="0DAE9C0B">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项目施工</w:t>
            </w:r>
            <w:r>
              <w:rPr>
                <w:rFonts w:hint="default" w:ascii="Times New Roman" w:hAnsi="Times New Roman" w:cs="Times New Roman"/>
                <w:color w:val="auto"/>
                <w:sz w:val="21"/>
                <w:szCs w:val="21"/>
                <w:highlight w:val="none"/>
                <w:lang w:eastAsia="zh-CN"/>
              </w:rPr>
              <w:t>水系</w:t>
            </w:r>
            <w:r>
              <w:rPr>
                <w:rFonts w:hint="default" w:ascii="Times New Roman" w:hAnsi="Times New Roman" w:cs="Times New Roman"/>
                <w:color w:val="auto"/>
                <w:sz w:val="21"/>
                <w:szCs w:val="21"/>
                <w:highlight w:val="none"/>
              </w:rPr>
              <w:t>没有鱼类等水生生物的洄游通道及“三场”等重要生境，</w:t>
            </w:r>
            <w:r>
              <w:rPr>
                <w:rFonts w:hint="eastAsia" w:ascii="Times New Roman" w:cs="Times New Roman"/>
                <w:color w:val="auto"/>
                <w:sz w:val="21"/>
                <w:szCs w:val="21"/>
                <w:highlight w:val="none"/>
                <w:u w:val="single"/>
                <w:lang w:val="en-US" w:eastAsia="zh-CN"/>
              </w:rPr>
              <w:t>项目建成后原河道水生生境被破坏，与原河道内的水生生物向新建排水渠内迁移，排水渠内经自然演替，逐渐形成新的生态平衡，对区域而言，项目建设对区域水生生态系统的影响是可逐步恢复的</w:t>
            </w:r>
            <w:r>
              <w:rPr>
                <w:rFonts w:hint="default" w:ascii="Times New Roman" w:hAnsi="Times New Roman" w:cs="Times New Roman"/>
                <w:color w:val="auto"/>
                <w:sz w:val="21"/>
                <w:szCs w:val="21"/>
                <w:highlight w:val="none"/>
              </w:rPr>
              <w:t>。</w:t>
            </w:r>
          </w:p>
        </w:tc>
        <w:tc>
          <w:tcPr>
            <w:tcW w:w="710" w:type="dxa"/>
            <w:noWrap w:val="0"/>
            <w:vAlign w:val="center"/>
          </w:tcPr>
          <w:p w14:paraId="257EC72D">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4A55F6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5" w:type="dxa"/>
            <w:noWrap w:val="0"/>
            <w:vAlign w:val="center"/>
          </w:tcPr>
          <w:p w14:paraId="3ADE6DFD">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4413" w:type="dxa"/>
            <w:noWrap w:val="0"/>
            <w:vAlign w:val="center"/>
          </w:tcPr>
          <w:p w14:paraId="3C9D956A">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对湿地生态系统结构和功能、河湖生态缓冲带造成不利影响的，提出了优化工程设计及调度运行方案、生态修复等措施。对珍稀濒危保护植物造成不利影响的，提出了避让、原位防护、移栽等措施。对陆生珍稀濒危保护动物及其生境造成不利影响的，提出了避让、救护、迁徙廊道构建、生境再造等措施。对景观产生不利影响的，提出了避让、优化设计、景观塑造等措施。</w:t>
            </w:r>
          </w:p>
          <w:p w14:paraId="0DB0B53E">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在采取上述措施后，对湿地以及陆生动植物的不利影响能够得到缓解和控制，与区域景观相协调，不会造成原有珍稀濒危保护动植物在相关区域消失，不会对陆生生态系统造成重大不利影响。</w:t>
            </w:r>
          </w:p>
        </w:tc>
        <w:tc>
          <w:tcPr>
            <w:tcW w:w="3067" w:type="dxa"/>
            <w:noWrap w:val="0"/>
            <w:vAlign w:val="center"/>
          </w:tcPr>
          <w:p w14:paraId="564F92FF">
            <w:pPr>
              <w:pStyle w:val="1648"/>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项目建设改善施工河道生态环境，不会对区域湿地、河湖生态缓冲带造成不利影响。施工区域没有珍稀濒危保护植物、陆生珍稀濒危保护动物</w:t>
            </w:r>
            <w:r>
              <w:rPr>
                <w:rFonts w:hint="default" w:ascii="Times New Roman" w:hAnsi="Times New Roman" w:cs="Times New Roman"/>
                <w:color w:val="auto"/>
                <w:sz w:val="21"/>
                <w:szCs w:val="21"/>
                <w:highlight w:val="none"/>
                <w:lang w:eastAsia="zh-CN"/>
              </w:rPr>
              <w:t>。</w:t>
            </w:r>
          </w:p>
        </w:tc>
        <w:tc>
          <w:tcPr>
            <w:tcW w:w="710" w:type="dxa"/>
            <w:noWrap w:val="0"/>
            <w:vAlign w:val="center"/>
          </w:tcPr>
          <w:p w14:paraId="478E1B47">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2A826C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5" w:type="dxa"/>
            <w:noWrap w:val="0"/>
            <w:vAlign w:val="center"/>
          </w:tcPr>
          <w:p w14:paraId="547A6FFF">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4413" w:type="dxa"/>
            <w:noWrap w:val="0"/>
            <w:vAlign w:val="center"/>
          </w:tcPr>
          <w:p w14:paraId="29848E7A">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项目施工组织方案具有环境合理性，对料场、弃土</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渣</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场等施工场地提出了水土流失防治和生态修复等措施。根据环境保护相关标准和要求，对施工期各类废</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污</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水、扬尘、废气、噪声、固体废物等提出了防治或处置措施。其中，涉水施工涉及饮用水水源保护区或取水口并可能对水质造成不利影响的，提出了避让、施工方案优化、污染物控制等措施；涉水施工对鱼类等水生生物及其重要生境造成不利影响的，提出了避让、施工方案优化、控制施工噪声等措施；针对清淤、疏浚等产生的淤泥，提出了符合相关规定的处置或综合利用方案。</w:t>
            </w:r>
          </w:p>
          <w:p w14:paraId="4CF2648C">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在采取上述措施后，施工期的不利环境影响能够得到缓解和控制，不会对周围环境和敏感保护目标造成重大不利影响。</w:t>
            </w:r>
          </w:p>
        </w:tc>
        <w:tc>
          <w:tcPr>
            <w:tcW w:w="3067" w:type="dxa"/>
            <w:noWrap w:val="0"/>
            <w:vAlign w:val="center"/>
          </w:tcPr>
          <w:p w14:paraId="6849EDB2">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项目不涉及饮用水水源保护区或取水口</w:t>
            </w:r>
            <w:r>
              <w:rPr>
                <w:rFonts w:hint="default" w:ascii="Times New Roman" w:hAnsi="Times New Roman" w:cs="Times New Roman"/>
                <w:color w:val="auto"/>
                <w:sz w:val="21"/>
                <w:szCs w:val="21"/>
                <w:highlight w:val="none"/>
                <w:lang w:eastAsia="zh-CN"/>
              </w:rPr>
              <w:t>，</w:t>
            </w:r>
            <w:r>
              <w:rPr>
                <w:rFonts w:hint="eastAsia" w:ascii="Times New Roman" w:cs="Times New Roman"/>
                <w:color w:val="auto"/>
                <w:sz w:val="21"/>
                <w:szCs w:val="21"/>
                <w:highlight w:val="none"/>
                <w:u w:val="single"/>
                <w:lang w:val="en-US" w:eastAsia="zh-CN"/>
              </w:rPr>
              <w:t>施工产生的淤泥回用于道路回填区边坡绿化覆土，</w:t>
            </w:r>
            <w:r>
              <w:rPr>
                <w:rFonts w:hint="default" w:ascii="Times New Roman" w:hAnsi="Times New Roman" w:cs="Times New Roman"/>
                <w:color w:val="auto"/>
                <w:sz w:val="21"/>
                <w:szCs w:val="21"/>
                <w:highlight w:val="none"/>
                <w:lang w:eastAsia="zh-CN"/>
              </w:rPr>
              <w:t>项目施工土方综合利用，无弃土</w:t>
            </w:r>
            <w:r>
              <w:rPr>
                <w:rFonts w:hint="eastAsia" w:ascii="Times New Roman" w:cs="Times New Roman"/>
                <w:color w:val="auto"/>
                <w:sz w:val="21"/>
                <w:szCs w:val="21"/>
                <w:highlight w:val="none"/>
                <w:lang w:eastAsia="zh-CN"/>
              </w:rPr>
              <w:t>；</w:t>
            </w:r>
            <w:r>
              <w:rPr>
                <w:rFonts w:hint="eastAsia" w:ascii="Times New Roman" w:cs="Times New Roman"/>
                <w:color w:val="auto"/>
                <w:sz w:val="21"/>
                <w:szCs w:val="21"/>
                <w:highlight w:val="none"/>
                <w:u w:val="single"/>
                <w:lang w:val="en-US" w:eastAsia="zh-CN"/>
              </w:rPr>
              <w:t>本次评价根据项目特点提出相应的生态和水土保持防护措施，</w:t>
            </w:r>
            <w:r>
              <w:rPr>
                <w:rFonts w:hint="default" w:ascii="Times New Roman" w:hAnsi="Times New Roman" w:cs="Times New Roman"/>
                <w:color w:val="auto"/>
                <w:sz w:val="21"/>
                <w:szCs w:val="21"/>
                <w:highlight w:val="none"/>
                <w:u w:val="single"/>
              </w:rPr>
              <w:t>施工期不利环境影响均能够得到缓解和控制，</w:t>
            </w:r>
            <w:r>
              <w:rPr>
                <w:rFonts w:hint="default" w:ascii="Times New Roman" w:hAnsi="Times New Roman" w:cs="Times New Roman"/>
                <w:color w:val="auto"/>
                <w:sz w:val="21"/>
                <w:szCs w:val="21"/>
                <w:highlight w:val="none"/>
              </w:rPr>
              <w:t>不会对周围环境和敏感保护目标造成重大不利影响。</w:t>
            </w:r>
          </w:p>
        </w:tc>
        <w:tc>
          <w:tcPr>
            <w:tcW w:w="710" w:type="dxa"/>
            <w:noWrap w:val="0"/>
            <w:vAlign w:val="center"/>
          </w:tcPr>
          <w:p w14:paraId="71F32813">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4796AD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25" w:type="dxa"/>
            <w:noWrap w:val="0"/>
            <w:vAlign w:val="center"/>
          </w:tcPr>
          <w:p w14:paraId="5867247E">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4413" w:type="dxa"/>
            <w:noWrap w:val="0"/>
            <w:vAlign w:val="center"/>
          </w:tcPr>
          <w:p w14:paraId="4C30001B">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项目移民安置的选址和建设方式具有环境合理性，提出了生态保护、污水处理、固体废物处置等措施。针对蓄滞洪区的环境污染、新增占地涉及污染场地等，提出了环境管理对策建议。</w:t>
            </w:r>
          </w:p>
        </w:tc>
        <w:tc>
          <w:tcPr>
            <w:tcW w:w="3067" w:type="dxa"/>
            <w:noWrap w:val="0"/>
            <w:vAlign w:val="center"/>
          </w:tcPr>
          <w:p w14:paraId="36B7E83F">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项目不涉及移民安置</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不新增占地。</w:t>
            </w:r>
          </w:p>
        </w:tc>
        <w:tc>
          <w:tcPr>
            <w:tcW w:w="710" w:type="dxa"/>
            <w:noWrap w:val="0"/>
            <w:vAlign w:val="center"/>
          </w:tcPr>
          <w:p w14:paraId="11C74368">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17CE8F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25" w:type="dxa"/>
            <w:noWrap w:val="0"/>
            <w:vAlign w:val="center"/>
          </w:tcPr>
          <w:p w14:paraId="4A57469E">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tc>
        <w:tc>
          <w:tcPr>
            <w:tcW w:w="4413" w:type="dxa"/>
            <w:noWrap w:val="0"/>
            <w:vAlign w:val="center"/>
          </w:tcPr>
          <w:p w14:paraId="41ED3C5D">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项目存在河湖水质污染、富营养化或外来物种入侵等环境风险的，提出了针对性的风险防范措施以及环境应急预案编制、建立必要的应急联动机制等要求。</w:t>
            </w:r>
          </w:p>
        </w:tc>
        <w:tc>
          <w:tcPr>
            <w:tcW w:w="3067" w:type="dxa"/>
            <w:noWrap w:val="0"/>
            <w:vAlign w:val="center"/>
          </w:tcPr>
          <w:p w14:paraId="286C4769">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u w:val="single"/>
              </w:rPr>
              <w:t>项目建设</w:t>
            </w:r>
            <w:r>
              <w:rPr>
                <w:rFonts w:hint="eastAsia" w:ascii="Times New Roman" w:cs="Times New Roman"/>
                <w:color w:val="auto"/>
                <w:sz w:val="21"/>
                <w:szCs w:val="21"/>
                <w:highlight w:val="none"/>
                <w:u w:val="single"/>
                <w:lang w:val="en-US" w:eastAsia="zh-CN"/>
              </w:rPr>
              <w:t>提升河道过水能力，临时用地植被恢复选用本地物种，</w:t>
            </w:r>
            <w:r>
              <w:rPr>
                <w:rFonts w:hint="default" w:ascii="Times New Roman" w:hAnsi="Times New Roman" w:cs="Times New Roman"/>
                <w:color w:val="auto"/>
                <w:sz w:val="21"/>
                <w:szCs w:val="21"/>
                <w:highlight w:val="none"/>
              </w:rPr>
              <w:t>不会增加河道水质污染、富营养化或外来物种入侵等环境风险。</w:t>
            </w:r>
          </w:p>
        </w:tc>
        <w:tc>
          <w:tcPr>
            <w:tcW w:w="710" w:type="dxa"/>
            <w:noWrap w:val="0"/>
            <w:vAlign w:val="center"/>
          </w:tcPr>
          <w:p w14:paraId="3E2621A9">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6508ED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25" w:type="dxa"/>
            <w:noWrap w:val="0"/>
            <w:vAlign w:val="center"/>
          </w:tcPr>
          <w:p w14:paraId="6B730E58">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4413" w:type="dxa"/>
            <w:noWrap w:val="0"/>
            <w:vAlign w:val="center"/>
          </w:tcPr>
          <w:p w14:paraId="20B8DA65">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对环境保护措施进行了深入论证，建设单位主体责任、投资估算、时间节点、预期效果明确，确保科学有效、安全可行、绿色协调。</w:t>
            </w:r>
          </w:p>
        </w:tc>
        <w:tc>
          <w:tcPr>
            <w:tcW w:w="3067" w:type="dxa"/>
            <w:noWrap w:val="0"/>
            <w:vAlign w:val="center"/>
          </w:tcPr>
          <w:p w14:paraId="29420B06">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本项目提出了环境保护措施并进行了论证。</w:t>
            </w:r>
          </w:p>
        </w:tc>
        <w:tc>
          <w:tcPr>
            <w:tcW w:w="710" w:type="dxa"/>
            <w:noWrap w:val="0"/>
            <w:vAlign w:val="center"/>
          </w:tcPr>
          <w:p w14:paraId="2C6B4CDC">
            <w:pPr>
              <w:pStyle w:val="1648"/>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14:paraId="4F6D4D7E">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综上所述</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本项目《关于印发机场、港口、水利（河湖整治与防洪除涝工程）三个行业建设项目环境影响评价文件审批原则的通知》（环办环评〔2018〕2号）</w:t>
      </w:r>
      <w:r>
        <w:rPr>
          <w:rFonts w:hint="default" w:ascii="Times New Roman" w:hAnsi="Times New Roman" w:eastAsia="宋体" w:cs="Times New Roman"/>
          <w:color w:val="auto"/>
          <w:highlight w:val="none"/>
        </w:rPr>
        <w:t>相符。</w:t>
      </w:r>
    </w:p>
    <w:p w14:paraId="1FB624F3">
      <w:pPr>
        <w:pStyle w:val="5"/>
        <w:bidi w:val="0"/>
        <w:ind w:left="452" w:leftChars="0" w:firstLine="0" w:firstLineChars="0"/>
        <w:rPr>
          <w:rFonts w:hint="default"/>
          <w:color w:val="auto"/>
          <w:highlight w:val="none"/>
        </w:rPr>
      </w:pPr>
      <w:r>
        <w:rPr>
          <w:rFonts w:hint="default"/>
          <w:color w:val="auto"/>
          <w:highlight w:val="none"/>
        </w:rPr>
        <w:t>与</w:t>
      </w:r>
      <w:r>
        <w:rPr>
          <w:rFonts w:hint="eastAsia"/>
          <w:color w:val="auto"/>
          <w:highlight w:val="none"/>
          <w:lang w:eastAsia="zh-CN"/>
        </w:rPr>
        <w:t>生态环境分区管控</w:t>
      </w:r>
      <w:r>
        <w:rPr>
          <w:rFonts w:hint="default"/>
          <w:color w:val="auto"/>
          <w:highlight w:val="none"/>
        </w:rPr>
        <w:t>相符性分析</w:t>
      </w:r>
    </w:p>
    <w:p w14:paraId="1CE36CE5">
      <w:pPr>
        <w:pStyle w:val="1649"/>
        <w:keepNext w:val="0"/>
        <w:keepLines w:val="0"/>
        <w:pageBreakBefore w:val="0"/>
        <w:widowControl w:val="0"/>
        <w:kinsoku/>
        <w:wordWrap/>
        <w:overflowPunct/>
        <w:topLinePunct w:val="0"/>
        <w:autoSpaceDE/>
        <w:autoSpaceDN/>
        <w:bidi w:val="0"/>
        <w:adjustRightInd w:val="0"/>
        <w:snapToGrid w:val="0"/>
        <w:spacing w:line="360" w:lineRule="auto"/>
        <w:ind w:left="68" w:leftChars="30" w:right="45" w:rightChars="20"/>
        <w:jc w:val="both"/>
        <w:textAlignment w:val="auto"/>
        <w:rPr>
          <w:rFonts w:hint="default" w:ascii="Times New Roman" w:hAnsi="Times New Roman" w:eastAsia="宋体" w:cs="Times New Roman"/>
          <w:bCs w:val="0"/>
          <w:color w:val="auto"/>
          <w:sz w:val="24"/>
          <w:szCs w:val="24"/>
          <w:highlight w:val="none"/>
          <w:lang w:val="en-US" w:eastAsia="zh-CN"/>
        </w:rPr>
      </w:pPr>
      <w:r>
        <w:rPr>
          <w:rFonts w:hint="default" w:ascii="Times New Roman" w:hAnsi="Times New Roman" w:eastAsia="宋体" w:cs="Times New Roman"/>
          <w:bCs w:val="0"/>
          <w:color w:val="auto"/>
          <w:sz w:val="24"/>
          <w:szCs w:val="24"/>
          <w:highlight w:val="none"/>
          <w:lang w:val="en-US" w:eastAsia="zh-CN"/>
        </w:rPr>
        <w:t>①生态红线</w:t>
      </w:r>
    </w:p>
    <w:p w14:paraId="1E464D92">
      <w:pPr>
        <w:pStyle w:val="1649"/>
        <w:keepNext w:val="0"/>
        <w:keepLines w:val="0"/>
        <w:pageBreakBefore w:val="0"/>
        <w:widowControl w:val="0"/>
        <w:kinsoku/>
        <w:wordWrap/>
        <w:overflowPunct/>
        <w:topLinePunct w:val="0"/>
        <w:autoSpaceDE/>
        <w:autoSpaceDN/>
        <w:bidi w:val="0"/>
        <w:adjustRightInd w:val="0"/>
        <w:snapToGrid w:val="0"/>
        <w:spacing w:line="360" w:lineRule="auto"/>
        <w:ind w:left="68" w:leftChars="30" w:right="45" w:rightChars="20"/>
        <w:jc w:val="both"/>
        <w:textAlignment w:val="auto"/>
        <w:rPr>
          <w:rFonts w:hint="default" w:ascii="Times New Roman" w:hAnsi="Times New Roman" w:eastAsia="宋体" w:cs="Times New Roman"/>
          <w:bCs w:val="0"/>
          <w:color w:val="auto"/>
          <w:sz w:val="24"/>
          <w:szCs w:val="24"/>
          <w:highlight w:val="none"/>
          <w:lang w:val="en-US" w:eastAsia="zh-CN"/>
        </w:rPr>
      </w:pPr>
      <w:r>
        <w:rPr>
          <w:rFonts w:hint="default" w:ascii="Times New Roman" w:hAnsi="Times New Roman" w:eastAsia="宋体" w:cs="Times New Roman"/>
          <w:bCs w:val="0"/>
          <w:color w:val="auto"/>
          <w:sz w:val="24"/>
          <w:szCs w:val="24"/>
          <w:highlight w:val="none"/>
          <w:lang w:val="en-US" w:eastAsia="zh-CN"/>
        </w:rPr>
        <w:t>生态保护红线指在生态空间范围内具有特殊重要生态功能、必须强制性严格保护的区域，是保障和维护国家生态安全的底线和生命线，通常包括具有重要水源涵养、</w:t>
      </w:r>
      <w:r>
        <w:rPr>
          <w:rFonts w:hint="eastAsia" w:ascii="Times New Roman" w:hAnsi="Times New Roman" w:cs="Times New Roman"/>
          <w:bCs w:val="0"/>
          <w:color w:val="auto"/>
          <w:sz w:val="24"/>
          <w:szCs w:val="24"/>
          <w:highlight w:val="none"/>
          <w:lang w:val="en-US" w:eastAsia="zh-CN"/>
        </w:rPr>
        <w:t>生物多样性保护</w:t>
      </w:r>
      <w:r>
        <w:rPr>
          <w:rFonts w:hint="default" w:ascii="Times New Roman" w:hAnsi="Times New Roman" w:eastAsia="宋体" w:cs="Times New Roman"/>
          <w:bCs w:val="0"/>
          <w:color w:val="auto"/>
          <w:sz w:val="24"/>
          <w:szCs w:val="24"/>
          <w:highlight w:val="none"/>
          <w:lang w:val="en-US" w:eastAsia="zh-CN"/>
        </w:rPr>
        <w:t>、水土保持、防风固沙、海岸生态稳定等功能的生态功能重要区域，以及水土流失、土地沙化、石漠化、盐渍化等生态环境敏感脆弱区域。按照―只能增加、不能减少的基本要求，实施严格管控。</w:t>
      </w:r>
    </w:p>
    <w:p w14:paraId="7C0F6218">
      <w:pPr>
        <w:pStyle w:val="1649"/>
        <w:keepNext w:val="0"/>
        <w:keepLines w:val="0"/>
        <w:pageBreakBefore w:val="0"/>
        <w:widowControl w:val="0"/>
        <w:kinsoku/>
        <w:wordWrap/>
        <w:overflowPunct/>
        <w:topLinePunct w:val="0"/>
        <w:autoSpaceDE/>
        <w:autoSpaceDN/>
        <w:bidi w:val="0"/>
        <w:adjustRightInd w:val="0"/>
        <w:snapToGrid w:val="0"/>
        <w:spacing w:line="360" w:lineRule="auto"/>
        <w:ind w:left="68" w:leftChars="30" w:right="45" w:rightChars="20"/>
        <w:jc w:val="both"/>
        <w:textAlignment w:val="auto"/>
        <w:rPr>
          <w:rFonts w:hint="default" w:ascii="Times New Roman" w:hAnsi="Times New Roman" w:eastAsia="宋体" w:cs="Times New Roman"/>
          <w:bCs w:val="0"/>
          <w:color w:val="auto"/>
          <w:sz w:val="24"/>
          <w:szCs w:val="24"/>
          <w:highlight w:val="none"/>
          <w:lang w:val="en-US" w:eastAsia="zh-CN"/>
        </w:rPr>
      </w:pPr>
      <w:r>
        <w:rPr>
          <w:rFonts w:hint="default" w:ascii="Times New Roman" w:hAnsi="Times New Roman" w:eastAsia="宋体" w:cs="Times New Roman"/>
          <w:bCs w:val="0"/>
          <w:color w:val="auto"/>
          <w:sz w:val="24"/>
          <w:szCs w:val="24"/>
          <w:highlight w:val="none"/>
          <w:lang w:val="en-US" w:eastAsia="zh-CN"/>
        </w:rPr>
        <w:t>根据《广西生态保护红线管理办法（试行）》，在以下区域内划定生态保护红线：（一）重点生态功能区，包括重要的水源涵养、土壤保持和生物多样性保护等各类陆域和海域重点生态功能区，以及自然保护区、风景名胜区、森林公园、地质公园、湿地公园、饮用水水源保护区和水土流失重点预防区等禁止或限制开发区域；（二）生态环境敏感区和脆弱区，包括水土流失、石漠化各类陆域敏感区和脆弱区，海岸带自然岸线、珊瑚礁、海草床等海域敏感区和脆弱区；（三）其他未列入上述范围，但具有重要生态功能或生态环境敏感、脆弱的区域，包括生态公益林、重要湿地和极小种群生境等。</w:t>
      </w:r>
    </w:p>
    <w:p w14:paraId="7ADA8738">
      <w:pPr>
        <w:pStyle w:val="1649"/>
        <w:keepNext w:val="0"/>
        <w:keepLines w:val="0"/>
        <w:pageBreakBefore w:val="0"/>
        <w:widowControl w:val="0"/>
        <w:kinsoku/>
        <w:wordWrap/>
        <w:overflowPunct/>
        <w:topLinePunct w:val="0"/>
        <w:autoSpaceDE/>
        <w:autoSpaceDN/>
        <w:bidi w:val="0"/>
        <w:adjustRightInd w:val="0"/>
        <w:snapToGrid w:val="0"/>
        <w:spacing w:line="360" w:lineRule="auto"/>
        <w:ind w:left="68" w:leftChars="30" w:right="45" w:rightChars="20"/>
        <w:jc w:val="both"/>
        <w:textAlignment w:val="auto"/>
        <w:rPr>
          <w:rFonts w:hint="default" w:ascii="Times New Roman" w:hAnsi="Times New Roman" w:eastAsia="宋体" w:cs="Times New Roman"/>
          <w:bCs w:val="0"/>
          <w:color w:val="auto"/>
          <w:sz w:val="24"/>
          <w:szCs w:val="24"/>
          <w:highlight w:val="none"/>
          <w:lang w:val="en-US" w:eastAsia="zh-CN"/>
        </w:rPr>
      </w:pPr>
      <w:r>
        <w:rPr>
          <w:rFonts w:hint="default" w:ascii="Times New Roman" w:hAnsi="Times New Roman" w:eastAsia="宋体" w:cs="Times New Roman"/>
          <w:bCs w:val="0"/>
          <w:color w:val="auto"/>
          <w:sz w:val="24"/>
          <w:szCs w:val="24"/>
          <w:highlight w:val="none"/>
          <w:lang w:val="en-US" w:eastAsia="zh-CN"/>
        </w:rPr>
        <w:t>根据《钦州市生态环境局关于</w:t>
      </w:r>
      <w:r>
        <w:rPr>
          <w:rFonts w:hint="eastAsia" w:ascii="Times New Roman" w:hAnsi="Times New Roman" w:cs="Times New Roman"/>
          <w:bCs w:val="0"/>
          <w:color w:val="auto"/>
          <w:sz w:val="24"/>
          <w:szCs w:val="24"/>
          <w:highlight w:val="none"/>
          <w:lang w:val="en-US" w:eastAsia="zh-CN"/>
        </w:rPr>
        <w:t>〈</w:t>
      </w:r>
      <w:r>
        <w:rPr>
          <w:rFonts w:hint="default" w:ascii="Times New Roman" w:hAnsi="Times New Roman" w:eastAsia="宋体" w:cs="Times New Roman"/>
          <w:bCs w:val="0"/>
          <w:color w:val="auto"/>
          <w:sz w:val="24"/>
          <w:szCs w:val="24"/>
          <w:highlight w:val="none"/>
          <w:lang w:val="en-US" w:eastAsia="zh-CN"/>
        </w:rPr>
        <w:t>钦州市生态环境分区管控动态更新成果（2023版）</w:t>
      </w:r>
      <w:r>
        <w:rPr>
          <w:rFonts w:hint="eastAsia" w:ascii="Times New Roman" w:hAnsi="Times New Roman" w:cs="Times New Roman"/>
          <w:bCs w:val="0"/>
          <w:color w:val="auto"/>
          <w:sz w:val="24"/>
          <w:szCs w:val="24"/>
          <w:highlight w:val="none"/>
          <w:lang w:val="en-US" w:eastAsia="zh-CN"/>
        </w:rPr>
        <w:t>〉</w:t>
      </w:r>
      <w:r>
        <w:rPr>
          <w:rFonts w:hint="default" w:ascii="Times New Roman" w:hAnsi="Times New Roman" w:eastAsia="宋体" w:cs="Times New Roman"/>
          <w:bCs w:val="0"/>
          <w:color w:val="auto"/>
          <w:sz w:val="24"/>
          <w:szCs w:val="24"/>
          <w:highlight w:val="none"/>
          <w:lang w:val="en-US" w:eastAsia="zh-CN"/>
        </w:rPr>
        <w:t>的通知》钦环发〔2022〕3号），调整后全市陆域共划定为64个环境管控单元，其中，优先保护单元34个，重点管控单元26个，一般管控单元4个。</w:t>
      </w:r>
    </w:p>
    <w:p w14:paraId="07A18134">
      <w:pPr>
        <w:pStyle w:val="1649"/>
        <w:keepNext w:val="0"/>
        <w:keepLines w:val="0"/>
        <w:pageBreakBefore w:val="0"/>
        <w:widowControl w:val="0"/>
        <w:kinsoku/>
        <w:wordWrap/>
        <w:overflowPunct/>
        <w:topLinePunct w:val="0"/>
        <w:autoSpaceDE/>
        <w:autoSpaceDN/>
        <w:bidi w:val="0"/>
        <w:adjustRightInd w:val="0"/>
        <w:snapToGrid w:val="0"/>
        <w:spacing w:line="360" w:lineRule="auto"/>
        <w:ind w:left="68" w:leftChars="30" w:right="45" w:rightChars="20"/>
        <w:jc w:val="both"/>
        <w:textAlignment w:val="auto"/>
        <w:rPr>
          <w:rFonts w:hint="default" w:ascii="Times New Roman" w:hAnsi="Times New Roman" w:eastAsia="宋体" w:cs="Times New Roman"/>
          <w:bCs w:val="0"/>
          <w:color w:val="auto"/>
          <w:sz w:val="24"/>
          <w:szCs w:val="24"/>
          <w:highlight w:val="none"/>
          <w:lang w:val="en-US" w:eastAsia="zh-CN"/>
        </w:rPr>
      </w:pPr>
      <w:r>
        <w:rPr>
          <w:rFonts w:hint="default" w:ascii="Times New Roman" w:hAnsi="Times New Roman" w:eastAsia="宋体" w:cs="Times New Roman"/>
          <w:bCs w:val="0"/>
          <w:color w:val="auto"/>
          <w:sz w:val="24"/>
          <w:szCs w:val="24"/>
          <w:highlight w:val="none"/>
          <w:lang w:val="en-US" w:eastAsia="zh-CN"/>
        </w:rPr>
        <w:t>根据《广西“生态云”平台建设项目智能研判报告》，本项目在广西壮族自治区钦州市中国（广西）自由贸易试验区钦州港片区，项目涉及1个环境管控单元，其中优先保护类0个，重点管控类1个，一般管控类0个，涉及环境管控单元详见下表。</w:t>
      </w:r>
    </w:p>
    <w:p w14:paraId="727CA1A2">
      <w:pPr>
        <w:pStyle w:val="1649"/>
        <w:keepNext w:val="0"/>
        <w:keepLines w:val="0"/>
        <w:pageBreakBefore w:val="0"/>
        <w:widowControl w:val="0"/>
        <w:kinsoku/>
        <w:wordWrap/>
        <w:overflowPunct/>
        <w:topLinePunct w:val="0"/>
        <w:autoSpaceDE/>
        <w:autoSpaceDN/>
        <w:bidi w:val="0"/>
        <w:adjustRightInd w:val="0"/>
        <w:snapToGrid w:val="0"/>
        <w:spacing w:line="360" w:lineRule="auto"/>
        <w:ind w:left="68" w:leftChars="30" w:right="45" w:rightChars="20"/>
        <w:jc w:val="both"/>
        <w:textAlignment w:val="auto"/>
        <w:rPr>
          <w:rFonts w:hint="default" w:ascii="Times New Roman" w:hAnsi="Times New Roman" w:eastAsia="宋体" w:cs="Times New Roman"/>
          <w:bCs w:val="0"/>
          <w:color w:val="auto"/>
          <w:sz w:val="24"/>
          <w:szCs w:val="24"/>
          <w:highlight w:val="none"/>
          <w:lang w:val="en-US" w:eastAsia="zh-CN"/>
        </w:rPr>
      </w:pPr>
    </w:p>
    <w:p w14:paraId="6A523D9C">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lang w:val="en-US" w:eastAsia="zh-CN"/>
        </w:rPr>
      </w:pPr>
      <w:r>
        <w:rPr>
          <w:rFonts w:hint="default"/>
          <w:color w:val="auto"/>
          <w:highlight w:val="none"/>
          <w:lang w:val="en-US" w:eastAsia="zh-CN"/>
        </w:rPr>
        <w:t>涉及环境管控单元列表</w:t>
      </w:r>
    </w:p>
    <w:tbl>
      <w:tblPr>
        <w:tblStyle w:val="1679"/>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97"/>
        <w:gridCol w:w="2243"/>
        <w:gridCol w:w="3142"/>
        <w:gridCol w:w="2357"/>
      </w:tblGrid>
      <w:tr w14:paraId="330945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97" w:type="dxa"/>
            <w:tcBorders>
              <w:tl2br w:val="nil"/>
              <w:tr2bl w:val="nil"/>
            </w:tcBorders>
            <w:noWrap w:val="0"/>
            <w:vAlign w:val="center"/>
          </w:tcPr>
          <w:p w14:paraId="07FC2D5B">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lang w:val="en-US" w:eastAsia="zh-CN"/>
              </w:rPr>
            </w:pPr>
            <w:r>
              <w:rPr>
                <w:rFonts w:hint="default" w:ascii="Times New Roman" w:hAnsi="Times New Roman" w:eastAsia="宋体" w:cs="Times New Roman"/>
                <w:b/>
                <w:bCs/>
                <w:color w:val="auto"/>
                <w:sz w:val="21"/>
                <w:szCs w:val="21"/>
                <w:highlight w:val="none"/>
                <w:u w:val="none"/>
                <w:lang w:val="en-US" w:eastAsia="zh-CN"/>
              </w:rPr>
              <w:t>序号</w:t>
            </w:r>
          </w:p>
        </w:tc>
        <w:tc>
          <w:tcPr>
            <w:tcW w:w="2243" w:type="dxa"/>
            <w:tcBorders>
              <w:tl2br w:val="nil"/>
              <w:tr2bl w:val="nil"/>
            </w:tcBorders>
            <w:noWrap w:val="0"/>
            <w:vAlign w:val="center"/>
          </w:tcPr>
          <w:p w14:paraId="748537B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lang w:val="en-US" w:eastAsia="zh-CN"/>
              </w:rPr>
            </w:pPr>
            <w:r>
              <w:rPr>
                <w:rFonts w:hint="default" w:ascii="Times New Roman" w:hAnsi="Times New Roman" w:eastAsia="宋体" w:cs="Times New Roman"/>
                <w:b/>
                <w:bCs/>
                <w:color w:val="auto"/>
                <w:sz w:val="21"/>
                <w:szCs w:val="21"/>
                <w:highlight w:val="none"/>
                <w:u w:val="none"/>
                <w:lang w:val="en-US" w:eastAsia="zh-CN"/>
              </w:rPr>
              <w:t>管控单元编码</w:t>
            </w:r>
          </w:p>
        </w:tc>
        <w:tc>
          <w:tcPr>
            <w:tcW w:w="3142" w:type="dxa"/>
            <w:tcBorders>
              <w:tl2br w:val="nil"/>
              <w:tr2bl w:val="nil"/>
            </w:tcBorders>
            <w:noWrap w:val="0"/>
            <w:vAlign w:val="center"/>
          </w:tcPr>
          <w:p w14:paraId="39C84D7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lang w:val="en-US" w:eastAsia="zh-CN"/>
              </w:rPr>
            </w:pPr>
            <w:r>
              <w:rPr>
                <w:rFonts w:hint="default" w:ascii="Times New Roman" w:hAnsi="Times New Roman" w:eastAsia="宋体" w:cs="Times New Roman"/>
                <w:b/>
                <w:bCs/>
                <w:color w:val="auto"/>
                <w:sz w:val="21"/>
                <w:szCs w:val="21"/>
                <w:highlight w:val="none"/>
                <w:u w:val="none"/>
                <w:lang w:val="en-US" w:eastAsia="zh-CN"/>
              </w:rPr>
              <w:t>管控单元名称</w:t>
            </w:r>
          </w:p>
        </w:tc>
        <w:tc>
          <w:tcPr>
            <w:tcW w:w="2357" w:type="dxa"/>
            <w:tcBorders>
              <w:tl2br w:val="nil"/>
              <w:tr2bl w:val="nil"/>
            </w:tcBorders>
            <w:noWrap w:val="0"/>
            <w:vAlign w:val="center"/>
          </w:tcPr>
          <w:p w14:paraId="101690C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lang w:val="en-US" w:eastAsia="zh-CN"/>
              </w:rPr>
            </w:pPr>
            <w:r>
              <w:rPr>
                <w:rFonts w:hint="default" w:ascii="Times New Roman" w:hAnsi="Times New Roman" w:eastAsia="宋体" w:cs="Times New Roman"/>
                <w:b/>
                <w:bCs/>
                <w:color w:val="auto"/>
                <w:sz w:val="21"/>
                <w:szCs w:val="21"/>
                <w:highlight w:val="none"/>
                <w:u w:val="none"/>
                <w:lang w:val="en-US" w:eastAsia="zh-CN"/>
              </w:rPr>
              <w:t>管控单元分类</w:t>
            </w:r>
          </w:p>
        </w:tc>
      </w:tr>
      <w:tr w14:paraId="6BC903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97" w:type="dxa"/>
            <w:tcBorders>
              <w:tl2br w:val="nil"/>
              <w:tr2bl w:val="nil"/>
            </w:tcBorders>
            <w:noWrap w:val="0"/>
            <w:vAlign w:val="center"/>
          </w:tcPr>
          <w:p w14:paraId="01986BC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w:t>
            </w:r>
          </w:p>
        </w:tc>
        <w:tc>
          <w:tcPr>
            <w:tcW w:w="2243" w:type="dxa"/>
            <w:tcBorders>
              <w:tl2br w:val="nil"/>
              <w:tr2bl w:val="nil"/>
            </w:tcBorders>
            <w:noWrap w:val="0"/>
            <w:vAlign w:val="center"/>
          </w:tcPr>
          <w:p w14:paraId="348E9AC1">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ZH45070220005</w:t>
            </w:r>
          </w:p>
        </w:tc>
        <w:tc>
          <w:tcPr>
            <w:tcW w:w="3142" w:type="dxa"/>
            <w:tcBorders>
              <w:tl2br w:val="nil"/>
              <w:tr2bl w:val="nil"/>
            </w:tcBorders>
            <w:noWrap w:val="0"/>
            <w:vAlign w:val="center"/>
          </w:tcPr>
          <w:p w14:paraId="3FA9DCC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钦州港经济技术开发区</w:t>
            </w:r>
          </w:p>
          <w:p w14:paraId="3ACEAFE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重点管控单元</w:t>
            </w:r>
          </w:p>
        </w:tc>
        <w:tc>
          <w:tcPr>
            <w:tcW w:w="2357" w:type="dxa"/>
            <w:tcBorders>
              <w:tl2br w:val="nil"/>
              <w:tr2bl w:val="nil"/>
            </w:tcBorders>
            <w:noWrap w:val="0"/>
            <w:vAlign w:val="center"/>
          </w:tcPr>
          <w:p w14:paraId="2AA4ACB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重点管控单元</w:t>
            </w:r>
          </w:p>
        </w:tc>
      </w:tr>
    </w:tbl>
    <w:p w14:paraId="5D432442">
      <w:pPr>
        <w:pStyle w:val="1649"/>
        <w:keepNext w:val="0"/>
        <w:keepLines w:val="0"/>
        <w:pageBreakBefore w:val="0"/>
        <w:widowControl w:val="0"/>
        <w:kinsoku/>
        <w:wordWrap/>
        <w:overflowPunct/>
        <w:topLinePunct w:val="0"/>
        <w:autoSpaceDE/>
        <w:autoSpaceDN/>
        <w:bidi w:val="0"/>
        <w:adjustRightInd w:val="0"/>
        <w:snapToGrid w:val="0"/>
        <w:spacing w:line="360" w:lineRule="auto"/>
        <w:ind w:left="0" w:leftChars="0" w:right="45" w:rightChars="20" w:firstLine="0" w:firstLineChars="0"/>
        <w:jc w:val="both"/>
        <w:textAlignment w:val="auto"/>
        <w:rPr>
          <w:rFonts w:hint="default" w:ascii="Times New Roman" w:hAnsi="Times New Roman" w:cs="Times New Roman"/>
          <w:color w:val="auto"/>
          <w:highlight w:val="none"/>
        </w:rPr>
      </w:pPr>
      <w:r>
        <w:rPr>
          <w:color w:val="auto"/>
          <w:highlight w:val="none"/>
        </w:rPr>
        <w:drawing>
          <wp:inline distT="0" distB="0" distL="114300" distR="114300">
            <wp:extent cx="5461635" cy="3638550"/>
            <wp:effectExtent l="0" t="0" r="5715" b="0"/>
            <wp:docPr id="4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1"/>
                    <pic:cNvPicPr>
                      <a:picLocks noChangeAspect="1"/>
                    </pic:cNvPicPr>
                  </pic:nvPicPr>
                  <pic:blipFill>
                    <a:blip r:embed="rId23"/>
                    <a:stretch>
                      <a:fillRect/>
                    </a:stretch>
                  </pic:blipFill>
                  <pic:spPr>
                    <a:xfrm>
                      <a:off x="0" y="0"/>
                      <a:ext cx="5461635" cy="3638550"/>
                    </a:xfrm>
                    <a:prstGeom prst="rect">
                      <a:avLst/>
                    </a:prstGeom>
                    <a:noFill/>
                    <a:ln>
                      <a:noFill/>
                    </a:ln>
                  </pic:spPr>
                </pic:pic>
              </a:graphicData>
            </a:graphic>
          </wp:inline>
        </w:drawing>
      </w:r>
    </w:p>
    <w:p w14:paraId="4E98C5EF">
      <w:pPr>
        <w:pStyle w:val="588"/>
        <w:bidi w:val="0"/>
        <w:ind w:left="0" w:leftChars="0" w:firstLine="0" w:firstLineChars="0"/>
        <w:rPr>
          <w:rFonts w:hint="default"/>
          <w:color w:val="auto"/>
          <w:highlight w:val="none"/>
          <w:u w:val="single"/>
        </w:rPr>
      </w:pPr>
      <w:r>
        <w:rPr>
          <w:rFonts w:hint="default"/>
          <w:color w:val="auto"/>
          <w:highlight w:val="none"/>
          <w:u w:val="single"/>
          <w:lang w:val="en-US" w:eastAsia="zh-CN"/>
        </w:rPr>
        <w:t>项目与钦州港经济技术开发区重点管控单元位置关系示意图</w:t>
      </w:r>
    </w:p>
    <w:p w14:paraId="66655472">
      <w:pPr>
        <w:pStyle w:val="1649"/>
        <w:keepNext w:val="0"/>
        <w:keepLines w:val="0"/>
        <w:pageBreakBefore w:val="0"/>
        <w:widowControl w:val="0"/>
        <w:kinsoku/>
        <w:wordWrap/>
        <w:overflowPunct/>
        <w:topLinePunct w:val="0"/>
        <w:autoSpaceDE/>
        <w:autoSpaceDN/>
        <w:bidi w:val="0"/>
        <w:adjustRightInd w:val="0"/>
        <w:snapToGrid w:val="0"/>
        <w:spacing w:line="360" w:lineRule="auto"/>
        <w:ind w:left="68" w:leftChars="30" w:right="45" w:rightChars="20"/>
        <w:jc w:val="both"/>
        <w:textAlignment w:val="auto"/>
        <w:rPr>
          <w:rFonts w:hint="default" w:ascii="Times New Roman" w:hAnsi="Times New Roman" w:eastAsia="宋体" w:cs="Times New Roman"/>
          <w:bCs w:val="0"/>
          <w:color w:val="auto"/>
          <w:sz w:val="24"/>
          <w:szCs w:val="24"/>
          <w:highlight w:val="none"/>
          <w:lang w:val="en-US" w:eastAsia="zh-CN"/>
        </w:rPr>
      </w:pPr>
      <w:r>
        <w:rPr>
          <w:rFonts w:hint="default" w:ascii="Times New Roman" w:hAnsi="Times New Roman" w:eastAsia="宋体" w:cs="Times New Roman"/>
          <w:bCs w:val="0"/>
          <w:color w:val="auto"/>
          <w:sz w:val="24"/>
          <w:szCs w:val="24"/>
          <w:highlight w:val="none"/>
          <w:lang w:val="en-US" w:eastAsia="zh-CN"/>
        </w:rPr>
        <w:t>本项目与钦州市经济技术开发区重点管控单元生态环境准入及管控要求符合性分析详见下表。</w:t>
      </w:r>
    </w:p>
    <w:p w14:paraId="7BC2E8B8">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lang w:val="en-US" w:eastAsia="zh-CN"/>
        </w:rPr>
      </w:pPr>
      <w:r>
        <w:rPr>
          <w:rFonts w:hint="default"/>
          <w:color w:val="auto"/>
          <w:highlight w:val="none"/>
          <w:lang w:val="en-US" w:eastAsia="zh-CN"/>
        </w:rPr>
        <w:t>项目与钦州港经济技术开发区重点管控单元符合性分析一览表</w:t>
      </w:r>
    </w:p>
    <w:tbl>
      <w:tblPr>
        <w:tblStyle w:val="8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6"/>
        <w:gridCol w:w="669"/>
        <w:gridCol w:w="4922"/>
        <w:gridCol w:w="1801"/>
        <w:gridCol w:w="616"/>
      </w:tblGrid>
      <w:tr w14:paraId="36D56E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816" w:type="dxa"/>
            <w:tcBorders>
              <w:tl2br w:val="nil"/>
              <w:tr2bl w:val="nil"/>
            </w:tcBorders>
            <w:noWrap w:val="0"/>
            <w:vAlign w:val="center"/>
          </w:tcPr>
          <w:p w14:paraId="75BD48D7">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b/>
                <w:bCs/>
                <w:color w:val="auto"/>
                <w:kern w:val="0"/>
                <w:sz w:val="21"/>
                <w:szCs w:val="21"/>
                <w:highlight w:val="none"/>
                <w:u w:val="none"/>
                <w:vertAlign w:val="baseline"/>
                <w:lang w:eastAsia="zh-CN"/>
              </w:rPr>
            </w:pPr>
            <w:r>
              <w:rPr>
                <w:rFonts w:hint="default" w:ascii="Times New Roman" w:hAnsi="Times New Roman" w:eastAsia="宋体" w:cs="Times New Roman"/>
                <w:b/>
                <w:bCs/>
                <w:color w:val="auto"/>
                <w:kern w:val="0"/>
                <w:sz w:val="21"/>
                <w:szCs w:val="21"/>
                <w:highlight w:val="none"/>
                <w:u w:val="none"/>
                <w:vertAlign w:val="baseline"/>
                <w:lang w:eastAsia="zh-CN"/>
              </w:rPr>
              <w:t>环境管控单元名称</w:t>
            </w:r>
          </w:p>
        </w:tc>
        <w:tc>
          <w:tcPr>
            <w:tcW w:w="5591" w:type="dxa"/>
            <w:gridSpan w:val="2"/>
            <w:tcBorders>
              <w:tl2br w:val="nil"/>
              <w:tr2bl w:val="nil"/>
            </w:tcBorders>
            <w:noWrap w:val="0"/>
            <w:vAlign w:val="center"/>
          </w:tcPr>
          <w:p w14:paraId="2333529C">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b/>
                <w:bCs/>
                <w:color w:val="auto"/>
                <w:kern w:val="0"/>
                <w:sz w:val="21"/>
                <w:szCs w:val="21"/>
                <w:highlight w:val="none"/>
                <w:u w:val="none"/>
                <w:vertAlign w:val="baseline"/>
                <w:lang w:eastAsia="zh-CN"/>
              </w:rPr>
            </w:pPr>
            <w:r>
              <w:rPr>
                <w:rFonts w:hint="default" w:ascii="Times New Roman" w:hAnsi="Times New Roman" w:eastAsia="宋体" w:cs="Times New Roman"/>
                <w:b/>
                <w:bCs/>
                <w:color w:val="auto"/>
                <w:kern w:val="0"/>
                <w:sz w:val="21"/>
                <w:szCs w:val="21"/>
                <w:highlight w:val="none"/>
                <w:u w:val="none"/>
                <w:vertAlign w:val="baseline"/>
                <w:lang w:eastAsia="zh-CN"/>
              </w:rPr>
              <w:t>管控要求</w:t>
            </w:r>
          </w:p>
        </w:tc>
        <w:tc>
          <w:tcPr>
            <w:tcW w:w="1801" w:type="dxa"/>
            <w:tcBorders>
              <w:tl2br w:val="nil"/>
              <w:tr2bl w:val="nil"/>
            </w:tcBorders>
            <w:noWrap w:val="0"/>
            <w:vAlign w:val="center"/>
          </w:tcPr>
          <w:p w14:paraId="5DFB185F">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b/>
                <w:bCs/>
                <w:color w:val="auto"/>
                <w:kern w:val="0"/>
                <w:sz w:val="21"/>
                <w:szCs w:val="21"/>
                <w:highlight w:val="none"/>
                <w:u w:val="none"/>
                <w:vertAlign w:val="baseline"/>
                <w:lang w:eastAsia="zh-CN"/>
              </w:rPr>
            </w:pPr>
            <w:r>
              <w:rPr>
                <w:rFonts w:hint="default" w:ascii="Times New Roman" w:hAnsi="Times New Roman" w:eastAsia="宋体" w:cs="Times New Roman"/>
                <w:b/>
                <w:bCs/>
                <w:color w:val="auto"/>
                <w:kern w:val="0"/>
                <w:sz w:val="21"/>
                <w:szCs w:val="21"/>
                <w:highlight w:val="none"/>
                <w:u w:val="none"/>
                <w:vertAlign w:val="baseline"/>
                <w:lang w:eastAsia="zh-CN"/>
              </w:rPr>
              <w:t>本项目情况</w:t>
            </w:r>
          </w:p>
        </w:tc>
        <w:tc>
          <w:tcPr>
            <w:tcW w:w="616" w:type="dxa"/>
            <w:tcBorders>
              <w:tl2br w:val="nil"/>
              <w:tr2bl w:val="nil"/>
            </w:tcBorders>
            <w:noWrap w:val="0"/>
            <w:vAlign w:val="center"/>
          </w:tcPr>
          <w:p w14:paraId="0AEC28F5">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b/>
                <w:bCs/>
                <w:color w:val="auto"/>
                <w:kern w:val="0"/>
                <w:sz w:val="21"/>
                <w:szCs w:val="21"/>
                <w:highlight w:val="none"/>
                <w:u w:val="none"/>
                <w:vertAlign w:val="baseline"/>
              </w:rPr>
            </w:pPr>
            <w:r>
              <w:rPr>
                <w:rFonts w:hint="default" w:ascii="Times New Roman" w:hAnsi="Times New Roman" w:eastAsia="宋体" w:cs="Times New Roman"/>
                <w:b/>
                <w:bCs/>
                <w:color w:val="auto"/>
                <w:kern w:val="0"/>
                <w:sz w:val="21"/>
                <w:szCs w:val="21"/>
                <w:highlight w:val="none"/>
                <w:u w:val="none"/>
                <w:vertAlign w:val="baseline"/>
              </w:rPr>
              <w:t>相符性</w:t>
            </w:r>
          </w:p>
        </w:tc>
      </w:tr>
      <w:tr w14:paraId="66E679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816" w:type="dxa"/>
            <w:vMerge w:val="restart"/>
            <w:tcBorders>
              <w:tl2br w:val="nil"/>
              <w:tr2bl w:val="nil"/>
            </w:tcBorders>
            <w:noWrap w:val="0"/>
            <w:vAlign w:val="center"/>
          </w:tcPr>
          <w:p w14:paraId="523C658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sz w:val="21"/>
                <w:szCs w:val="21"/>
                <w:highlight w:val="none"/>
                <w:u w:val="none"/>
                <w:lang w:val="en-US" w:eastAsia="zh-CN"/>
              </w:rPr>
              <w:t>钦州港经济技术开发区重点管控单元</w:t>
            </w:r>
          </w:p>
        </w:tc>
        <w:tc>
          <w:tcPr>
            <w:tcW w:w="669" w:type="dxa"/>
            <w:vMerge w:val="restart"/>
            <w:tcBorders>
              <w:tl2br w:val="nil"/>
              <w:tr2bl w:val="nil"/>
            </w:tcBorders>
            <w:noWrap w:val="0"/>
            <w:vAlign w:val="center"/>
          </w:tcPr>
          <w:p w14:paraId="02224C7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空间布局约束</w:t>
            </w:r>
          </w:p>
        </w:tc>
        <w:tc>
          <w:tcPr>
            <w:tcW w:w="4922" w:type="dxa"/>
            <w:tcBorders>
              <w:tl2br w:val="nil"/>
              <w:tr2bl w:val="nil"/>
            </w:tcBorders>
            <w:noWrap w:val="0"/>
            <w:vAlign w:val="center"/>
          </w:tcPr>
          <w:p w14:paraId="7E6BA910">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rPr>
              <w:t>1．引进项目清洁生产水平须达到国内同行业先进水平。不得引进与园区产业定位不符的产业。</w:t>
            </w:r>
          </w:p>
        </w:tc>
        <w:tc>
          <w:tcPr>
            <w:tcW w:w="1801" w:type="dxa"/>
            <w:tcBorders>
              <w:tl2br w:val="nil"/>
              <w:tr2bl w:val="nil"/>
            </w:tcBorders>
            <w:noWrap w:val="0"/>
            <w:vAlign w:val="center"/>
          </w:tcPr>
          <w:p w14:paraId="7AF74997">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本项目不涉及。</w:t>
            </w:r>
          </w:p>
        </w:tc>
        <w:tc>
          <w:tcPr>
            <w:tcW w:w="616" w:type="dxa"/>
            <w:tcBorders>
              <w:tl2br w:val="nil"/>
              <w:tr2bl w:val="nil"/>
            </w:tcBorders>
            <w:noWrap w:val="0"/>
            <w:vAlign w:val="center"/>
          </w:tcPr>
          <w:p w14:paraId="42129173">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017C6B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Merge w:val="continue"/>
            <w:tcBorders>
              <w:tl2br w:val="nil"/>
              <w:tr2bl w:val="nil"/>
            </w:tcBorders>
            <w:noWrap w:val="0"/>
            <w:vAlign w:val="center"/>
          </w:tcPr>
          <w:p w14:paraId="0409EF96">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669" w:type="dxa"/>
            <w:vMerge w:val="continue"/>
            <w:tcBorders>
              <w:tl2br w:val="nil"/>
              <w:tr2bl w:val="nil"/>
            </w:tcBorders>
            <w:noWrap w:val="0"/>
            <w:vAlign w:val="center"/>
          </w:tcPr>
          <w:p w14:paraId="11E26F08">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4922" w:type="dxa"/>
            <w:tcBorders>
              <w:tl2br w:val="nil"/>
              <w:tr2bl w:val="nil"/>
            </w:tcBorders>
            <w:noWrap w:val="0"/>
            <w:vAlign w:val="center"/>
          </w:tcPr>
          <w:p w14:paraId="492E4605">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rPr>
              <w:t>2．居住用地周边严控布局潜在污染扰民和环境风险突出的建设项目。</w:t>
            </w:r>
          </w:p>
        </w:tc>
        <w:tc>
          <w:tcPr>
            <w:tcW w:w="1801" w:type="dxa"/>
            <w:tcBorders>
              <w:tl2br w:val="nil"/>
              <w:tr2bl w:val="nil"/>
            </w:tcBorders>
            <w:noWrap w:val="0"/>
            <w:vAlign w:val="center"/>
          </w:tcPr>
          <w:p w14:paraId="0AC0B8A3">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616" w:type="dxa"/>
            <w:tcBorders>
              <w:tl2br w:val="nil"/>
              <w:tr2bl w:val="nil"/>
            </w:tcBorders>
            <w:noWrap w:val="0"/>
            <w:vAlign w:val="center"/>
          </w:tcPr>
          <w:p w14:paraId="213D3D23">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3698FC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Merge w:val="continue"/>
            <w:tcBorders>
              <w:tl2br w:val="nil"/>
              <w:tr2bl w:val="nil"/>
            </w:tcBorders>
            <w:noWrap w:val="0"/>
            <w:vAlign w:val="center"/>
          </w:tcPr>
          <w:p w14:paraId="1A6BDD5B">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669" w:type="dxa"/>
            <w:vMerge w:val="continue"/>
            <w:tcBorders>
              <w:tl2br w:val="nil"/>
              <w:tr2bl w:val="nil"/>
            </w:tcBorders>
            <w:noWrap w:val="0"/>
            <w:vAlign w:val="center"/>
          </w:tcPr>
          <w:p w14:paraId="0537FA92">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4922" w:type="dxa"/>
            <w:tcBorders>
              <w:tl2br w:val="nil"/>
              <w:tr2bl w:val="nil"/>
            </w:tcBorders>
            <w:noWrap w:val="0"/>
            <w:vAlign w:val="center"/>
          </w:tcPr>
          <w:p w14:paraId="01C2FEBC">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rPr>
              <w:t>3．园区产业准入执行《广西壮族自治区人民政府办公厅关于印发北钦防一体化产业协同发展限制布局清单（工业类2021年版）的通知》（桂政办函〔2021〕4号）要求，限制新建水泥制造、建筑陶瓷制品制造、制革及毛皮加工等工业项目。</w:t>
            </w:r>
          </w:p>
        </w:tc>
        <w:tc>
          <w:tcPr>
            <w:tcW w:w="1801" w:type="dxa"/>
            <w:tcBorders>
              <w:tl2br w:val="nil"/>
              <w:tr2bl w:val="nil"/>
            </w:tcBorders>
            <w:noWrap w:val="0"/>
            <w:vAlign w:val="center"/>
          </w:tcPr>
          <w:p w14:paraId="4E9CB791">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616" w:type="dxa"/>
            <w:tcBorders>
              <w:tl2br w:val="nil"/>
              <w:tr2bl w:val="nil"/>
            </w:tcBorders>
            <w:noWrap w:val="0"/>
            <w:vAlign w:val="center"/>
          </w:tcPr>
          <w:p w14:paraId="20BD226A">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40789B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Merge w:val="continue"/>
            <w:tcBorders>
              <w:tl2br w:val="nil"/>
              <w:tr2bl w:val="nil"/>
            </w:tcBorders>
            <w:noWrap w:val="0"/>
            <w:vAlign w:val="center"/>
          </w:tcPr>
          <w:p w14:paraId="26FA9A8E">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p>
        </w:tc>
        <w:tc>
          <w:tcPr>
            <w:tcW w:w="669" w:type="dxa"/>
            <w:vMerge w:val="restart"/>
            <w:tcBorders>
              <w:tl2br w:val="nil"/>
              <w:tr2bl w:val="nil"/>
            </w:tcBorders>
            <w:noWrap w:val="0"/>
            <w:vAlign w:val="center"/>
          </w:tcPr>
          <w:p w14:paraId="5865E85B">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lang w:eastAsia="zh-CN"/>
              </w:rPr>
              <w:t>污染物排放管控</w:t>
            </w:r>
          </w:p>
        </w:tc>
        <w:tc>
          <w:tcPr>
            <w:tcW w:w="4922" w:type="dxa"/>
            <w:tcBorders>
              <w:tl2br w:val="nil"/>
              <w:tr2bl w:val="nil"/>
            </w:tcBorders>
            <w:noWrap w:val="0"/>
            <w:vAlign w:val="center"/>
          </w:tcPr>
          <w:p w14:paraId="5704E1D2">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lang w:val="en-US" w:eastAsia="zh-CN"/>
              </w:rPr>
              <w:t>1.</w:t>
            </w:r>
            <w:r>
              <w:rPr>
                <w:rFonts w:hint="default" w:ascii="Times New Roman" w:hAnsi="Times New Roman" w:eastAsia="宋体" w:cs="Times New Roman"/>
                <w:color w:val="auto"/>
                <w:kern w:val="0"/>
                <w:sz w:val="21"/>
                <w:szCs w:val="21"/>
                <w:highlight w:val="none"/>
                <w:u w:val="none"/>
                <w:vertAlign w:val="baseline"/>
              </w:rPr>
              <w:t>推动石化、化工等重点行业挥发性有机物（VOCs）污染防治。推动石化行业VOCs泄漏检测与修复行动、VOCs削减和有毒有害原料替代。</w:t>
            </w:r>
          </w:p>
        </w:tc>
        <w:tc>
          <w:tcPr>
            <w:tcW w:w="1801" w:type="dxa"/>
            <w:tcBorders>
              <w:tl2br w:val="nil"/>
              <w:tr2bl w:val="nil"/>
            </w:tcBorders>
            <w:noWrap w:val="0"/>
            <w:vAlign w:val="center"/>
          </w:tcPr>
          <w:p w14:paraId="113E425C">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u w:val="none"/>
                <w:vertAlign w:val="baseline"/>
                <w:lang w:eastAsia="zh-CN"/>
              </w:rPr>
              <w:t>本项目不涉及。</w:t>
            </w:r>
          </w:p>
        </w:tc>
        <w:tc>
          <w:tcPr>
            <w:tcW w:w="616" w:type="dxa"/>
            <w:tcBorders>
              <w:tl2br w:val="nil"/>
              <w:tr2bl w:val="nil"/>
            </w:tcBorders>
            <w:noWrap w:val="0"/>
            <w:vAlign w:val="center"/>
          </w:tcPr>
          <w:p w14:paraId="21624B29">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534BE4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Merge w:val="continue"/>
            <w:tcBorders>
              <w:tl2br w:val="nil"/>
              <w:tr2bl w:val="nil"/>
            </w:tcBorders>
            <w:noWrap w:val="0"/>
            <w:vAlign w:val="center"/>
          </w:tcPr>
          <w:p w14:paraId="0905DF48">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669" w:type="dxa"/>
            <w:vMerge w:val="continue"/>
            <w:tcBorders>
              <w:tl2br w:val="nil"/>
              <w:tr2bl w:val="nil"/>
            </w:tcBorders>
            <w:noWrap w:val="0"/>
            <w:vAlign w:val="center"/>
          </w:tcPr>
          <w:p w14:paraId="633AB2AB">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4922" w:type="dxa"/>
            <w:tcBorders>
              <w:tl2br w:val="nil"/>
              <w:tr2bl w:val="nil"/>
            </w:tcBorders>
            <w:noWrap w:val="0"/>
            <w:vAlign w:val="center"/>
          </w:tcPr>
          <w:p w14:paraId="6FBD7714">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rPr>
              <w:t>2.石化行业全面推进行业达标排放改造，新建、改建、扩建涉及重点重金属排放建设项目依照相关规定实行总量控制。</w:t>
            </w:r>
          </w:p>
        </w:tc>
        <w:tc>
          <w:tcPr>
            <w:tcW w:w="1801" w:type="dxa"/>
            <w:tcBorders>
              <w:tl2br w:val="nil"/>
              <w:tr2bl w:val="nil"/>
            </w:tcBorders>
            <w:noWrap w:val="0"/>
            <w:vAlign w:val="center"/>
          </w:tcPr>
          <w:p w14:paraId="5A63747D">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u w:val="none"/>
                <w:vertAlign w:val="baseline"/>
                <w:lang w:eastAsia="zh-CN"/>
              </w:rPr>
              <w:t>本项目不涉及。</w:t>
            </w:r>
          </w:p>
        </w:tc>
        <w:tc>
          <w:tcPr>
            <w:tcW w:w="616" w:type="dxa"/>
            <w:tcBorders>
              <w:tl2br w:val="nil"/>
              <w:tr2bl w:val="nil"/>
            </w:tcBorders>
            <w:noWrap w:val="0"/>
            <w:vAlign w:val="center"/>
          </w:tcPr>
          <w:p w14:paraId="62179AEA">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4CDAA8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Merge w:val="continue"/>
            <w:tcBorders>
              <w:tl2br w:val="nil"/>
              <w:tr2bl w:val="nil"/>
            </w:tcBorders>
            <w:noWrap w:val="0"/>
            <w:vAlign w:val="center"/>
          </w:tcPr>
          <w:p w14:paraId="40E13624">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669" w:type="dxa"/>
            <w:vMerge w:val="continue"/>
            <w:tcBorders>
              <w:tl2br w:val="nil"/>
              <w:tr2bl w:val="nil"/>
            </w:tcBorders>
            <w:noWrap w:val="0"/>
            <w:vAlign w:val="center"/>
          </w:tcPr>
          <w:p w14:paraId="347A822F">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4922" w:type="dxa"/>
            <w:tcBorders>
              <w:tl2br w:val="nil"/>
              <w:tr2bl w:val="nil"/>
            </w:tcBorders>
            <w:noWrap w:val="0"/>
            <w:vAlign w:val="center"/>
          </w:tcPr>
          <w:p w14:paraId="4691C5AD">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rPr>
              <w:t>3.完善工业园区污水集中处理设施和配套管网。实行“清污分流、雨污分流”，实现废水分类收集、分质处理，入园企业应在达到国家或地方规定的排放标准后接入集中式污水处理设施处理，园区集中式污水处理设施总排口应安装自动监控系统、视频监控系统，并与环境保护主管部门联网。</w:t>
            </w:r>
          </w:p>
        </w:tc>
        <w:tc>
          <w:tcPr>
            <w:tcW w:w="1801" w:type="dxa"/>
            <w:tcBorders>
              <w:tl2br w:val="nil"/>
              <w:tr2bl w:val="nil"/>
            </w:tcBorders>
            <w:noWrap w:val="0"/>
            <w:vAlign w:val="center"/>
          </w:tcPr>
          <w:p w14:paraId="3FE7B659">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u w:val="none"/>
                <w:vertAlign w:val="baseline"/>
                <w:lang w:eastAsia="zh-CN"/>
              </w:rPr>
              <w:t>项目建设雨水排水管网、水系改造，实现“清污分流、雨污分流”。</w:t>
            </w:r>
          </w:p>
        </w:tc>
        <w:tc>
          <w:tcPr>
            <w:tcW w:w="616" w:type="dxa"/>
            <w:tcBorders>
              <w:tl2br w:val="nil"/>
              <w:tr2bl w:val="nil"/>
            </w:tcBorders>
            <w:noWrap w:val="0"/>
            <w:vAlign w:val="center"/>
          </w:tcPr>
          <w:p w14:paraId="7DF00500">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7F00FB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Merge w:val="continue"/>
            <w:tcBorders>
              <w:tl2br w:val="nil"/>
              <w:tr2bl w:val="nil"/>
            </w:tcBorders>
            <w:noWrap w:val="0"/>
            <w:vAlign w:val="center"/>
          </w:tcPr>
          <w:p w14:paraId="5D392F73">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669" w:type="dxa"/>
            <w:vMerge w:val="continue"/>
            <w:tcBorders>
              <w:tl2br w:val="nil"/>
              <w:tr2bl w:val="nil"/>
            </w:tcBorders>
            <w:noWrap w:val="0"/>
            <w:vAlign w:val="center"/>
          </w:tcPr>
          <w:p w14:paraId="52074A70">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4922" w:type="dxa"/>
            <w:tcBorders>
              <w:tl2br w:val="nil"/>
              <w:tr2bl w:val="nil"/>
            </w:tcBorders>
            <w:noWrap w:val="0"/>
            <w:vAlign w:val="center"/>
          </w:tcPr>
          <w:p w14:paraId="357C69C2">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rPr>
              <w:t>4.加强园区无组织废气排放管理。</w:t>
            </w:r>
          </w:p>
        </w:tc>
        <w:tc>
          <w:tcPr>
            <w:tcW w:w="1801" w:type="dxa"/>
            <w:tcBorders>
              <w:tl2br w:val="nil"/>
              <w:tr2bl w:val="nil"/>
            </w:tcBorders>
            <w:noWrap w:val="0"/>
            <w:vAlign w:val="center"/>
          </w:tcPr>
          <w:p w14:paraId="595869AB">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u w:val="none"/>
                <w:vertAlign w:val="baseline"/>
                <w:lang w:eastAsia="zh-CN"/>
              </w:rPr>
              <w:t>本项目不涉及。</w:t>
            </w:r>
          </w:p>
        </w:tc>
        <w:tc>
          <w:tcPr>
            <w:tcW w:w="616" w:type="dxa"/>
            <w:tcBorders>
              <w:tl2br w:val="nil"/>
              <w:tr2bl w:val="nil"/>
            </w:tcBorders>
            <w:noWrap w:val="0"/>
            <w:vAlign w:val="center"/>
          </w:tcPr>
          <w:p w14:paraId="44A74D40">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1EFF23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Merge w:val="continue"/>
            <w:tcBorders>
              <w:tl2br w:val="nil"/>
              <w:tr2bl w:val="nil"/>
            </w:tcBorders>
            <w:noWrap w:val="0"/>
            <w:vAlign w:val="center"/>
          </w:tcPr>
          <w:p w14:paraId="6ECE0858">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669" w:type="dxa"/>
            <w:vMerge w:val="continue"/>
            <w:tcBorders>
              <w:tl2br w:val="nil"/>
              <w:tr2bl w:val="nil"/>
            </w:tcBorders>
            <w:noWrap w:val="0"/>
            <w:vAlign w:val="center"/>
          </w:tcPr>
          <w:p w14:paraId="0A3758BB">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4922" w:type="dxa"/>
            <w:tcBorders>
              <w:tl2br w:val="nil"/>
              <w:tr2bl w:val="nil"/>
            </w:tcBorders>
            <w:noWrap w:val="0"/>
            <w:vAlign w:val="center"/>
          </w:tcPr>
          <w:p w14:paraId="617F0F3E">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rPr>
              <w:t>5.提升固体废物减量化、资源化和无害化水平，尽量实现废物的综合利用，危险废物应交由有危废处理资质的单位进行安全处置。</w:t>
            </w:r>
          </w:p>
        </w:tc>
        <w:tc>
          <w:tcPr>
            <w:tcW w:w="1801" w:type="dxa"/>
            <w:tcBorders>
              <w:tl2br w:val="nil"/>
              <w:tr2bl w:val="nil"/>
            </w:tcBorders>
            <w:noWrap w:val="0"/>
            <w:vAlign w:val="center"/>
          </w:tcPr>
          <w:p w14:paraId="3E5A5C72">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u w:val="none"/>
                <w:vertAlign w:val="baseline"/>
                <w:lang w:eastAsia="zh-CN"/>
              </w:rPr>
              <w:t>本项目不涉及。</w:t>
            </w:r>
          </w:p>
        </w:tc>
        <w:tc>
          <w:tcPr>
            <w:tcW w:w="616" w:type="dxa"/>
            <w:tcBorders>
              <w:tl2br w:val="nil"/>
              <w:tr2bl w:val="nil"/>
            </w:tcBorders>
            <w:noWrap w:val="0"/>
            <w:vAlign w:val="center"/>
          </w:tcPr>
          <w:p w14:paraId="56EC553F">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0DC819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Merge w:val="continue"/>
            <w:tcBorders>
              <w:tl2br w:val="nil"/>
              <w:tr2bl w:val="nil"/>
            </w:tcBorders>
            <w:noWrap w:val="0"/>
            <w:vAlign w:val="center"/>
          </w:tcPr>
          <w:p w14:paraId="2C2F4E09">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669" w:type="dxa"/>
            <w:vMerge w:val="restart"/>
            <w:tcBorders>
              <w:tl2br w:val="nil"/>
              <w:tr2bl w:val="nil"/>
            </w:tcBorders>
            <w:noWrap w:val="0"/>
            <w:vAlign w:val="center"/>
          </w:tcPr>
          <w:p w14:paraId="15248909">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环境风险管控</w:t>
            </w:r>
          </w:p>
        </w:tc>
        <w:tc>
          <w:tcPr>
            <w:tcW w:w="4922" w:type="dxa"/>
            <w:tcBorders>
              <w:tl2br w:val="nil"/>
              <w:tr2bl w:val="nil"/>
            </w:tcBorders>
            <w:noWrap w:val="0"/>
            <w:vAlign w:val="center"/>
          </w:tcPr>
          <w:p w14:paraId="0918FF09">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lang w:val="en-US" w:eastAsia="zh-CN"/>
              </w:rPr>
              <w:t>1.</w:t>
            </w:r>
            <w:r>
              <w:rPr>
                <w:rFonts w:hint="default" w:ascii="Times New Roman" w:hAnsi="Times New Roman" w:eastAsia="宋体" w:cs="Times New Roman"/>
                <w:color w:val="auto"/>
                <w:kern w:val="0"/>
                <w:sz w:val="21"/>
                <w:szCs w:val="21"/>
                <w:highlight w:val="none"/>
                <w:u w:val="none"/>
                <w:vertAlign w:val="baseline"/>
              </w:rPr>
              <w:t>开展环境风险评估，制定突发环境事件应急预案并备案，配备应急能力和物资，建设环境应急队伍，并定期演练。企业、园区与地方人民政府环境应急预案应当有机衔接。</w:t>
            </w:r>
          </w:p>
        </w:tc>
        <w:tc>
          <w:tcPr>
            <w:tcW w:w="1801" w:type="dxa"/>
            <w:tcBorders>
              <w:tl2br w:val="nil"/>
              <w:tr2bl w:val="nil"/>
            </w:tcBorders>
            <w:noWrap w:val="0"/>
            <w:vAlign w:val="center"/>
          </w:tcPr>
          <w:p w14:paraId="1146E2B7">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u w:val="none"/>
                <w:vertAlign w:val="baseline"/>
                <w:lang w:eastAsia="zh-CN"/>
              </w:rPr>
              <w:t>本项目不涉及。</w:t>
            </w:r>
          </w:p>
        </w:tc>
        <w:tc>
          <w:tcPr>
            <w:tcW w:w="616" w:type="dxa"/>
            <w:tcBorders>
              <w:tl2br w:val="nil"/>
              <w:tr2bl w:val="nil"/>
            </w:tcBorders>
            <w:noWrap w:val="0"/>
            <w:vAlign w:val="center"/>
          </w:tcPr>
          <w:p w14:paraId="7AC8DE8F">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0F4F8F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Merge w:val="continue"/>
            <w:tcBorders>
              <w:tl2br w:val="nil"/>
              <w:tr2bl w:val="nil"/>
            </w:tcBorders>
            <w:noWrap w:val="0"/>
            <w:vAlign w:val="center"/>
          </w:tcPr>
          <w:p w14:paraId="291EBB25">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669" w:type="dxa"/>
            <w:vMerge w:val="continue"/>
            <w:tcBorders>
              <w:tl2br w:val="nil"/>
              <w:tr2bl w:val="nil"/>
            </w:tcBorders>
            <w:noWrap w:val="0"/>
            <w:vAlign w:val="center"/>
          </w:tcPr>
          <w:p w14:paraId="3428B74C">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4922" w:type="dxa"/>
            <w:tcBorders>
              <w:tl2br w:val="nil"/>
              <w:tr2bl w:val="nil"/>
            </w:tcBorders>
            <w:noWrap w:val="0"/>
            <w:vAlign w:val="center"/>
          </w:tcPr>
          <w:p w14:paraId="795F04F9">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rPr>
              <w:t>2.土壤污染重点监管单位应当严格控制有毒有害物质排放，并按年度向生态环境主管部门报告排放情况；建立土壤污染隐患排查制度，保证持续有效防止有毒有害物质渗漏、流失、扬散；制定、实施自行监测方案，并将监测数据报生态环境主管部门。</w:t>
            </w:r>
          </w:p>
        </w:tc>
        <w:tc>
          <w:tcPr>
            <w:tcW w:w="1801" w:type="dxa"/>
            <w:tcBorders>
              <w:tl2br w:val="nil"/>
              <w:tr2bl w:val="nil"/>
            </w:tcBorders>
            <w:noWrap w:val="0"/>
            <w:vAlign w:val="center"/>
          </w:tcPr>
          <w:p w14:paraId="4FC6D7BE">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u w:val="none"/>
                <w:vertAlign w:val="baseline"/>
                <w:lang w:eastAsia="zh-CN"/>
              </w:rPr>
              <w:t>本项目不涉及。</w:t>
            </w:r>
          </w:p>
        </w:tc>
        <w:tc>
          <w:tcPr>
            <w:tcW w:w="616" w:type="dxa"/>
            <w:tcBorders>
              <w:tl2br w:val="nil"/>
              <w:tr2bl w:val="nil"/>
            </w:tcBorders>
            <w:noWrap w:val="0"/>
            <w:vAlign w:val="center"/>
          </w:tcPr>
          <w:p w14:paraId="5F545BE9">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5E8572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Merge w:val="continue"/>
            <w:tcBorders>
              <w:tl2br w:val="nil"/>
              <w:tr2bl w:val="nil"/>
            </w:tcBorders>
            <w:noWrap w:val="0"/>
            <w:vAlign w:val="center"/>
          </w:tcPr>
          <w:p w14:paraId="79E84185">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669" w:type="dxa"/>
            <w:vMerge w:val="continue"/>
            <w:tcBorders>
              <w:tl2br w:val="nil"/>
              <w:tr2bl w:val="nil"/>
            </w:tcBorders>
            <w:noWrap w:val="0"/>
            <w:vAlign w:val="center"/>
          </w:tcPr>
          <w:p w14:paraId="1690C4EB">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4922" w:type="dxa"/>
            <w:tcBorders>
              <w:tl2br w:val="nil"/>
              <w:tr2bl w:val="nil"/>
            </w:tcBorders>
            <w:noWrap w:val="0"/>
            <w:vAlign w:val="center"/>
          </w:tcPr>
          <w:p w14:paraId="221BB159">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rPr>
              <w:t>3.建设项目应严格落实环境保护措施和环境风险防范措施，减缓对周边生态环境敏感区的不良影响。</w:t>
            </w:r>
          </w:p>
        </w:tc>
        <w:tc>
          <w:tcPr>
            <w:tcW w:w="1801" w:type="dxa"/>
            <w:tcBorders>
              <w:tl2br w:val="nil"/>
              <w:tr2bl w:val="nil"/>
            </w:tcBorders>
            <w:noWrap w:val="0"/>
            <w:vAlign w:val="center"/>
          </w:tcPr>
          <w:p w14:paraId="47BE9E5B">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u w:val="none"/>
                <w:vertAlign w:val="baseline"/>
                <w:lang w:eastAsia="zh-CN"/>
              </w:rPr>
              <w:t>本项目不涉及。</w:t>
            </w:r>
          </w:p>
        </w:tc>
        <w:tc>
          <w:tcPr>
            <w:tcW w:w="616" w:type="dxa"/>
            <w:tcBorders>
              <w:tl2br w:val="nil"/>
              <w:tr2bl w:val="nil"/>
            </w:tcBorders>
            <w:noWrap w:val="0"/>
            <w:vAlign w:val="center"/>
          </w:tcPr>
          <w:p w14:paraId="3C938C91">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333511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Merge w:val="continue"/>
            <w:tcBorders>
              <w:tl2br w:val="nil"/>
              <w:tr2bl w:val="nil"/>
            </w:tcBorders>
            <w:noWrap w:val="0"/>
            <w:vAlign w:val="center"/>
          </w:tcPr>
          <w:p w14:paraId="2940324C">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669" w:type="dxa"/>
            <w:vMerge w:val="restart"/>
            <w:tcBorders>
              <w:tl2br w:val="nil"/>
              <w:tr2bl w:val="nil"/>
            </w:tcBorders>
            <w:noWrap w:val="0"/>
            <w:vAlign w:val="center"/>
          </w:tcPr>
          <w:p w14:paraId="0C51948A">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资源开发利用效率要求</w:t>
            </w:r>
          </w:p>
        </w:tc>
        <w:tc>
          <w:tcPr>
            <w:tcW w:w="4922" w:type="dxa"/>
            <w:tcBorders>
              <w:tl2br w:val="nil"/>
              <w:tr2bl w:val="nil"/>
            </w:tcBorders>
            <w:noWrap w:val="0"/>
            <w:vAlign w:val="center"/>
          </w:tcPr>
          <w:p w14:paraId="5414E921">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lang w:val="en-US" w:eastAsia="zh-CN"/>
              </w:rPr>
              <w:t>1.</w:t>
            </w:r>
            <w:r>
              <w:rPr>
                <w:rFonts w:hint="default" w:ascii="Times New Roman" w:hAnsi="Times New Roman" w:eastAsia="宋体" w:cs="Times New Roman"/>
                <w:color w:val="auto"/>
                <w:kern w:val="0"/>
                <w:sz w:val="21"/>
                <w:szCs w:val="21"/>
                <w:highlight w:val="none"/>
                <w:u w:val="none"/>
                <w:vertAlign w:val="baseline"/>
              </w:rPr>
              <w:t>污染物排放以及用水、能耗、物耗、岸线与土地利用等资源环境指标达到行业先进水平。</w:t>
            </w:r>
          </w:p>
        </w:tc>
        <w:tc>
          <w:tcPr>
            <w:tcW w:w="1801" w:type="dxa"/>
            <w:tcBorders>
              <w:tl2br w:val="nil"/>
              <w:tr2bl w:val="nil"/>
            </w:tcBorders>
            <w:noWrap w:val="0"/>
            <w:vAlign w:val="center"/>
          </w:tcPr>
          <w:p w14:paraId="4F3A271E">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u w:val="none"/>
                <w:vertAlign w:val="baseline"/>
                <w:lang w:eastAsia="zh-CN"/>
              </w:rPr>
              <w:t>本项目不涉及。</w:t>
            </w:r>
          </w:p>
        </w:tc>
        <w:tc>
          <w:tcPr>
            <w:tcW w:w="616" w:type="dxa"/>
            <w:tcBorders>
              <w:tl2br w:val="nil"/>
              <w:tr2bl w:val="nil"/>
            </w:tcBorders>
            <w:noWrap w:val="0"/>
            <w:vAlign w:val="center"/>
          </w:tcPr>
          <w:p w14:paraId="405EA688">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4CB5F8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 w:type="dxa"/>
            <w:vMerge w:val="continue"/>
            <w:tcBorders>
              <w:tl2br w:val="nil"/>
              <w:tr2bl w:val="nil"/>
            </w:tcBorders>
            <w:noWrap w:val="0"/>
            <w:vAlign w:val="center"/>
          </w:tcPr>
          <w:p w14:paraId="5378C2AA">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669" w:type="dxa"/>
            <w:vMerge w:val="continue"/>
            <w:tcBorders>
              <w:tl2br w:val="nil"/>
              <w:tr2bl w:val="nil"/>
            </w:tcBorders>
            <w:noWrap w:val="0"/>
            <w:vAlign w:val="center"/>
          </w:tcPr>
          <w:p w14:paraId="38490013">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4922" w:type="dxa"/>
            <w:tcBorders>
              <w:tl2br w:val="nil"/>
              <w:tr2bl w:val="nil"/>
            </w:tcBorders>
            <w:noWrap w:val="0"/>
            <w:vAlign w:val="center"/>
          </w:tcPr>
          <w:p w14:paraId="2CCACD6B">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lang w:val="en-US" w:eastAsia="zh-CN"/>
              </w:rPr>
              <w:t>2.</w:t>
            </w:r>
            <w:r>
              <w:rPr>
                <w:rFonts w:hint="default" w:ascii="Times New Roman" w:hAnsi="Times New Roman" w:eastAsia="宋体" w:cs="Times New Roman"/>
                <w:color w:val="auto"/>
                <w:kern w:val="0"/>
                <w:sz w:val="21"/>
                <w:szCs w:val="21"/>
                <w:highlight w:val="none"/>
                <w:u w:val="none"/>
                <w:vertAlign w:val="baseline"/>
              </w:rPr>
              <w:t>依据《钦州市人民政府关于划定高污染燃料禁燃区的通告》，高污染燃料为：除单台出力大于等于20蒸吨/小时锅炉以外的燃用煤炭及其制品；石油焦、油页岩、原油、重油、渣油、煤焦油，以及各种可燃废物和直接燃用的生物质非成型燃料（树木、秸秆、锯末、稻壳、蔗渣等）。高污染燃料禁燃区内在集中供热管网或者燃气管网覆盖范围内的单台出力小于20蒸吨/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单台出力65蒸吨/小时以上燃煤机组按照国家相关污染物排放标准有序开展超低排放改造。禁燃区内禁止新建、扩建燃用高污染燃料的锅炉、窑炉等燃烧设施。</w:t>
            </w:r>
          </w:p>
        </w:tc>
        <w:tc>
          <w:tcPr>
            <w:tcW w:w="1801" w:type="dxa"/>
            <w:tcBorders>
              <w:tl2br w:val="nil"/>
              <w:tr2bl w:val="nil"/>
            </w:tcBorders>
            <w:noWrap w:val="0"/>
            <w:vAlign w:val="center"/>
          </w:tcPr>
          <w:p w14:paraId="0B49DD1E">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u w:val="none"/>
                <w:vertAlign w:val="baseline"/>
                <w:lang w:eastAsia="zh-CN"/>
              </w:rPr>
              <w:t>本项目不涉及。</w:t>
            </w:r>
          </w:p>
        </w:tc>
        <w:tc>
          <w:tcPr>
            <w:tcW w:w="616" w:type="dxa"/>
            <w:tcBorders>
              <w:tl2br w:val="nil"/>
              <w:tr2bl w:val="nil"/>
            </w:tcBorders>
            <w:noWrap w:val="0"/>
            <w:vAlign w:val="center"/>
          </w:tcPr>
          <w:p w14:paraId="554EFD58">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bl>
    <w:p w14:paraId="441E0A7B">
      <w:pPr>
        <w:keepNext w:val="0"/>
        <w:keepLines w:val="0"/>
        <w:pageBreakBefore w:val="0"/>
        <w:widowControl w:val="0"/>
        <w:kinsoku/>
        <w:wordWrap/>
        <w:overflowPunct/>
        <w:topLinePunct w:val="0"/>
        <w:autoSpaceDE w:val="0"/>
        <w:autoSpaceDN w:val="0"/>
        <w:bidi w:val="0"/>
        <w:adjustRightInd w:val="0"/>
        <w:snapToGrid/>
        <w:spacing w:before="157" w:beforeLines="50" w:line="360" w:lineRule="auto"/>
        <w:ind w:firstLine="454" w:firstLineChars="200"/>
        <w:textAlignment w:val="auto"/>
        <w:rPr>
          <w:rFonts w:hint="default" w:ascii="Times New Roman" w:hAnsi="Times New Roman" w:cs="Times New Roman"/>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项目与钦州市生态环境准入及管控要求清单符合性分析如下：</w:t>
      </w:r>
    </w:p>
    <w:p w14:paraId="30C0C2D5">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lang w:val="en-US" w:eastAsia="zh-CN"/>
        </w:rPr>
      </w:pPr>
      <w:r>
        <w:rPr>
          <w:rFonts w:hint="default"/>
          <w:color w:val="auto"/>
          <w:highlight w:val="none"/>
          <w:lang w:val="en-US" w:eastAsia="zh-CN"/>
        </w:rPr>
        <w:t>项目与钦州市生态环境准入及管控要求清单符合性分析一览表</w:t>
      </w:r>
    </w:p>
    <w:tbl>
      <w:tblPr>
        <w:tblStyle w:val="88"/>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5726"/>
        <w:gridCol w:w="1944"/>
        <w:gridCol w:w="664"/>
      </w:tblGrid>
      <w:tr w14:paraId="29C836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279" w:type="pct"/>
            <w:tcBorders>
              <w:tl2br w:val="nil"/>
              <w:tr2bl w:val="nil"/>
            </w:tcBorders>
            <w:noWrap w:val="0"/>
            <w:vAlign w:val="center"/>
          </w:tcPr>
          <w:p w14:paraId="3F59B1B1">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b/>
                <w:bCs/>
                <w:color w:val="auto"/>
                <w:kern w:val="0"/>
                <w:sz w:val="21"/>
                <w:szCs w:val="21"/>
                <w:highlight w:val="none"/>
                <w:u w:val="none"/>
                <w:vertAlign w:val="baseline"/>
                <w:lang w:eastAsia="zh-CN"/>
              </w:rPr>
            </w:pPr>
            <w:r>
              <w:rPr>
                <w:rFonts w:hint="default" w:ascii="Times New Roman" w:hAnsi="Times New Roman" w:eastAsia="宋体" w:cs="Times New Roman"/>
                <w:b/>
                <w:bCs/>
                <w:color w:val="auto"/>
                <w:kern w:val="0"/>
                <w:sz w:val="21"/>
                <w:szCs w:val="21"/>
                <w:highlight w:val="none"/>
                <w:u w:val="none"/>
                <w:vertAlign w:val="baseline"/>
                <w:lang w:eastAsia="zh-CN"/>
              </w:rPr>
              <w:t>管控类别</w:t>
            </w:r>
          </w:p>
        </w:tc>
        <w:tc>
          <w:tcPr>
            <w:tcW w:w="3243" w:type="pct"/>
            <w:tcBorders>
              <w:tl2br w:val="nil"/>
              <w:tr2bl w:val="nil"/>
            </w:tcBorders>
            <w:noWrap w:val="0"/>
            <w:vAlign w:val="center"/>
          </w:tcPr>
          <w:p w14:paraId="43219466">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b/>
                <w:bCs/>
                <w:color w:val="auto"/>
                <w:kern w:val="0"/>
                <w:sz w:val="21"/>
                <w:szCs w:val="21"/>
                <w:highlight w:val="none"/>
                <w:u w:val="none"/>
                <w:vertAlign w:val="baseline"/>
              </w:rPr>
            </w:pPr>
            <w:r>
              <w:rPr>
                <w:rFonts w:hint="default" w:ascii="Times New Roman" w:hAnsi="Times New Roman" w:eastAsia="宋体" w:cs="Times New Roman"/>
                <w:b/>
                <w:bCs/>
                <w:color w:val="auto"/>
                <w:kern w:val="0"/>
                <w:sz w:val="21"/>
                <w:szCs w:val="21"/>
                <w:highlight w:val="none"/>
                <w:u w:val="none"/>
                <w:vertAlign w:val="baseline"/>
              </w:rPr>
              <w:t>生态环境准入及管控要求</w:t>
            </w:r>
          </w:p>
        </w:tc>
        <w:tc>
          <w:tcPr>
            <w:tcW w:w="1101" w:type="pct"/>
            <w:tcBorders>
              <w:tl2br w:val="nil"/>
              <w:tr2bl w:val="nil"/>
            </w:tcBorders>
            <w:noWrap w:val="0"/>
            <w:vAlign w:val="center"/>
          </w:tcPr>
          <w:p w14:paraId="401F502F">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b/>
                <w:bCs/>
                <w:color w:val="auto"/>
                <w:kern w:val="0"/>
                <w:sz w:val="21"/>
                <w:szCs w:val="21"/>
                <w:highlight w:val="none"/>
                <w:u w:val="none"/>
                <w:vertAlign w:val="baseline"/>
                <w:lang w:eastAsia="zh-CN"/>
              </w:rPr>
            </w:pPr>
            <w:r>
              <w:rPr>
                <w:rFonts w:hint="default" w:ascii="Times New Roman" w:hAnsi="Times New Roman" w:eastAsia="宋体" w:cs="Times New Roman"/>
                <w:b/>
                <w:bCs/>
                <w:color w:val="auto"/>
                <w:kern w:val="0"/>
                <w:sz w:val="21"/>
                <w:szCs w:val="21"/>
                <w:highlight w:val="none"/>
                <w:u w:val="none"/>
                <w:vertAlign w:val="baseline"/>
                <w:lang w:eastAsia="zh-CN"/>
              </w:rPr>
              <w:t>本项目情况</w:t>
            </w:r>
          </w:p>
        </w:tc>
        <w:tc>
          <w:tcPr>
            <w:tcW w:w="376" w:type="pct"/>
            <w:tcBorders>
              <w:tl2br w:val="nil"/>
              <w:tr2bl w:val="nil"/>
            </w:tcBorders>
            <w:noWrap w:val="0"/>
            <w:vAlign w:val="center"/>
          </w:tcPr>
          <w:p w14:paraId="0606E74E">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b/>
                <w:bCs/>
                <w:color w:val="auto"/>
                <w:kern w:val="0"/>
                <w:sz w:val="21"/>
                <w:szCs w:val="21"/>
                <w:highlight w:val="none"/>
                <w:u w:val="none"/>
                <w:vertAlign w:val="baseline"/>
              </w:rPr>
            </w:pPr>
            <w:r>
              <w:rPr>
                <w:rFonts w:hint="default" w:ascii="Times New Roman" w:hAnsi="Times New Roman" w:eastAsia="宋体" w:cs="Times New Roman"/>
                <w:b/>
                <w:bCs/>
                <w:color w:val="auto"/>
                <w:kern w:val="0"/>
                <w:sz w:val="21"/>
                <w:szCs w:val="21"/>
                <w:highlight w:val="none"/>
                <w:u w:val="none"/>
                <w:vertAlign w:val="baseline"/>
              </w:rPr>
              <w:t>相符性</w:t>
            </w:r>
          </w:p>
        </w:tc>
      </w:tr>
      <w:tr w14:paraId="7560C4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279" w:type="pct"/>
            <w:vMerge w:val="restart"/>
            <w:tcBorders>
              <w:tl2br w:val="nil"/>
              <w:tr2bl w:val="nil"/>
            </w:tcBorders>
            <w:noWrap w:val="0"/>
            <w:vAlign w:val="center"/>
          </w:tcPr>
          <w:p w14:paraId="7839A740">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rPr>
              <w:t>空间布局</w:t>
            </w:r>
          </w:p>
          <w:p w14:paraId="6DF9937C">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rPr>
              <w:t>约束</w:t>
            </w:r>
            <w:r>
              <w:rPr>
                <w:rFonts w:hint="default" w:ascii="Times New Roman" w:hAnsi="Times New Roman" w:eastAsia="宋体" w:cs="Times New Roman"/>
                <w:color w:val="auto"/>
                <w:kern w:val="0"/>
                <w:sz w:val="21"/>
                <w:szCs w:val="21"/>
                <w:highlight w:val="none"/>
                <w:u w:val="none"/>
                <w:vertAlign w:val="baseline"/>
                <w:lang w:eastAsia="zh-CN"/>
              </w:rPr>
              <w:t>资源开发利用效率要求</w:t>
            </w:r>
          </w:p>
        </w:tc>
        <w:tc>
          <w:tcPr>
            <w:tcW w:w="3243" w:type="pct"/>
            <w:tcBorders>
              <w:tl2br w:val="nil"/>
              <w:tr2bl w:val="nil"/>
            </w:tcBorders>
            <w:noWrap w:val="0"/>
            <w:vAlign w:val="center"/>
          </w:tcPr>
          <w:p w14:paraId="016C376A">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rPr>
              <w:t>1.自然保护区、森林公园、湿地公园、水源保护区、风景名胜区、公益林、天然林等具有法律地位</w:t>
            </w:r>
            <w:r>
              <w:rPr>
                <w:rFonts w:hint="default" w:ascii="Times New Roman" w:hAnsi="Times New Roman" w:eastAsia="宋体" w:cs="Times New Roman"/>
                <w:color w:val="auto"/>
                <w:kern w:val="0"/>
                <w:sz w:val="21"/>
                <w:szCs w:val="21"/>
                <w:highlight w:val="none"/>
                <w:u w:val="none"/>
                <w:vertAlign w:val="baseline"/>
                <w:lang w:eastAsia="zh-CN"/>
              </w:rPr>
              <w:t>，具</w:t>
            </w:r>
            <w:r>
              <w:rPr>
                <w:rFonts w:hint="default" w:ascii="Times New Roman" w:hAnsi="Times New Roman" w:eastAsia="宋体" w:cs="Times New Roman"/>
                <w:color w:val="auto"/>
                <w:kern w:val="0"/>
                <w:sz w:val="21"/>
                <w:szCs w:val="21"/>
                <w:highlight w:val="none"/>
                <w:u w:val="none"/>
                <w:vertAlign w:val="baseline"/>
              </w:rPr>
              <w:t>有管理条例、规定、办法的各类保护地，其管控要求原则上按照各类保护地的现行规定进行管理，重叠区域以最严格的要求进行管理。纳入生态保护红线管理的各类自然保护地，还应执行国家、自治区有关生态保护红线内各类开发活动的准入及管控规定和要求。</w:t>
            </w:r>
          </w:p>
        </w:tc>
        <w:tc>
          <w:tcPr>
            <w:tcW w:w="1101" w:type="pct"/>
            <w:tcBorders>
              <w:tl2br w:val="nil"/>
              <w:tr2bl w:val="nil"/>
            </w:tcBorders>
            <w:noWrap w:val="0"/>
            <w:vAlign w:val="center"/>
          </w:tcPr>
          <w:p w14:paraId="163D940E">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本项目不在自然保护区、森林公园、湿地公园、水源保护区、风景名胜区、公益林、天然林等各类保护地，不在生态保护红线范围内。</w:t>
            </w:r>
          </w:p>
        </w:tc>
        <w:tc>
          <w:tcPr>
            <w:tcW w:w="376" w:type="pct"/>
            <w:tcBorders>
              <w:tl2br w:val="nil"/>
              <w:tr2bl w:val="nil"/>
            </w:tcBorders>
            <w:noWrap w:val="0"/>
            <w:vAlign w:val="center"/>
          </w:tcPr>
          <w:p w14:paraId="1C3DB068">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3D0601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1707B981">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080DF975">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rPr>
              <w:t>2．红树林依据《广西壮族自治区红树林资源保护条例》进行管理。开展红树林修复要依法依规进行，并符合红树林资源保护规划等相关要求。</w:t>
            </w:r>
          </w:p>
        </w:tc>
        <w:tc>
          <w:tcPr>
            <w:tcW w:w="1101" w:type="pct"/>
            <w:tcBorders>
              <w:tl2br w:val="nil"/>
              <w:tr2bl w:val="nil"/>
            </w:tcBorders>
            <w:noWrap w:val="0"/>
            <w:vAlign w:val="center"/>
          </w:tcPr>
          <w:p w14:paraId="73ACB18A">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本项目不涉及。</w:t>
            </w:r>
          </w:p>
        </w:tc>
        <w:tc>
          <w:tcPr>
            <w:tcW w:w="376" w:type="pct"/>
            <w:tcBorders>
              <w:tl2br w:val="nil"/>
              <w:tr2bl w:val="nil"/>
            </w:tcBorders>
            <w:noWrap w:val="0"/>
            <w:vAlign w:val="center"/>
          </w:tcPr>
          <w:p w14:paraId="7EC91454">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5CC2E5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4B00CD7C">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1F97BE46">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rPr>
              <w:t>3．重要湿地依据《广西壮族自治区湿地保护条例》进行管理。</w:t>
            </w:r>
          </w:p>
        </w:tc>
        <w:tc>
          <w:tcPr>
            <w:tcW w:w="1101" w:type="pct"/>
            <w:tcBorders>
              <w:tl2br w:val="nil"/>
              <w:tr2bl w:val="nil"/>
            </w:tcBorders>
            <w:noWrap w:val="0"/>
            <w:vAlign w:val="center"/>
          </w:tcPr>
          <w:p w14:paraId="0F16DC34">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239C01B6">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3601A2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4065A4AA">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25E8138B">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rPr>
              <w:t>4.禁止城镇和工业发展占用自然保护区、湿地保护区及生态环境极为敏感地区，对已有的工业企业逐步搬迁，减缓城镇空间和生态空间叠加布局对生态空间的破坏和侵占程度。禁止在水源保护区、湿地、永久基本农田、陡坡区、地质灾害高易发区等地区建设和开发，严格限制自然保护区和湿地保护核心区人类活动；严格限制“两高一资”产业在十万大山、五皇山、六万大山、茅尾海等生物多样性保护区及水源涵养区等重点生态功能区布局，鼓励发展生态保护型旅游业、生态农业，统筹推进特色农业和旅游业融合发展。</w:t>
            </w:r>
          </w:p>
        </w:tc>
        <w:tc>
          <w:tcPr>
            <w:tcW w:w="1101" w:type="pct"/>
            <w:tcBorders>
              <w:tl2br w:val="nil"/>
              <w:tr2bl w:val="nil"/>
            </w:tcBorders>
            <w:noWrap w:val="0"/>
            <w:vAlign w:val="center"/>
          </w:tcPr>
          <w:p w14:paraId="4F00248B">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0DA67E01">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5A9F4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3D2641A4">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6594CE0B">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rPr>
              <w:t>5.以供给侧结构性改革为导向，坚持培育新增产能与淘汰落后产能相结合，严格审批，防止新增落后产能。严格控制“两高”和产能过剩行业新上项目，遏制高耗能产业无序发展和低水平扩张。</w:t>
            </w:r>
          </w:p>
        </w:tc>
        <w:tc>
          <w:tcPr>
            <w:tcW w:w="1101" w:type="pct"/>
            <w:tcBorders>
              <w:tl2br w:val="nil"/>
              <w:tr2bl w:val="nil"/>
            </w:tcBorders>
            <w:noWrap w:val="0"/>
            <w:vAlign w:val="center"/>
          </w:tcPr>
          <w:p w14:paraId="06DC6E62">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4EECF5A3">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3FB8E1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371D9E0B">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2C6C9897">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rPr>
              <w:t>6.全市产业准入执行《广西壮族自治区人民政府办公厅关于印发北钦防一体化产业协同发展限制布局清单（工业类2021年版）的通知》（桂政办函〔2021〕4号）要求，限制布局炼铁、炼钢、铝冶炼、平板玻璃制造。</w:t>
            </w:r>
          </w:p>
        </w:tc>
        <w:tc>
          <w:tcPr>
            <w:tcW w:w="1101" w:type="pct"/>
            <w:tcBorders>
              <w:tl2br w:val="nil"/>
              <w:tr2bl w:val="nil"/>
            </w:tcBorders>
            <w:noWrap w:val="0"/>
            <w:vAlign w:val="center"/>
          </w:tcPr>
          <w:p w14:paraId="05CA3811">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413A6D14">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42554E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0922BFC0">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572A5900">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rPr>
              <w:t>7.新建、扩建的石化、化工、焦化项目应按照《关于加强高耗能、高排放建设项目生态环境源头防控的指导意见》布设在依法合规设立并经规划环评的产业园区。</w:t>
            </w:r>
          </w:p>
        </w:tc>
        <w:tc>
          <w:tcPr>
            <w:tcW w:w="1101" w:type="pct"/>
            <w:tcBorders>
              <w:tl2br w:val="nil"/>
              <w:tr2bl w:val="nil"/>
            </w:tcBorders>
            <w:noWrap w:val="0"/>
            <w:vAlign w:val="center"/>
          </w:tcPr>
          <w:p w14:paraId="13614500">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7745AD23">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485B3B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56647D01">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666D9AAA">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rPr>
              <w:t>8.海洋开发和海岸开发各类活动，大陆自然岸线保有率标准不低于35%、无居民海岛岸线长度保有率标准不低于85%。</w:t>
            </w:r>
          </w:p>
        </w:tc>
        <w:tc>
          <w:tcPr>
            <w:tcW w:w="1101" w:type="pct"/>
            <w:tcBorders>
              <w:tl2br w:val="nil"/>
              <w:tr2bl w:val="nil"/>
            </w:tcBorders>
            <w:noWrap w:val="0"/>
            <w:vAlign w:val="center"/>
          </w:tcPr>
          <w:p w14:paraId="6650DA51">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41088284">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32656C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46F3EFFB">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098DEC5B">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rPr>
              <w:t>9.推进海域资源市场化配置，严控新增围填海造地，完善围填海总量管控，除国家重大战略项目外，全面停止新增围填海项目审批，全面清理非法占用海洋生态保护红线区域的围填海项目。</w:t>
            </w:r>
          </w:p>
        </w:tc>
        <w:tc>
          <w:tcPr>
            <w:tcW w:w="1101" w:type="pct"/>
            <w:tcBorders>
              <w:tl2br w:val="nil"/>
              <w:tr2bl w:val="nil"/>
            </w:tcBorders>
            <w:noWrap w:val="0"/>
            <w:vAlign w:val="center"/>
          </w:tcPr>
          <w:p w14:paraId="4CD0C3DC">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0B681D20">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590082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14CA3EDE">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0F1C4409">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rPr>
              <w:t>10.科学论证在三娘湾海洋保护区、茅尾海中部海洋保护区及周边区域的开发利用活动，严格落实保护区管理要求。</w:t>
            </w:r>
          </w:p>
        </w:tc>
        <w:tc>
          <w:tcPr>
            <w:tcW w:w="1101" w:type="pct"/>
            <w:tcBorders>
              <w:tl2br w:val="nil"/>
              <w:tr2bl w:val="nil"/>
            </w:tcBorders>
            <w:noWrap w:val="0"/>
            <w:vAlign w:val="center"/>
          </w:tcPr>
          <w:p w14:paraId="507766C0">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433E9CC6">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73714D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7B0CDB37">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2B3331B7">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rPr>
              <w:t>11.严格按照相关法律法规及海洋国土空间规划等要求，规范设置和监管入海排污口。禁止采挖海砂、设置直排排污口及其他破坏河口生态功能的开发活动。</w:t>
            </w:r>
          </w:p>
        </w:tc>
        <w:tc>
          <w:tcPr>
            <w:tcW w:w="1101" w:type="pct"/>
            <w:tcBorders>
              <w:tl2br w:val="nil"/>
              <w:tr2bl w:val="nil"/>
            </w:tcBorders>
            <w:noWrap w:val="0"/>
            <w:vAlign w:val="center"/>
          </w:tcPr>
          <w:p w14:paraId="1FE07F8D">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21B9F2AE">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01EB72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6B0A7171">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5178A0C8">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rPr>
              <w:t>12.严禁圈占沙滩和红树林，禁止红树林海岸带内陆采石等破坏性活动。对红树林、海草床、滨海湿地等重要海洋生态系统实行最严格的保护措施，加强珍稀濒危物种及重要海洋生态系统的生境保护，加大滨海湿地的保护和修复力度。禁止红树林海岸带内陆采石等破坏性活动。</w:t>
            </w:r>
          </w:p>
        </w:tc>
        <w:tc>
          <w:tcPr>
            <w:tcW w:w="1101" w:type="pct"/>
            <w:tcBorders>
              <w:tl2br w:val="nil"/>
              <w:tr2bl w:val="nil"/>
            </w:tcBorders>
            <w:noWrap w:val="0"/>
            <w:vAlign w:val="center"/>
          </w:tcPr>
          <w:p w14:paraId="1CE78A44">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2BB66B85">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5981D6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3BADB6EA">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56DC1673">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rPr>
              <w:t>13.严格用途管制，坚持陆海统筹，严禁国家产业政策淘汰类、限制类项目在滨海湿地布局，实现山水林田湖草整体保护、系统修复、综合治理。</w:t>
            </w:r>
          </w:p>
        </w:tc>
        <w:tc>
          <w:tcPr>
            <w:tcW w:w="1101" w:type="pct"/>
            <w:tcBorders>
              <w:tl2br w:val="nil"/>
              <w:tr2bl w:val="nil"/>
            </w:tcBorders>
            <w:noWrap w:val="0"/>
            <w:vAlign w:val="center"/>
          </w:tcPr>
          <w:p w14:paraId="35F9DBB6">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2A44B4E3">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211A43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restart"/>
            <w:tcBorders>
              <w:tl2br w:val="nil"/>
              <w:tr2bl w:val="nil"/>
            </w:tcBorders>
            <w:noWrap w:val="0"/>
            <w:vAlign w:val="center"/>
          </w:tcPr>
          <w:p w14:paraId="023B1F48">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污染物排放管控</w:t>
            </w:r>
          </w:p>
        </w:tc>
        <w:tc>
          <w:tcPr>
            <w:tcW w:w="3243" w:type="pct"/>
            <w:tcBorders>
              <w:tl2br w:val="nil"/>
              <w:tr2bl w:val="nil"/>
            </w:tcBorders>
            <w:noWrap w:val="0"/>
            <w:vAlign w:val="center"/>
          </w:tcPr>
          <w:p w14:paraId="770151E1">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rPr>
              <w:t>1.落实《钦州工业污染源全面达标排放计划实施方案》，以钢铁、火电、水泥、煤炭、造纸、印染、污水处理、垃圾焚烧、制糖、酒精、有色金属、化工、铁合金、氮肥、农副食品加工、原料药制造、制革、农药、电镀、印刷、垃圾填埋等行业为重点，全面推进行业达标排放改造。新建、改建、扩建的制浆造纸、印染、纺织、煤化工、石化、煤电等建设项目新增主要污染物排放应控制在区域总量内的要求，确保环境质量达标。</w:t>
            </w:r>
          </w:p>
        </w:tc>
        <w:tc>
          <w:tcPr>
            <w:tcW w:w="1101" w:type="pct"/>
            <w:tcBorders>
              <w:tl2br w:val="nil"/>
              <w:tr2bl w:val="nil"/>
            </w:tcBorders>
            <w:noWrap w:val="0"/>
            <w:vAlign w:val="center"/>
          </w:tcPr>
          <w:p w14:paraId="6FFB31EF">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7D4A4C4B">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135ADA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0051ECE0">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698DF541">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rPr>
              <w:t>2.推进全市自治区级及以上工业园区污水管网全覆盖，提高工业企业水循环利用率，按照“清污分流、雨污分流”原则，实施废水分类收集、分质处理，入园企业在达到国家或地方规定的排放标准后接入园区集中式污水处理设施稳定达标排放；加快推进深海排放基础设施建设。</w:t>
            </w:r>
          </w:p>
        </w:tc>
        <w:tc>
          <w:tcPr>
            <w:tcW w:w="1101" w:type="pct"/>
            <w:tcBorders>
              <w:tl2br w:val="nil"/>
              <w:tr2bl w:val="nil"/>
            </w:tcBorders>
            <w:noWrap w:val="0"/>
            <w:vAlign w:val="center"/>
          </w:tcPr>
          <w:p w14:paraId="3C29348E">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u w:val="none"/>
                <w:vertAlign w:val="baseline"/>
                <w:lang w:eastAsia="zh-CN"/>
              </w:rPr>
              <w:t>项目建设雨水排水管网、水系改造，实现“清污分流、雨污分流”。</w:t>
            </w:r>
          </w:p>
        </w:tc>
        <w:tc>
          <w:tcPr>
            <w:tcW w:w="376" w:type="pct"/>
            <w:tcBorders>
              <w:tl2br w:val="nil"/>
              <w:tr2bl w:val="nil"/>
            </w:tcBorders>
            <w:noWrap w:val="0"/>
            <w:vAlign w:val="center"/>
          </w:tcPr>
          <w:p w14:paraId="60C4EFC3">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434212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3C7B55D5">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3578D421">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rPr>
              <w:t>3.开展陆海统筹流域治理，深化钦江、大风江、茅岭江、南流江等流域水环境综合整治，钦江、南流江流域切实开展截污、拔污、清污、治污专项行动，以“控磷除氮”为重点，抓好养殖、生活、工业、农业面源等污染综合治理和河道生态修复。全面开展茅尾海、钦州湾等重点海域综合整治。严厉打击非法用海抽砂行为，优化茅尾海等海域养殖规划布局，整治非法养殖。完善钦州港区污水截流及雨污分流、海上水产养殖尾水整治。</w:t>
            </w:r>
          </w:p>
        </w:tc>
        <w:tc>
          <w:tcPr>
            <w:tcW w:w="1101" w:type="pct"/>
            <w:tcBorders>
              <w:tl2br w:val="nil"/>
              <w:tr2bl w:val="nil"/>
            </w:tcBorders>
            <w:noWrap w:val="0"/>
            <w:vAlign w:val="center"/>
          </w:tcPr>
          <w:p w14:paraId="37E84C64">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7FC4B8F6">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109D32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7C40C8A1">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4CCA6080">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rPr>
              <w:t>4.加强城市生活污水处理设施及配套管网建设和改造，实施雨污分流改造，开展入河排污口整治，强化城镇生活污染源治理，建立健全生活污水收集、处理体系，推进城镇污水处理设施和服务向农村延伸，提高污水收集处理率，污水处理设施应增加脱氮、除磷工序。持续推进市、县级城市黑臭水体整治。</w:t>
            </w:r>
          </w:p>
        </w:tc>
        <w:tc>
          <w:tcPr>
            <w:tcW w:w="1101" w:type="pct"/>
            <w:tcBorders>
              <w:tl2br w:val="nil"/>
              <w:tr2bl w:val="nil"/>
            </w:tcBorders>
            <w:noWrap w:val="0"/>
            <w:vAlign w:val="center"/>
          </w:tcPr>
          <w:p w14:paraId="5AD6E812">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22F64B97">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4EE50A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0D8A9316">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708144E2">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rPr>
              <w:t>5.加强工业企业无组织废气排放控制，加强挥发性有机物（VOCs）排放企业综合防治，加快高效VOCs收集治理设施建设，大力提升VOCs排放收集率、去除率和治理设施运行率。推进工业涂装、石化、包装印刷、木材加工、汽修等行业和油品储运销的VOCs综合治理。</w:t>
            </w:r>
          </w:p>
        </w:tc>
        <w:tc>
          <w:tcPr>
            <w:tcW w:w="1101" w:type="pct"/>
            <w:tcBorders>
              <w:tl2br w:val="nil"/>
              <w:tr2bl w:val="nil"/>
            </w:tcBorders>
            <w:noWrap w:val="0"/>
            <w:vAlign w:val="center"/>
          </w:tcPr>
          <w:p w14:paraId="76819769">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120EF55D">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1F5847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6715AC37">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58CBA98A">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rPr>
              <w:t>6.完善园区集中供热设施，积极推广集中供热，有条件的工业聚集区建设集中喷涂工程中心，配备高效治污设施，替代企业独立喷涂工序。</w:t>
            </w:r>
          </w:p>
        </w:tc>
        <w:tc>
          <w:tcPr>
            <w:tcW w:w="1101" w:type="pct"/>
            <w:tcBorders>
              <w:tl2br w:val="nil"/>
              <w:tr2bl w:val="nil"/>
            </w:tcBorders>
            <w:noWrap w:val="0"/>
            <w:vAlign w:val="center"/>
          </w:tcPr>
          <w:p w14:paraId="1E9D12DA">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74C5DFE5">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28FAE1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301CBC39">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3A7C4F7B">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rPr>
              <w:t>7.推进城镇生活垃圾处理基础设施扩能建设，强化渗滤液处理设施运营管理，防止渗滤液积存或违规倾倒垃圾渗滤液至市政管网；加强农村生活垃圾收运、处理体系建设，降低农村垃圾焚烧污染。</w:t>
            </w:r>
          </w:p>
        </w:tc>
        <w:tc>
          <w:tcPr>
            <w:tcW w:w="1101" w:type="pct"/>
            <w:tcBorders>
              <w:tl2br w:val="nil"/>
              <w:tr2bl w:val="nil"/>
            </w:tcBorders>
            <w:noWrap w:val="0"/>
            <w:vAlign w:val="center"/>
          </w:tcPr>
          <w:p w14:paraId="71090452">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68E59540">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75049D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0BCD5E80">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23CE83AE">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rPr>
              <w:t>8.新建、改建、扩建涉及重点重金属排放建设项目依照相关规定实行总量控制。</w:t>
            </w:r>
          </w:p>
        </w:tc>
        <w:tc>
          <w:tcPr>
            <w:tcW w:w="1101" w:type="pct"/>
            <w:tcBorders>
              <w:tl2br w:val="nil"/>
              <w:tr2bl w:val="nil"/>
            </w:tcBorders>
            <w:noWrap w:val="0"/>
            <w:vAlign w:val="center"/>
          </w:tcPr>
          <w:p w14:paraId="50D2CA38">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4FFED1E1">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00FDB8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3F1C0D59">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070A208A">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lang w:val="en-US" w:eastAsia="zh-CN"/>
              </w:rPr>
              <w:t>9</w:t>
            </w:r>
            <w:r>
              <w:rPr>
                <w:rFonts w:hint="default" w:ascii="Times New Roman" w:hAnsi="Times New Roman" w:eastAsia="宋体" w:cs="Times New Roman"/>
                <w:color w:val="auto"/>
                <w:kern w:val="0"/>
                <w:sz w:val="21"/>
                <w:szCs w:val="21"/>
                <w:highlight w:val="none"/>
                <w:u w:val="none"/>
                <w:vertAlign w:val="baseline"/>
              </w:rPr>
              <w:t>.新建“两高”项目应采用先进适用的工艺技术和装备，单位产品物耗、能耗、水耗等达到清洁生产先进水平，依法制定并严格落实防治土壤与地下水污染的措施。按照《关于加强重点行业建设项目区域削减措施监督管理的通知》要求，依据区域环境质量改善目标，制定配套区域污染物削减方案，采取有效的污染物区域削减措施，腾出足够的环境容量。</w:t>
            </w:r>
          </w:p>
        </w:tc>
        <w:tc>
          <w:tcPr>
            <w:tcW w:w="1101" w:type="pct"/>
            <w:tcBorders>
              <w:tl2br w:val="nil"/>
              <w:tr2bl w:val="nil"/>
            </w:tcBorders>
            <w:noWrap w:val="0"/>
            <w:vAlign w:val="center"/>
          </w:tcPr>
          <w:p w14:paraId="25700EAB">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69B270E7">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34853F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4B08D544">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5AA982B2">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lang w:val="en-US" w:eastAsia="zh-CN"/>
              </w:rPr>
              <w:t>10.加强海陆联动，严格控制陆源污染物排放。规范入海排污口设置，全面清理非法或设置不合理的入海排污口。</w:t>
            </w:r>
          </w:p>
        </w:tc>
        <w:tc>
          <w:tcPr>
            <w:tcW w:w="1101" w:type="pct"/>
            <w:tcBorders>
              <w:tl2br w:val="nil"/>
              <w:tr2bl w:val="nil"/>
            </w:tcBorders>
            <w:noWrap w:val="0"/>
            <w:vAlign w:val="center"/>
          </w:tcPr>
          <w:p w14:paraId="0CF20960">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69E4A322">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4D9329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5D7A2B7E">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6EA6BED1">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lang w:val="en-US" w:eastAsia="zh-CN"/>
              </w:rPr>
              <w:t>11.积极治理船舶污染，全面贯彻落实《广西北部湾港船舶污染物接收、转运、处置能力评估及相应设施建设方案》，建设完善船舶污染物接收处理设施，提高含油污水、化学品洗舱水、船舶垃圾等接收处置能力及污染事故应急能力。</w:t>
            </w:r>
          </w:p>
        </w:tc>
        <w:tc>
          <w:tcPr>
            <w:tcW w:w="1101" w:type="pct"/>
            <w:tcBorders>
              <w:tl2br w:val="nil"/>
              <w:tr2bl w:val="nil"/>
            </w:tcBorders>
            <w:noWrap w:val="0"/>
            <w:vAlign w:val="center"/>
          </w:tcPr>
          <w:p w14:paraId="7CF1272A">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7E910925">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0710BC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3EA76721">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7953830B">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lang w:val="en-US" w:eastAsia="zh-CN"/>
              </w:rPr>
              <w:t>12.加强港口码头环保基础设施处理和建设。完善堆场防风抑尘设施，降低扬尘污染。钦州港区实行雨污分流和污水分质处理，防止堆场废水通过雨水沟直排入海，完善配套污水处理设施和管网建设，实现污水集中处理、回用或达标排放。</w:t>
            </w:r>
          </w:p>
        </w:tc>
        <w:tc>
          <w:tcPr>
            <w:tcW w:w="1101" w:type="pct"/>
            <w:tcBorders>
              <w:tl2br w:val="nil"/>
              <w:tr2bl w:val="nil"/>
            </w:tcBorders>
            <w:noWrap w:val="0"/>
            <w:vAlign w:val="center"/>
          </w:tcPr>
          <w:p w14:paraId="772300E5">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6331F1E7">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70DE6F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4186A7BC">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0AAEB2D2">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lang w:val="en-US" w:eastAsia="zh-CN"/>
              </w:rPr>
              <w:t>13.污水离岸排放不得超过国家或者地方规定的排放标准。禁止向海域排放油类、酸液、碱液、剧毒废液和高、中水平放射性废水，严格控制向海域排放含有不易降解的有机物和重金属的废水，排放低水平放射性废水应当符合国家放射性污染防治标准，其他污染物的排放应当符合国家或者地方标准。含病原体的医疗污水、生活污水和工业废水必须经过处理，符合国家有关排放标准后，方能排入海域。含有机物和营养物质的工业废水、生活污水，应当严格控制向海湾、半封闭海及其他自净能力较差的海域排放。向海域排放含热废水，必须采取有效措施，保证邻近渔业水域的水温符合国家海洋环境质量标准，避免热污染对水产资源的危害。</w:t>
            </w:r>
          </w:p>
        </w:tc>
        <w:tc>
          <w:tcPr>
            <w:tcW w:w="1101" w:type="pct"/>
            <w:tcBorders>
              <w:tl2br w:val="nil"/>
              <w:tr2bl w:val="nil"/>
            </w:tcBorders>
            <w:noWrap w:val="0"/>
            <w:vAlign w:val="center"/>
          </w:tcPr>
          <w:p w14:paraId="250920CE">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373FE86C">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3A16C4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30C3A2C3">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6AC9B8E4">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lang w:val="en-US" w:eastAsia="zh-CN"/>
              </w:rPr>
              <w:t>14.按照养殖容量控制养殖规模和养殖密度，发展健康、生态养殖方式，加强对蓝圆鲹和二长棘鲷产卵场的保护。旅游休闲娱乐区的污水和垃圾应科学处置、达标排放，禁止直接排入海域。</w:t>
            </w:r>
          </w:p>
        </w:tc>
        <w:tc>
          <w:tcPr>
            <w:tcW w:w="1101" w:type="pct"/>
            <w:tcBorders>
              <w:tl2br w:val="nil"/>
              <w:tr2bl w:val="nil"/>
            </w:tcBorders>
            <w:noWrap w:val="0"/>
            <w:vAlign w:val="center"/>
          </w:tcPr>
          <w:p w14:paraId="58A759FF">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713436E4">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405679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restart"/>
            <w:tcBorders>
              <w:tl2br w:val="nil"/>
              <w:tr2bl w:val="nil"/>
            </w:tcBorders>
            <w:noWrap w:val="0"/>
            <w:vAlign w:val="center"/>
          </w:tcPr>
          <w:p w14:paraId="39D3A388">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kern w:val="0"/>
                <w:sz w:val="21"/>
                <w:szCs w:val="21"/>
                <w:highlight w:val="none"/>
                <w:u w:val="none"/>
                <w:vertAlign w:val="baseline"/>
                <w:lang w:eastAsia="zh-CN"/>
              </w:rPr>
              <w:t>环境风险管控</w:t>
            </w:r>
          </w:p>
          <w:p w14:paraId="5BE8FCE7">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19DA7FCA">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lang w:val="en-US" w:eastAsia="zh-CN"/>
              </w:rPr>
              <w:t>1.强化环境风险源精准化管理，健全企业突发环境事件风险评估制度，动态更新重点环境风险源管理目录清单，建立信息齐全、数据准确的风险源及敏感保护目标的数据库，准确掌握重点环境风险源分布情况，重点加强较大及以上风险等级风险源的环境风险防范和应急预警管理。</w:t>
            </w:r>
          </w:p>
        </w:tc>
        <w:tc>
          <w:tcPr>
            <w:tcW w:w="1101" w:type="pct"/>
            <w:tcBorders>
              <w:tl2br w:val="nil"/>
              <w:tr2bl w:val="nil"/>
            </w:tcBorders>
            <w:noWrap w:val="0"/>
            <w:vAlign w:val="center"/>
          </w:tcPr>
          <w:p w14:paraId="23067231">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42C09A5E">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6375A6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42F74965">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700A67F2">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lang w:val="en-US" w:eastAsia="zh-CN"/>
              </w:rPr>
              <w:t>2.选择涉重涉危企业、化工园区、集中式饮用水水源地等重要区域开展突发环境事件风险、环境健康风险评估，实施分类分级风险管控。</w:t>
            </w:r>
          </w:p>
        </w:tc>
        <w:tc>
          <w:tcPr>
            <w:tcW w:w="1101" w:type="pct"/>
            <w:tcBorders>
              <w:tl2br w:val="nil"/>
              <w:tr2bl w:val="nil"/>
            </w:tcBorders>
            <w:noWrap w:val="0"/>
            <w:vAlign w:val="center"/>
          </w:tcPr>
          <w:p w14:paraId="2701E189">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6CAF56EC">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13AF6D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39439816">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7D2D5A36">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lang w:val="en-US" w:eastAsia="zh-CN"/>
              </w:rPr>
              <w:t>3.强化饮用水水源地环境风险排查，加强环境风险源管理，建立健全饮用水水源地应急预案。推进县级及以上饮用水水源地自动监测预警能力建设，实施水源地应急防护工程。加强大气污染防治协作和部门联动，建立健全大气污染联防联控机制。建立健全工地土壤环境联动监督管理机制，实行联动监管。</w:t>
            </w:r>
          </w:p>
        </w:tc>
        <w:tc>
          <w:tcPr>
            <w:tcW w:w="1101" w:type="pct"/>
            <w:tcBorders>
              <w:tl2br w:val="nil"/>
              <w:tr2bl w:val="nil"/>
            </w:tcBorders>
            <w:noWrap w:val="0"/>
            <w:vAlign w:val="center"/>
          </w:tcPr>
          <w:p w14:paraId="19C1FEDC">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4FCA6150">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74DDA8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5DEC5CE8">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p>
        </w:tc>
        <w:tc>
          <w:tcPr>
            <w:tcW w:w="3243" w:type="pct"/>
            <w:tcBorders>
              <w:tl2br w:val="nil"/>
              <w:tr2bl w:val="nil"/>
            </w:tcBorders>
            <w:noWrap w:val="0"/>
            <w:vAlign w:val="center"/>
          </w:tcPr>
          <w:p w14:paraId="564B8AE4">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lang w:val="en-US" w:eastAsia="zh-CN"/>
              </w:rPr>
              <w:t>4.严格建设项目环境准入，永久基本农田集中区域禁止规划新建可能造成土壤污染的建设项目；新（改、扩）建涉有毒有害物质可能造成土壤污染的建设项目，提出并落实污染防治要求。</w:t>
            </w:r>
          </w:p>
        </w:tc>
        <w:tc>
          <w:tcPr>
            <w:tcW w:w="1101" w:type="pct"/>
            <w:tcBorders>
              <w:tl2br w:val="nil"/>
              <w:tr2bl w:val="nil"/>
            </w:tcBorders>
            <w:noWrap w:val="0"/>
            <w:vAlign w:val="center"/>
          </w:tcPr>
          <w:p w14:paraId="2B73CD6D">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76F45019">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1079BF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70855D63">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302B81AE">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lang w:val="en-US" w:eastAsia="zh-CN"/>
              </w:rPr>
              <w:t>5.强化全域矿产资源开发监管，建立矿山生态环境动态监测网络，禁止矿山废水、废气、废渣的无序排放。</w:t>
            </w:r>
          </w:p>
        </w:tc>
        <w:tc>
          <w:tcPr>
            <w:tcW w:w="1101" w:type="pct"/>
            <w:tcBorders>
              <w:tl2br w:val="nil"/>
              <w:tr2bl w:val="nil"/>
            </w:tcBorders>
            <w:noWrap w:val="0"/>
            <w:vAlign w:val="center"/>
          </w:tcPr>
          <w:p w14:paraId="5AD450C8">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09AC814F">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5EBC64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4CB4EE27">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1778DE89">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lang w:val="en-US" w:eastAsia="zh-CN"/>
              </w:rPr>
              <w:t>6.严格管控涉海重大工程环境风险，全面排查陆域环境风险源、海上溢油、危险化学品泄漏等环境风险隐患，完善分类分级的海上应急监测及处置预案，在石化基地、危化品储存区等邻近海域部署快速监测能力和应急处置物资设备。建立健全海洋生态补偿和生态损害赔偿制度。</w:t>
            </w:r>
          </w:p>
        </w:tc>
        <w:tc>
          <w:tcPr>
            <w:tcW w:w="1101" w:type="pct"/>
            <w:tcBorders>
              <w:tl2br w:val="nil"/>
              <w:tr2bl w:val="nil"/>
            </w:tcBorders>
            <w:noWrap w:val="0"/>
            <w:vAlign w:val="center"/>
          </w:tcPr>
          <w:p w14:paraId="6AA388B6">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0142120C">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31565D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5907F817">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26658355">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lang w:val="en-US" w:eastAsia="zh-CN"/>
              </w:rPr>
              <w:t>7.强化沿海工业园区和沿海石油、石化、化工、冶炼及危化品储运等企业的环境风险防控，加强企业和园区环境应急物资储备。</w:t>
            </w:r>
          </w:p>
        </w:tc>
        <w:tc>
          <w:tcPr>
            <w:tcW w:w="1101" w:type="pct"/>
            <w:tcBorders>
              <w:tl2br w:val="nil"/>
              <w:tr2bl w:val="nil"/>
            </w:tcBorders>
            <w:noWrap w:val="0"/>
            <w:vAlign w:val="center"/>
          </w:tcPr>
          <w:p w14:paraId="51A4050A">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202E8A64">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163059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03EB15A6">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3AF24BAA">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rPr>
              <w:t>8.加强倾倒区使用状况监督管理工作，做好废弃物向海洋倾倒活动的风险管控。</w:t>
            </w:r>
          </w:p>
        </w:tc>
        <w:tc>
          <w:tcPr>
            <w:tcW w:w="1101" w:type="pct"/>
            <w:tcBorders>
              <w:tl2br w:val="nil"/>
              <w:tr2bl w:val="nil"/>
            </w:tcBorders>
            <w:noWrap w:val="0"/>
            <w:vAlign w:val="center"/>
          </w:tcPr>
          <w:p w14:paraId="6BABBE8A">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5655AFD2">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1F10EE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restart"/>
            <w:tcBorders>
              <w:tl2br w:val="nil"/>
              <w:tr2bl w:val="nil"/>
            </w:tcBorders>
            <w:noWrap w:val="0"/>
            <w:vAlign w:val="center"/>
          </w:tcPr>
          <w:p w14:paraId="5E8EAE11">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r>
              <w:rPr>
                <w:rFonts w:hint="default" w:ascii="Times New Roman" w:hAnsi="Times New Roman" w:eastAsia="宋体" w:cs="Times New Roman"/>
                <w:color w:val="auto"/>
                <w:kern w:val="0"/>
                <w:sz w:val="21"/>
                <w:szCs w:val="21"/>
                <w:highlight w:val="none"/>
                <w:u w:val="none"/>
                <w:vertAlign w:val="baseline"/>
                <w:lang w:eastAsia="zh-CN"/>
              </w:rPr>
              <w:t>资源开发利用效率要求</w:t>
            </w:r>
          </w:p>
        </w:tc>
        <w:tc>
          <w:tcPr>
            <w:tcW w:w="3243" w:type="pct"/>
            <w:tcBorders>
              <w:tl2br w:val="nil"/>
              <w:tr2bl w:val="nil"/>
            </w:tcBorders>
            <w:noWrap w:val="0"/>
            <w:vAlign w:val="center"/>
          </w:tcPr>
          <w:p w14:paraId="0AD5B7AB">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rPr>
              <w:t>1.能源：推进能源消费总量和强度“双控”。推进绿色清洁能源生产，推进重点行业和重要领域绿色化改造，打造绿色园区和绿色企业，促进工业园区、产业集聚区低碳循环化发展。推动能源多元清洁发展，培育发展清洁能源和可再生能源产业，锂电池制造及风电、光伏发电、生物质发电等清洁能源产业发展要符合相应能源规划和国土空间规划的要求；推动能源清洁低碳安全高效利用，合理控制煤炭消费。落实国家碳排放达峰行动方案，降低碳排放强度。海洋石油勘探开发严格执行《中华人民共和国海洋石油勘探开发环境保护管理条例》要求。</w:t>
            </w:r>
          </w:p>
        </w:tc>
        <w:tc>
          <w:tcPr>
            <w:tcW w:w="1101" w:type="pct"/>
            <w:tcBorders>
              <w:tl2br w:val="nil"/>
              <w:tr2bl w:val="nil"/>
            </w:tcBorders>
            <w:noWrap w:val="0"/>
            <w:vAlign w:val="center"/>
          </w:tcPr>
          <w:p w14:paraId="3C9365E7">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34DA36F5">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595C2B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0FE47903">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4F7BF4D4">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rPr>
              <w:t>2.土地资源：严格执行自治区下达的土地资源利用总量及效率管控指标要求。突出节约集约用海原则，合理控制规模，优化空间布局，提高海域空间资源的整体使用效能。</w:t>
            </w:r>
          </w:p>
        </w:tc>
        <w:tc>
          <w:tcPr>
            <w:tcW w:w="1101" w:type="pct"/>
            <w:tcBorders>
              <w:tl2br w:val="nil"/>
              <w:tr2bl w:val="nil"/>
            </w:tcBorders>
            <w:noWrap w:val="0"/>
            <w:vAlign w:val="center"/>
          </w:tcPr>
          <w:p w14:paraId="5999D1C7">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4CA15065">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7D9CF0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9" w:type="pct"/>
            <w:vMerge w:val="continue"/>
            <w:tcBorders>
              <w:tl2br w:val="nil"/>
              <w:tr2bl w:val="nil"/>
            </w:tcBorders>
            <w:noWrap w:val="0"/>
            <w:vAlign w:val="center"/>
          </w:tcPr>
          <w:p w14:paraId="1BA53AD9">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53F4083A">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rPr>
              <w:t>3.水资源：实行水资源消耗总量和强度“双控”。严格用水总量指标管理，健全市、县区行政区域的用水总量控制指标体系，统筹生活、生产、生态用水，大力推进农业、工业、城镇等领域节水。严格按照地下水开发利用控制目标控制地下水资源开采。</w:t>
            </w:r>
          </w:p>
        </w:tc>
        <w:tc>
          <w:tcPr>
            <w:tcW w:w="1101" w:type="pct"/>
            <w:tcBorders>
              <w:tl2br w:val="nil"/>
              <w:tr2bl w:val="nil"/>
            </w:tcBorders>
            <w:noWrap w:val="0"/>
            <w:vAlign w:val="center"/>
          </w:tcPr>
          <w:p w14:paraId="1A408494">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7D9FA7FF">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6BF4AD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0CBC4D4C">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02A7E3ED">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rPr>
              <w:t>4.矿产资源：严格执行市、县区矿产资源开发利用规划中关于矿产资源开发总量和效率的目标要求。着力提高资源开发利用效率和水平，加快发展绿色矿业；严格控制海岸线的开发建设、海砂开采活动，规范海砂资源开发秩序，加强海岸沙滩保护和矿产开发监管。</w:t>
            </w:r>
          </w:p>
        </w:tc>
        <w:tc>
          <w:tcPr>
            <w:tcW w:w="1101" w:type="pct"/>
            <w:tcBorders>
              <w:tl2br w:val="nil"/>
              <w:tr2bl w:val="nil"/>
            </w:tcBorders>
            <w:noWrap w:val="0"/>
            <w:vAlign w:val="center"/>
          </w:tcPr>
          <w:p w14:paraId="5372B659">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52877055">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55889D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01EA4E22">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467A2F18">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rPr>
              <w:t>5.岸线资源：涉及岸线开发的工业区和钦州港区，应严格按照相关规划实施，控制占用岸线长度，提高岸线利用效率，加强污染防治。建设海岸生态隔离带；有效保护自然岸线和典型海洋生态系统，提高海洋生态服务功能，增强海洋碳汇功能。合理控制滨海旅游开发强度，科学有序发展海洋生态旅游。规范海岛资源开发，科学规划海岛岸线开发，保护海岛自然岸线。</w:t>
            </w:r>
          </w:p>
        </w:tc>
        <w:tc>
          <w:tcPr>
            <w:tcW w:w="1101" w:type="pct"/>
            <w:tcBorders>
              <w:tl2br w:val="nil"/>
              <w:tr2bl w:val="nil"/>
            </w:tcBorders>
            <w:noWrap w:val="0"/>
            <w:vAlign w:val="center"/>
          </w:tcPr>
          <w:p w14:paraId="78D05186">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3AF86602">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r w14:paraId="5BC03B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 w:type="pct"/>
            <w:vMerge w:val="continue"/>
            <w:tcBorders>
              <w:tl2br w:val="nil"/>
              <w:tr2bl w:val="nil"/>
            </w:tcBorders>
            <w:noWrap w:val="0"/>
            <w:vAlign w:val="center"/>
          </w:tcPr>
          <w:p w14:paraId="0AE16E15">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rPr>
            </w:pPr>
          </w:p>
        </w:tc>
        <w:tc>
          <w:tcPr>
            <w:tcW w:w="3243" w:type="pct"/>
            <w:tcBorders>
              <w:tl2br w:val="nil"/>
              <w:tr2bl w:val="nil"/>
            </w:tcBorders>
            <w:noWrap w:val="0"/>
            <w:vAlign w:val="center"/>
          </w:tcPr>
          <w:p w14:paraId="3B2E2606">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rPr>
              <w:t>6.高污染燃料禁燃区：禁止新建、扩建燃用高污染燃料的项目和设施，已经建成的应逐步或依法限期改用天然气、</w:t>
            </w:r>
            <w:r>
              <w:rPr>
                <w:rFonts w:hint="default" w:ascii="Times New Roman" w:hAnsi="Times New Roman" w:eastAsia="宋体" w:cs="Times New Roman"/>
                <w:color w:val="auto"/>
                <w:kern w:val="0"/>
                <w:sz w:val="21"/>
                <w:szCs w:val="21"/>
                <w:highlight w:val="none"/>
                <w:u w:val="none"/>
                <w:vertAlign w:val="baseline"/>
                <w:lang w:eastAsia="zh-CN"/>
              </w:rPr>
              <w:t>电力</w:t>
            </w:r>
            <w:r>
              <w:rPr>
                <w:rFonts w:hint="default" w:ascii="Times New Roman" w:hAnsi="Times New Roman" w:eastAsia="宋体" w:cs="Times New Roman"/>
                <w:color w:val="auto"/>
                <w:kern w:val="0"/>
                <w:sz w:val="21"/>
                <w:szCs w:val="21"/>
                <w:highlight w:val="none"/>
                <w:u w:val="none"/>
                <w:vertAlign w:val="baseline"/>
              </w:rPr>
              <w:t>或其他清洁能源。</w:t>
            </w:r>
          </w:p>
        </w:tc>
        <w:tc>
          <w:tcPr>
            <w:tcW w:w="1101" w:type="pct"/>
            <w:tcBorders>
              <w:tl2br w:val="nil"/>
              <w:tr2bl w:val="nil"/>
            </w:tcBorders>
            <w:noWrap w:val="0"/>
            <w:vAlign w:val="center"/>
          </w:tcPr>
          <w:p w14:paraId="32F2CA9B">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left"/>
              <w:textAlignment w:val="auto"/>
              <w:rPr>
                <w:rFonts w:hint="default" w:ascii="Times New Roman" w:hAnsi="Times New Roman" w:eastAsia="宋体" w:cs="Times New Roman"/>
                <w:color w:val="auto"/>
                <w:kern w:val="0"/>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76" w:type="pct"/>
            <w:tcBorders>
              <w:tl2br w:val="nil"/>
              <w:tr2bl w:val="nil"/>
            </w:tcBorders>
            <w:noWrap w:val="0"/>
            <w:vAlign w:val="center"/>
          </w:tcPr>
          <w:p w14:paraId="3799F37B">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符合</w:t>
            </w:r>
          </w:p>
        </w:tc>
      </w:tr>
    </w:tbl>
    <w:p w14:paraId="29056C36">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根据上表，本项目符合《钦州市生态环境分区管控动态更新成果》（2023版）相关要求。</w:t>
      </w:r>
    </w:p>
    <w:p w14:paraId="608CF5EF">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不涉及重点生态功能区以及自然保护区、风景名胜区、森林公园、地质公园、湿地公园、饮用水水源保护区和水土流失重点预防区等禁止或限制开发区域，不涉及生态环境敏感区和脆弱区，不涉及具有重要生态功能或生态环境敏感、脆弱的区域，项目不在生态保护红线划定范围内。</w:t>
      </w:r>
    </w:p>
    <w:p w14:paraId="01980245">
      <w:pPr>
        <w:pStyle w:val="41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②环境质量底线</w:t>
      </w:r>
    </w:p>
    <w:p w14:paraId="755A9E6B">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根据广西壮族自治区生态环境厅</w:t>
      </w:r>
      <w:r>
        <w:rPr>
          <w:rFonts w:hint="default" w:ascii="Times New Roman" w:hAnsi="Times New Roman" w:eastAsia="宋体" w:cs="Times New Roman"/>
          <w:color w:val="auto"/>
          <w:highlight w:val="none"/>
          <w:u w:val="single"/>
          <w:lang w:val="en-US" w:eastAsia="zh-CN"/>
        </w:rPr>
        <w:t>《自治区生态环境厅关于通报</w:t>
      </w:r>
      <w:r>
        <w:rPr>
          <w:rFonts w:hint="eastAsia" w:ascii="Times New Roman" w:cs="Times New Roman"/>
          <w:color w:val="auto"/>
          <w:highlight w:val="none"/>
          <w:u w:val="single"/>
          <w:lang w:val="en-US" w:eastAsia="zh-CN"/>
        </w:rPr>
        <w:t>2024</w:t>
      </w:r>
      <w:r>
        <w:rPr>
          <w:rFonts w:hint="default" w:ascii="Times New Roman" w:hAnsi="Times New Roman" w:eastAsia="宋体" w:cs="Times New Roman"/>
          <w:color w:val="auto"/>
          <w:highlight w:val="none"/>
          <w:u w:val="single"/>
          <w:lang w:val="en-US" w:eastAsia="zh-CN"/>
        </w:rPr>
        <w:t>年设区城市及各县（市、区）环境空气质量的函》（桂环函〔</w:t>
      </w:r>
      <w:r>
        <w:rPr>
          <w:rFonts w:hint="eastAsia" w:ascii="Times New Roman" w:cs="Times New Roman"/>
          <w:color w:val="auto"/>
          <w:highlight w:val="none"/>
          <w:u w:val="single"/>
          <w:lang w:val="en-US" w:eastAsia="zh-CN"/>
        </w:rPr>
        <w:t>2025</w:t>
      </w:r>
      <w:r>
        <w:rPr>
          <w:rFonts w:hint="default" w:ascii="Times New Roman" w:hAnsi="Times New Roman" w:eastAsia="宋体" w:cs="Times New Roman"/>
          <w:color w:val="auto"/>
          <w:highlight w:val="none"/>
          <w:u w:val="single"/>
          <w:lang w:val="en-US" w:eastAsia="zh-CN"/>
        </w:rPr>
        <w:t>〕</w:t>
      </w:r>
      <w:r>
        <w:rPr>
          <w:rFonts w:hint="eastAsia" w:ascii="Times New Roman" w:cs="Times New Roman"/>
          <w:color w:val="auto"/>
          <w:highlight w:val="none"/>
          <w:u w:val="single"/>
          <w:lang w:val="en-US" w:eastAsia="zh-CN"/>
        </w:rPr>
        <w:t>66</w:t>
      </w:r>
      <w:r>
        <w:rPr>
          <w:rFonts w:hint="default" w:ascii="Times New Roman" w:hAnsi="Times New Roman" w:eastAsia="宋体" w:cs="Times New Roman"/>
          <w:color w:val="auto"/>
          <w:highlight w:val="none"/>
          <w:u w:val="single"/>
          <w:lang w:val="en-US" w:eastAsia="zh-CN"/>
        </w:rPr>
        <w:t>号）</w:t>
      </w:r>
      <w:r>
        <w:rPr>
          <w:rFonts w:hint="default" w:ascii="Times New Roman" w:hAnsi="Times New Roman" w:eastAsia="宋体" w:cs="Times New Roman"/>
          <w:color w:val="auto"/>
          <w:highlight w:val="none"/>
          <w:lang w:val="en-US" w:eastAsia="zh-CN"/>
        </w:rPr>
        <w:t>，项目所在区域钦州市SO</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、NO</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、PM</w:t>
      </w:r>
      <w:r>
        <w:rPr>
          <w:rFonts w:hint="default" w:ascii="Times New Roman" w:hAnsi="Times New Roman" w:eastAsia="宋体" w:cs="Times New Roman"/>
          <w:color w:val="auto"/>
          <w:highlight w:val="none"/>
          <w:vertAlign w:val="subscript"/>
          <w:lang w:val="en-US" w:eastAsia="zh-CN"/>
        </w:rPr>
        <w:t>10</w:t>
      </w:r>
      <w:r>
        <w:rPr>
          <w:rFonts w:hint="default" w:ascii="Times New Roman" w:hAnsi="Times New Roman" w:eastAsia="宋体" w:cs="Times New Roman"/>
          <w:color w:val="auto"/>
          <w:highlight w:val="none"/>
          <w:lang w:val="en-US" w:eastAsia="zh-CN"/>
        </w:rPr>
        <w:t>、PM</w:t>
      </w:r>
      <w:r>
        <w:rPr>
          <w:rFonts w:hint="default" w:ascii="Times New Roman" w:hAnsi="Times New Roman" w:eastAsia="宋体" w:cs="Times New Roman"/>
          <w:color w:val="auto"/>
          <w:highlight w:val="none"/>
          <w:vertAlign w:val="subscript"/>
          <w:lang w:val="en-US" w:eastAsia="zh-CN"/>
        </w:rPr>
        <w:t>2.5</w:t>
      </w:r>
      <w:r>
        <w:rPr>
          <w:rFonts w:hint="default" w:ascii="Times New Roman" w:hAnsi="Times New Roman" w:eastAsia="宋体" w:cs="Times New Roman"/>
          <w:color w:val="auto"/>
          <w:highlight w:val="none"/>
          <w:lang w:val="en-US" w:eastAsia="zh-CN"/>
        </w:rPr>
        <w:t>、CO、O</w:t>
      </w:r>
      <w:r>
        <w:rPr>
          <w:rFonts w:hint="default" w:ascii="Times New Roman" w:hAnsi="Times New Roman" w:eastAsia="宋体" w:cs="Times New Roman"/>
          <w:color w:val="auto"/>
          <w:highlight w:val="none"/>
          <w:vertAlign w:val="subscript"/>
          <w:lang w:val="en-US" w:eastAsia="zh-CN"/>
        </w:rPr>
        <w:t>3</w:t>
      </w:r>
      <w:r>
        <w:rPr>
          <w:rFonts w:hint="default" w:ascii="Times New Roman" w:hAnsi="Times New Roman" w:eastAsia="宋体" w:cs="Times New Roman"/>
          <w:color w:val="auto"/>
          <w:highlight w:val="none"/>
          <w:lang w:val="en-US" w:eastAsia="zh-CN"/>
        </w:rPr>
        <w:t>环境质量现状均满足《环境空气质量标准》（GB3095-2012）中的二级标准，项目区域环境空气质量为达标区。</w:t>
      </w:r>
    </w:p>
    <w:p w14:paraId="3459AA21">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根据现状监测结果可知，本次评价设置的各声环境监测点昼间及夜间噪声监测值均能够达到《声环境质量标准》（GB3096-2008）中相应限值要求，表明区域声环境质量良好。</w:t>
      </w:r>
    </w:p>
    <w:p w14:paraId="3FA01EB4">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现状监测结果可知，项目地表水各监测点位的监测因子pH值、氨氮、阴离子表面活性剂、石油类、均能达到《地表水环境质量标准》（GB3838-2002）III类标准限值要求，化学需氧量、五日生化需氧量、总氮、总磷、粪大肠菌群存在不同程度超标，地表水环境质量一般。经现场调查，项目所在区域地表水环境主要受两岸村庄无序的生活污水、农业生产污水影响和</w:t>
      </w:r>
      <w:r>
        <w:rPr>
          <w:rFonts w:hint="eastAsia"/>
          <w:color w:val="auto"/>
          <w:highlight w:val="none"/>
          <w:lang w:val="en-US" w:eastAsia="zh-CN"/>
        </w:rPr>
        <w:t>周边</w:t>
      </w:r>
      <w:r>
        <w:rPr>
          <w:rFonts w:hint="default" w:ascii="Times New Roman" w:hAnsi="Times New Roman" w:eastAsia="宋体" w:cs="Times New Roman"/>
          <w:color w:val="auto"/>
          <w:highlight w:val="none"/>
          <w:lang w:val="en-US" w:eastAsia="zh-CN"/>
        </w:rPr>
        <w:t>水产养殖影响</w:t>
      </w:r>
      <w:r>
        <w:rPr>
          <w:rFonts w:hint="eastAsia" w:ascii="Times New Roman" w:hAnsi="Times New Roman" w:eastAsia="宋体" w:cs="Times New Roman"/>
          <w:color w:val="auto"/>
          <w:highlight w:val="none"/>
          <w:lang w:val="en-US" w:eastAsia="zh-CN"/>
        </w:rPr>
        <w:t>。本工程为防洪除涝工程，项目建设完善区域雨水排放系统，实现“雨污分流”，项目建设改善河道环境的同时无废水产生，不会对区域水环境质量造成影响。</w:t>
      </w:r>
    </w:p>
    <w:p w14:paraId="782F7C39">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施工过程会产生少量污染物，如施工废水、废气、固体废物等，通过采取相应的环保措施后，各类污染物的排放对周边的环境影响较小，其影响是暂时的。项目运营期不产生污染物，不会突破当地环境质量底线。</w:t>
      </w:r>
    </w:p>
    <w:p w14:paraId="6184C450">
      <w:pPr>
        <w:pStyle w:val="41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③资源利用上线</w:t>
      </w:r>
    </w:p>
    <w:p w14:paraId="67D3E06F">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属于防洪除涝工程，项目建设为解决周边村庄排水、排洪需要，不属于资源开发利用活动。项目的水、气等资源利用不会突破区域的资源利用上限。运营期不涉及能源、水及土地资源的消耗。因此，项目建设符合资源利用上线的相关要求。</w:t>
      </w:r>
    </w:p>
    <w:p w14:paraId="7B3B1B9E">
      <w:pPr>
        <w:pStyle w:val="41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④环境准入负面清单</w:t>
      </w:r>
    </w:p>
    <w:p w14:paraId="33D4806C">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本项目为防洪除涝工程，属于《产业结构调整指导目录》（2024年本）中的鼓励类项目中第二大类：水利类中的第3条“防洪提升工程中的江河湖海堤防建设及河道治理工程”，项目符合当前产业政策。</w:t>
      </w:r>
    </w:p>
    <w:p w14:paraId="12A7E0ED">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广西16个国家重点生态功能区县产业准入负面清单（试行）》（桂发改规划〔2016〕944号）、《广西第二批重点生态功能区产业准入负面清单（试行）》（桂发改规划〔2017〕1652号）及关于印发《广西壮族自治区重点生态功能区县产业准入负面清单调整方案》的通知，本项目不在产业准入负面清单内，因此，项目不在环境准入负面清单之列。</w:t>
      </w:r>
    </w:p>
    <w:p w14:paraId="3CD34905">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综上所述，本项目符合“三线一单”的要求。</w:t>
      </w:r>
    </w:p>
    <w:p w14:paraId="535F3D60">
      <w:pPr>
        <w:pStyle w:val="5"/>
        <w:bidi w:val="0"/>
        <w:ind w:left="452" w:leftChars="0" w:firstLine="0" w:firstLineChars="0"/>
        <w:rPr>
          <w:rFonts w:hint="default"/>
          <w:color w:val="auto"/>
          <w:highlight w:val="none"/>
          <w:lang w:val="en-US" w:eastAsia="zh-CN"/>
        </w:rPr>
      </w:pPr>
      <w:r>
        <w:rPr>
          <w:rFonts w:hint="eastAsia"/>
          <w:color w:val="auto"/>
          <w:highlight w:val="none"/>
          <w:lang w:val="en-US" w:eastAsia="zh-CN"/>
        </w:rPr>
        <w:t>项目与《钦州市城市总体规划修改（2012-2030）》相符性分析</w:t>
      </w:r>
    </w:p>
    <w:p w14:paraId="450845F6">
      <w:pPr>
        <w:pStyle w:val="410"/>
        <w:rPr>
          <w:rFonts w:hint="eastAsia" w:ascii="Times New Roman"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《钦州市城市总体规划修改（2012-2030）》</w:t>
      </w:r>
      <w:r>
        <w:rPr>
          <w:rFonts w:hint="eastAsia" w:ascii="Times New Roman" w:hAnsi="Times New Roman" w:eastAsia="宋体" w:cs="Times New Roman"/>
          <w:color w:val="auto"/>
          <w:highlight w:val="none"/>
          <w:u w:val="single"/>
          <w:lang w:val="en-US" w:eastAsia="zh-CN"/>
        </w:rPr>
        <w:t>于2012年7月30日区域取得人民政府的批复</w:t>
      </w:r>
      <w:r>
        <w:rPr>
          <w:rFonts w:hint="eastAsia" w:ascii="Times New Roman" w:cs="Times New Roman"/>
          <w:color w:val="auto"/>
          <w:highlight w:val="none"/>
          <w:u w:val="single"/>
          <w:lang w:val="en-US" w:eastAsia="zh-CN"/>
        </w:rPr>
        <w:t>（桂政函〔2012〕162 号），根据钦州市城市总体规划修改（2012-2030）中心城区建设用地规划、防洪排涝、防风暴潮规划、排水工程规划，项目所在区域为工业用地，中国-马来西亚钦州产业园区共划分为4个排水分区，主要通过雨水管道直接排入金鼓江及金鼓江的东、中、西支流。钦州市主城区防洪排涝方案拟定为堤防与分洪工程措施相结合，近期以堤防措施为主，远期堤防措施与分洪措施相结合。主城区利用钦江、大榄江两岸建设堤防工程进行设防，山洪防治根据小流域划分，保留城区各山区小流域行洪通道。钦江城区河段堤防标准按 50 年一遇设防，超过 50 年一遇标准洪水，利用西干渠进行分洪。港区在金鼓江、鹿耳环江两侧建设防洪堤。保留山区小流域山洪的行洪通道。</w:t>
      </w:r>
    </w:p>
    <w:p w14:paraId="06104D58">
      <w:pPr>
        <w:pStyle w:val="410"/>
        <w:rPr>
          <w:rFonts w:hint="default" w:ascii="Times New Roman" w:cs="Times New Roman"/>
          <w:color w:val="auto"/>
          <w:highlight w:val="none"/>
          <w:u w:val="single"/>
          <w:lang w:val="en-US" w:eastAsia="zh-CN"/>
        </w:rPr>
      </w:pPr>
      <w:r>
        <w:rPr>
          <w:rFonts w:hint="eastAsia" w:ascii="Times New Roman" w:cs="Times New Roman"/>
          <w:color w:val="auto"/>
          <w:highlight w:val="none"/>
          <w:u w:val="single"/>
          <w:lang w:val="en-US" w:eastAsia="zh-CN"/>
        </w:rPr>
        <w:t>目前已取得《中国(广西)自由贸易试验区钦州港片区自然资源和建设局关于明确钦州港新型城乡融合发展示范区(自贸新城)排水改造工程方案的复函》同意项目建设。项目建设雨水排水管江雨水排入淡水湾江，汇入金鼓江，同时淡水湾江参照钦江城区按50年一遇建设扶壁式挡土墙、土堤护岸，主要服务于企山水库 50 年一遇泄洪，项目建设符合</w:t>
      </w:r>
      <w:r>
        <w:rPr>
          <w:rFonts w:hint="default" w:ascii="Times New Roman" w:hAnsi="Times New Roman" w:eastAsia="宋体" w:cs="Times New Roman"/>
          <w:color w:val="auto"/>
          <w:highlight w:val="none"/>
          <w:u w:val="single"/>
          <w:lang w:val="en-US" w:eastAsia="zh-CN"/>
        </w:rPr>
        <w:t>《钦州市城市总体规划修改（2012-2030）》</w:t>
      </w:r>
      <w:r>
        <w:rPr>
          <w:rFonts w:hint="eastAsia" w:ascii="Times New Roman" w:cs="Times New Roman"/>
          <w:color w:val="auto"/>
          <w:highlight w:val="none"/>
          <w:u w:val="single"/>
          <w:lang w:val="en-US" w:eastAsia="zh-CN"/>
        </w:rPr>
        <w:t>。</w:t>
      </w:r>
    </w:p>
    <w:p w14:paraId="14B54C68">
      <w:pPr>
        <w:pStyle w:val="5"/>
        <w:bidi w:val="0"/>
        <w:ind w:left="452" w:leftChars="0" w:firstLine="0" w:firstLineChars="0"/>
        <w:rPr>
          <w:rFonts w:hint="default"/>
          <w:color w:val="auto"/>
          <w:highlight w:val="none"/>
          <w:u w:val="single"/>
          <w:lang w:val="en-US" w:eastAsia="zh-CN"/>
        </w:rPr>
      </w:pPr>
      <w:r>
        <w:rPr>
          <w:rFonts w:hint="eastAsia"/>
          <w:color w:val="auto"/>
          <w:highlight w:val="none"/>
          <w:u w:val="single"/>
          <w:lang w:val="en-US" w:eastAsia="zh-CN"/>
        </w:rPr>
        <w:t>与防洪排涝规划相符性分析</w:t>
      </w:r>
    </w:p>
    <w:p w14:paraId="13CFB098">
      <w:pPr>
        <w:pStyle w:val="410"/>
        <w:rPr>
          <w:rFonts w:hint="default" w:ascii="Times New Roman" w:cs="Times New Roman"/>
          <w:color w:val="auto"/>
          <w:highlight w:val="none"/>
          <w:u w:val="single"/>
          <w:lang w:val="en-US" w:eastAsia="zh-CN"/>
        </w:rPr>
      </w:pPr>
      <w:r>
        <w:rPr>
          <w:rFonts w:hint="eastAsia"/>
          <w:color w:val="auto"/>
          <w:highlight w:val="none"/>
          <w:u w:val="single"/>
          <w:lang w:val="en-US" w:eastAsia="zh-CN"/>
        </w:rPr>
        <w:t>根据</w:t>
      </w:r>
      <w:r>
        <w:rPr>
          <w:rFonts w:hint="default" w:ascii="Times New Roman" w:hAnsi="Times New Roman" w:eastAsia="宋体" w:cs="Times New Roman"/>
          <w:color w:val="auto"/>
          <w:highlight w:val="none"/>
          <w:u w:val="single"/>
          <w:lang w:val="en-US" w:eastAsia="zh-CN"/>
        </w:rPr>
        <w:t>《钦州市城市总体规划修改（2012-2030）》</w:t>
      </w:r>
      <w:r>
        <w:rPr>
          <w:rFonts w:hint="eastAsia" w:ascii="Times New Roman" w:cs="Times New Roman"/>
          <w:color w:val="auto"/>
          <w:highlight w:val="none"/>
          <w:u w:val="single"/>
          <w:lang w:val="en-US" w:eastAsia="zh-CN"/>
        </w:rPr>
        <w:t>、钦州市城区防洪标准为100年一遇，防风暴潮标准 100 年一遇，山洪防治标准达到 20 年一遇。排涝标准为：城区排涝标准按 20 年一遇最大 24 小时暴雨一天排除。自排：各排涝闸的排涝标准按 50 年一遇最大 24 小时降雨产生的洪水不成灾。</w:t>
      </w:r>
    </w:p>
    <w:p w14:paraId="03DDA75F">
      <w:pPr>
        <w:pStyle w:val="410"/>
        <w:rPr>
          <w:rFonts w:hint="eastAsia" w:ascii="Times New Roman" w:cs="Times New Roman"/>
          <w:color w:val="auto"/>
          <w:highlight w:val="none"/>
          <w:u w:val="single"/>
          <w:lang w:val="en-US" w:eastAsia="zh-CN"/>
        </w:rPr>
      </w:pPr>
      <w:r>
        <w:rPr>
          <w:rFonts w:hint="eastAsia" w:ascii="Times New Roman" w:cs="Times New Roman"/>
          <w:color w:val="auto"/>
          <w:highlight w:val="none"/>
          <w:u w:val="single"/>
          <w:lang w:val="en-US" w:eastAsia="zh-CN"/>
        </w:rPr>
        <w:t>根据《企山水库调度运用方案》，企山水库大坝按50年一遇洪水标准设计，500年一遇洪水标准校核，设计洪水位13.44m，相应下泄最大流量为15.2m</w:t>
      </w:r>
      <w:r>
        <w:rPr>
          <w:rFonts w:hint="eastAsia" w:ascii="Times New Roman" w:cs="Times New Roman"/>
          <w:color w:val="auto"/>
          <w:highlight w:val="none"/>
          <w:u w:val="single"/>
          <w:vertAlign w:val="superscript"/>
          <w:lang w:val="en-US" w:eastAsia="zh-CN"/>
        </w:rPr>
        <w:t>3</w:t>
      </w:r>
      <w:r>
        <w:rPr>
          <w:rFonts w:hint="eastAsia" w:ascii="Times New Roman" w:cs="Times New Roman"/>
          <w:color w:val="auto"/>
          <w:highlight w:val="none"/>
          <w:u w:val="single"/>
          <w:lang w:val="en-US" w:eastAsia="zh-CN"/>
        </w:rPr>
        <w:t>/s；校核洪水位为14.04m，相应下泄最大流量为24.9m</w:t>
      </w:r>
      <w:r>
        <w:rPr>
          <w:rFonts w:hint="eastAsia" w:ascii="Times New Roman" w:cs="Times New Roman"/>
          <w:color w:val="auto"/>
          <w:highlight w:val="none"/>
          <w:u w:val="single"/>
          <w:vertAlign w:val="superscript"/>
          <w:lang w:val="en-US" w:eastAsia="zh-CN"/>
        </w:rPr>
        <w:t>3</w:t>
      </w:r>
      <w:r>
        <w:rPr>
          <w:rFonts w:hint="eastAsia" w:ascii="Times New Roman" w:cs="Times New Roman"/>
          <w:color w:val="auto"/>
          <w:highlight w:val="none"/>
          <w:u w:val="single"/>
          <w:lang w:val="en-US" w:eastAsia="zh-CN"/>
        </w:rPr>
        <w:t>/s。企山水库防洪调度方式为敞泄，泄洪设施为无闸门控制溢洪道，库水位上升至11.9m时，溢洪道自由溢流，出库流量由水库各水位对应的溢洪道泄洪能力决定。</w:t>
      </w:r>
    </w:p>
    <w:p w14:paraId="326908FE">
      <w:pPr>
        <w:pStyle w:val="410"/>
        <w:rPr>
          <w:rFonts w:hint="default"/>
          <w:color w:val="auto"/>
          <w:highlight w:val="none"/>
          <w:lang w:val="en-US" w:eastAsia="zh-CN"/>
        </w:rPr>
      </w:pPr>
      <w:r>
        <w:rPr>
          <w:rFonts w:hint="eastAsia" w:ascii="Times New Roman" w:cs="Times New Roman"/>
          <w:color w:val="auto"/>
          <w:highlight w:val="none"/>
          <w:u w:val="single"/>
          <w:lang w:val="en-US" w:eastAsia="zh-CN"/>
        </w:rPr>
        <w:t>淡水湾江为现状为自然河沟，无任何衬砌，对其进行水系改造后主要服务于企山水库泄洪，项目按50年一遇洪水标准设计，满足企山水库调度运用的同时满足城区排涝标准按 20 年一遇最大 24 小时暴雨一天排除要求，项目建设符合区域防洪规划。</w:t>
      </w:r>
    </w:p>
    <w:p w14:paraId="14BC280C">
      <w:pPr>
        <w:pStyle w:val="5"/>
        <w:bidi w:val="0"/>
        <w:ind w:left="452" w:leftChars="0" w:firstLine="0" w:firstLineChars="0"/>
        <w:rPr>
          <w:rFonts w:hint="default"/>
          <w:color w:val="auto"/>
          <w:highlight w:val="none"/>
          <w:u w:val="single"/>
          <w:lang w:val="en-US" w:eastAsia="zh-CN"/>
        </w:rPr>
      </w:pPr>
      <w:r>
        <w:rPr>
          <w:rFonts w:hint="eastAsia"/>
          <w:color w:val="auto"/>
          <w:highlight w:val="none"/>
          <w:u w:val="single"/>
          <w:lang w:val="en-US" w:eastAsia="zh-CN"/>
        </w:rPr>
        <w:t>项目与《中国（广西）自由贸易试验区钦州港片区管线综合专项规划（2023-2035）》相符性分析</w:t>
      </w:r>
    </w:p>
    <w:p w14:paraId="250596FD">
      <w:pPr>
        <w:pStyle w:val="410"/>
        <w:rPr>
          <w:rFonts w:hint="default" w:ascii="Times New Roman" w:hAnsi="Times New Roman" w:eastAsia="宋体" w:cs="Times New Roman"/>
          <w:color w:val="auto"/>
          <w:highlight w:val="none"/>
          <w:u w:val="single"/>
          <w:lang w:val="en-US" w:eastAsia="zh-CN"/>
        </w:rPr>
      </w:pPr>
      <w:r>
        <w:rPr>
          <w:rFonts w:hint="eastAsia" w:ascii="Times New Roman" w:cs="Times New Roman"/>
          <w:color w:val="auto"/>
          <w:highlight w:val="none"/>
          <w:u w:val="single"/>
          <w:lang w:val="en-US" w:eastAsia="zh-CN"/>
        </w:rPr>
        <w:t>根据</w:t>
      </w:r>
      <w:r>
        <w:rPr>
          <w:rFonts w:hint="eastAsia"/>
          <w:color w:val="auto"/>
          <w:highlight w:val="none"/>
          <w:u w:val="single"/>
          <w:lang w:val="en-US" w:eastAsia="zh-CN"/>
        </w:rPr>
        <w:t>《中国（广西）自由贸易试验区钦州港片区管线综合专项规划（2023-2035）》第五章 雨水工程规划，钦州港主要有石化园区、保税港区、大榄坪物流加工区、行政商务中心片区、中马园区、三墩片区及鹿耳片区7个片区，根据片区内高程将钦州港划分为31个主要排水分区。雨水经管道收集后，就近、分散、重力流排入附近水体。</w:t>
      </w:r>
    </w:p>
    <w:p w14:paraId="6823C775">
      <w:pPr>
        <w:pStyle w:val="410"/>
        <w:rPr>
          <w:rFonts w:hint="default" w:ascii="Times New Roman" w:hAnsi="Times New Roman" w:eastAsia="宋体" w:cs="Times New Roman"/>
          <w:color w:val="auto"/>
          <w:highlight w:val="none"/>
          <w:u w:val="single"/>
          <w:lang w:val="en-US" w:eastAsia="zh-CN"/>
        </w:rPr>
      </w:pPr>
      <w:r>
        <w:rPr>
          <w:rFonts w:hint="eastAsia" w:ascii="Times New Roman" w:cs="Times New Roman"/>
          <w:color w:val="auto"/>
          <w:highlight w:val="none"/>
          <w:u w:val="single"/>
          <w:lang w:val="en-US" w:eastAsia="zh-CN"/>
        </w:rPr>
        <w:t>中马产业园马莱大道以南片区</w:t>
      </w:r>
      <w:r>
        <w:rPr>
          <w:rFonts w:hint="default" w:ascii="Times New Roman" w:hAnsi="Times New Roman" w:eastAsia="宋体" w:cs="Times New Roman"/>
          <w:color w:val="auto"/>
          <w:highlight w:val="none"/>
          <w:u w:val="single"/>
          <w:lang w:val="en-US" w:eastAsia="zh-CN"/>
        </w:rPr>
        <w:t>规划雨水干管主要布置在钦锦大道、钦海大道、锦绣大道、金谷大道、滨江西路、马贤路、马良路、马淑街等主次干道上，该地区设计暴雨重现期采用3年一遇，综合径流系数为0.6，按暴雨强度公式计算流量选择管径，管径DN800～2400。规划雨水管坡度为0.001~0.018，考虑综合管线的布置，雨水管道起始端管顶覆土为2m左右。</w:t>
      </w:r>
    </w:p>
    <w:p w14:paraId="05EA10B1">
      <w:pPr>
        <w:pStyle w:val="410"/>
        <w:rPr>
          <w:rFonts w:hint="default" w:ascii="Times New Roman" w:hAnsi="Times New Roman" w:eastAsia="宋体" w:cs="Times New Roman"/>
          <w:color w:val="auto"/>
          <w:highlight w:val="none"/>
          <w:u w:val="single"/>
          <w:lang w:val="en-US" w:eastAsia="zh-CN"/>
        </w:rPr>
      </w:pPr>
      <w:r>
        <w:rPr>
          <w:rFonts w:hint="eastAsia" w:ascii="Times New Roman" w:cs="Times New Roman"/>
          <w:color w:val="auto"/>
          <w:highlight w:val="none"/>
          <w:u w:val="single"/>
          <w:lang w:val="en-US" w:eastAsia="zh-CN"/>
        </w:rPr>
        <w:t>本项目位于广西壮族自治区钦州市自贸试验区钦州港片区和谐大街以南，大榄坪大街以北，友谊大道以东区域；项目设计暴雨重现期为5年一遇，径流系数为0.65，项目管径在DN800~2800mm，雨水管坡度为0.003~0.004，雨水管起始端管顶覆土在2.069~2.325m。项目雨水管按5年一遇进行设计，更有利于区域防洪排涝能力的提升，项目建设符合</w:t>
      </w:r>
      <w:r>
        <w:rPr>
          <w:rFonts w:hint="eastAsia"/>
          <w:color w:val="auto"/>
          <w:highlight w:val="none"/>
          <w:u w:val="single"/>
          <w:lang w:val="en-US" w:eastAsia="zh-CN"/>
        </w:rPr>
        <w:t>《中国（广西）自由贸易试验区钦州港片区管线综合专项规划（2023-2035）》。</w:t>
      </w:r>
    </w:p>
    <w:p w14:paraId="130F2C4B">
      <w:pPr>
        <w:pStyle w:val="5"/>
        <w:bidi w:val="0"/>
        <w:ind w:left="452" w:leftChars="0" w:firstLine="0" w:firstLineChars="0"/>
        <w:rPr>
          <w:rFonts w:hint="default"/>
          <w:color w:val="auto"/>
          <w:highlight w:val="none"/>
          <w:lang w:val="en-US" w:eastAsia="zh-CN"/>
        </w:rPr>
      </w:pPr>
      <w:r>
        <w:rPr>
          <w:rFonts w:hint="default"/>
          <w:color w:val="auto"/>
          <w:highlight w:val="none"/>
          <w:lang w:val="en-US" w:eastAsia="zh-CN"/>
        </w:rPr>
        <w:t>项目与《钦州市生态环境保护“十四五”规划》的相符性分析</w:t>
      </w:r>
    </w:p>
    <w:p w14:paraId="4BB0901F">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钦州市人民政府办公室关于印发钦州市生态环境保护“十四五”规划的通知》（钦政办〔2022〕16号），明确在“十四五”期间，钦州市推进生态环境保护的主要任务，包括10个方面：一是深化绿色低碳转型，推进高质量发展；二是有效控制温室气体排放，积极应对气候变化；三是坚持协同管控，改善大气环境质量；四是坚持“三水统筹”，保持水环境优良；五是坚持陆海统筹，助推向海经济可持续发展；六是强化源头防控，保障土壤安全利用；七是加强生态保护监管，维护自然生态环境安全；八是严格核与辐射监管，确保安全第一；九是防控重点领域污染风险，牢守环境安全底线；十是构建现代化体系，提高环境治理能力。</w:t>
      </w:r>
    </w:p>
    <w:p w14:paraId="672A5762">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属于防洪排涝工程，项目无废水废气等排放，项目的建设是为区域防洪排涝保障钦州市中国（广西）自由贸易试验区钦州港片区防洪排涝安全，改善沿河景观，提升土地利用价值，拓展城市发展新空间。因此，项目建设符合《钦州市生态环境保护“十四五”规划》。</w:t>
      </w:r>
    </w:p>
    <w:p w14:paraId="5332B31D">
      <w:pPr>
        <w:pStyle w:val="5"/>
        <w:bidi w:val="0"/>
        <w:ind w:left="452" w:leftChars="0" w:firstLine="0" w:firstLineChars="0"/>
        <w:rPr>
          <w:rFonts w:hint="default"/>
          <w:color w:val="auto"/>
          <w:highlight w:val="none"/>
        </w:rPr>
      </w:pPr>
      <w:r>
        <w:rPr>
          <w:rFonts w:hint="default"/>
          <w:color w:val="auto"/>
          <w:highlight w:val="none"/>
          <w:lang w:val="en-US" w:eastAsia="zh-CN"/>
        </w:rPr>
        <w:t>项目与《广西城市内涝治理实施方案》相符性分析</w:t>
      </w:r>
    </w:p>
    <w:p w14:paraId="7D81B615">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广西壮族自治区人民政府办公厅关于印发广西城市内涝治理实施方案的通知》（桂政办发〔2021〕66号），重点工作“（四）加强排水防涝设施建设与改造-完善城市排水管渠系统。加大排水管网建设力度，逐步消除管网空白区，新建排水管网原则上应尽可能达到国家建设标准的上限要求。”“（三）实施城市排涝通道建设-合理规划利用城市排涝通道，加强城市外部河湖与内河、排洪沟、桥涵、闸门、排水管渠等在水位标高、排水能力等方面的衔接，确保过流顺畅、水位满足防洪排涝安全要求。”。</w:t>
      </w:r>
    </w:p>
    <w:p w14:paraId="583487C5">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本工程主要建设内容为建设排水工程、挡土墙工程、涵洞工程及土方工程，项目建设完善了城区排水管网系统，</w:t>
      </w:r>
      <w:r>
        <w:rPr>
          <w:rFonts w:hint="default" w:ascii="Times New Roman" w:hAnsi="Times New Roman" w:eastAsia="宋体" w:cs="Times New Roman"/>
          <w:color w:val="auto"/>
          <w:highlight w:val="none"/>
          <w:lang w:val="en-US" w:eastAsia="zh-CN"/>
        </w:rPr>
        <w:tab/>
      </w:r>
      <w:r>
        <w:rPr>
          <w:rFonts w:hint="default" w:ascii="Times New Roman" w:hAnsi="Times New Roman" w:eastAsia="宋体" w:cs="Times New Roman"/>
          <w:color w:val="auto"/>
          <w:highlight w:val="none"/>
          <w:lang w:val="en-US" w:eastAsia="zh-CN"/>
        </w:rPr>
        <w:t>确保钦州港新型城乡融合发展示范区（自贸新城）的排洪、排水功能的正常运行，项目建设符合《广西城市内涝治理实施方案》。</w:t>
      </w:r>
    </w:p>
    <w:p w14:paraId="1E87667A">
      <w:pPr>
        <w:pStyle w:val="5"/>
        <w:bidi w:val="0"/>
        <w:ind w:left="452" w:leftChars="0" w:firstLine="0" w:firstLineChars="0"/>
        <w:rPr>
          <w:rFonts w:hint="default"/>
          <w:color w:val="auto"/>
          <w:highlight w:val="none"/>
        </w:rPr>
      </w:pPr>
      <w:r>
        <w:rPr>
          <w:rFonts w:hint="default"/>
          <w:color w:val="auto"/>
          <w:highlight w:val="none"/>
          <w:lang w:val="en-US" w:eastAsia="zh-CN"/>
        </w:rPr>
        <w:t>项目与《钦州市水安全保障“十四五”规划报告》相符性分析</w:t>
      </w:r>
    </w:p>
    <w:p w14:paraId="7E88CE9C">
      <w:pPr>
        <w:pStyle w:val="410"/>
        <w:rPr>
          <w:rFonts w:hint="default" w:ascii="Times New Roman" w:hAnsi="Times New Roman" w:eastAsia="宋体" w:cs="Times New Roman"/>
          <w:b w:val="0"/>
          <w:bCs w:val="0"/>
          <w:color w:val="auto"/>
          <w:sz w:val="24"/>
          <w:szCs w:val="24"/>
          <w:highlight w:val="none"/>
        </w:rPr>
      </w:pPr>
      <w:r>
        <w:rPr>
          <w:rFonts w:hint="default" w:ascii="Times New Roman" w:hAnsi="Times New Roman" w:cs="Times New Roman"/>
          <w:color w:val="auto"/>
          <w:highlight w:val="none"/>
          <w:lang w:val="en-US" w:eastAsia="zh-CN"/>
        </w:rPr>
        <w:t>根据《钦州市水安全保障“十四五”规划报告》，到2025年，通过加快转变治水工作重点，补齐防洪、供水、水生态和水利信息化等领域存在的短板，防洪减灾能力全面提升。</w:t>
      </w:r>
      <w:r>
        <w:rPr>
          <w:rFonts w:hint="default" w:ascii="Times New Roman" w:hAnsi="Times New Roman" w:eastAsia="TimesNewRomanPSMT"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rPr>
        <w:t>十四五</w:t>
      </w:r>
      <w:r>
        <w:rPr>
          <w:rFonts w:hint="default" w:ascii="Times New Roman" w:hAnsi="Times New Roman" w:eastAsia="TimesNewRomanPSMT"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rPr>
        <w:t>期间的主要任务包括</w:t>
      </w:r>
      <w:r>
        <w:rPr>
          <w:rFonts w:hint="default" w:ascii="Times New Roman" w:hAnsi="Times New Roman" w:eastAsia="TimesNewRomanPSMT"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rPr>
        <w:t>提档升级，加快完善水利基础设施网络</w:t>
      </w:r>
      <w:r>
        <w:rPr>
          <w:rFonts w:hint="default" w:ascii="Times New Roman" w:hAnsi="Times New Roman" w:eastAsia="TimesNewRomanPSMT"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rPr>
        <w:t>，要提升水旱灾害防御能力，全面实施防汛水利提升工程，整体提升洪涝灾害防御能力和超标准洪水应对能力，保障人民群众生命财产安全和经济社会健康稳定。</w:t>
      </w:r>
    </w:p>
    <w:p w14:paraId="6164A878">
      <w:pPr>
        <w:pStyle w:val="41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highlight w:val="none"/>
          <w:lang w:val="en-US" w:eastAsia="zh-CN"/>
        </w:rPr>
        <w:t>本工程主要建设内容为建设排水工程、挡土墙工程、涵洞工程及土方工程，项目建设完善了城区排水管网系统，</w:t>
      </w:r>
      <w:r>
        <w:rPr>
          <w:rFonts w:hint="default" w:ascii="Times New Roman" w:hAnsi="Times New Roman" w:eastAsia="宋体" w:cs="Times New Roman"/>
          <w:color w:val="auto"/>
          <w:highlight w:val="none"/>
          <w:lang w:val="en-US" w:eastAsia="zh-CN"/>
        </w:rPr>
        <w:tab/>
      </w:r>
      <w:r>
        <w:rPr>
          <w:rFonts w:hint="default" w:ascii="Times New Roman" w:hAnsi="Times New Roman" w:eastAsia="宋体" w:cs="Times New Roman"/>
          <w:color w:val="auto"/>
          <w:highlight w:val="none"/>
          <w:lang w:val="en-US" w:eastAsia="zh-CN"/>
        </w:rPr>
        <w:t>确保钦州港新型城乡融合发展示范区（自贸新城）的排洪、排水功能的正常运行，项目建设符合</w:t>
      </w:r>
      <w:r>
        <w:rPr>
          <w:rFonts w:hint="default" w:ascii="Times New Roman" w:hAnsi="Times New Roman" w:cs="Times New Roman"/>
          <w:color w:val="auto"/>
          <w:highlight w:val="none"/>
          <w:lang w:val="en-US" w:eastAsia="zh-CN"/>
        </w:rPr>
        <w:t>《钦州市水安全保障“十四五”规划报告》</w:t>
      </w:r>
      <w:r>
        <w:rPr>
          <w:rFonts w:hint="default" w:ascii="Times New Roman" w:hAnsi="Times New Roman" w:eastAsia="宋体" w:cs="Times New Roman"/>
          <w:color w:val="auto"/>
          <w:highlight w:val="none"/>
          <w:lang w:val="en-US" w:eastAsia="zh-CN"/>
        </w:rPr>
        <w:t>。</w:t>
      </w:r>
    </w:p>
    <w:p w14:paraId="503181C1">
      <w:pPr>
        <w:pStyle w:val="5"/>
        <w:bidi w:val="0"/>
        <w:ind w:left="452" w:leftChars="0" w:firstLine="0" w:firstLineChars="0"/>
        <w:rPr>
          <w:rFonts w:hint="default"/>
          <w:color w:val="auto"/>
          <w:highlight w:val="none"/>
        </w:rPr>
      </w:pPr>
      <w:r>
        <w:rPr>
          <w:rFonts w:hint="default"/>
          <w:color w:val="auto"/>
          <w:highlight w:val="none"/>
          <w:lang w:val="en-US" w:eastAsia="zh-CN"/>
        </w:rPr>
        <w:t>项目与《广西壮族自治区主体功能区划》相符性分析</w:t>
      </w:r>
    </w:p>
    <w:p w14:paraId="08E8D97A">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位于广西壮族自治区钦州市中国（广西）自由贸易试验区钦州港片区，根据《广西壮族自治区人民政府关于印发广西壮族自治区主体功能区规划的通知》（桂政发〔2012〕89号），项目所在地钦州市钦南区为省级重点开发区域。功能定位：全区乃至全国重要的人口和经济密集区，提升经济综合实力和产业竞争力的核心区，引领科技创新和推动发展方式转变的示范区，支撑全区乃至全国经济发展的重要增长极。发展方向：在优化结构、提高效益、降低消耗、节约资源和保护生态的基础上实现跨越发展，加快转变经济发展方式，调整优化经济结构，壮大经济总量；推进新型工业化进程，加快发展千亿元产业，培育发展战略性新兴产业，加快发展现代服务业，大力发展现代农业，提高科技进步和创新能力，形成分工协作的现代产业体系；推进城镇化进程，扩大城市规模，壮大城市实力，改善人居环境，提高人口集聚能力；加快沿边地区开发开放，加强国际通道和口岸建设，形成对外开放新的窗口和战略空间。</w:t>
      </w:r>
    </w:p>
    <w:p w14:paraId="2ABEB5CD">
      <w:pPr>
        <w:pStyle w:val="410"/>
        <w:rPr>
          <w:rFonts w:hint="eastAsia" w:ascii="Times New Roman" w:hAnsi="Times New Roman" w:eastAsia="宋体" w:cs="Times New Roman"/>
          <w:b/>
          <w:bCs/>
          <w:color w:val="auto"/>
          <w:highlight w:val="none"/>
          <w:lang w:val="en-US" w:eastAsia="zh-CN"/>
        </w:rPr>
      </w:pPr>
      <w:r>
        <w:rPr>
          <w:rFonts w:hint="default" w:ascii="Times New Roman" w:hAnsi="Times New Roman" w:eastAsia="宋体" w:cs="Times New Roman"/>
          <w:color w:val="auto"/>
          <w:highlight w:val="none"/>
          <w:lang w:val="en-US" w:eastAsia="zh-CN"/>
        </w:rPr>
        <w:t>本工程属于防洪除涝工程。项目的建设是满足提高防洪减灾能力的重大举措，保障社会经济发展的需要；工程施工期对周边环境空气、地表水、声、生态环境等造成一定程度的影响，但影响强度较小，且随着施工期的结束而消失，运行期工程本身不产生污染物，不会对区域生态功能造成明显不利影响。因此，本工程建设符合钦州市钦南区为省级重点开发区域的功能定位和发展方向要求，符合主体功能区划</w:t>
      </w:r>
      <w:r>
        <w:rPr>
          <w:rFonts w:hint="eastAsia" w:ascii="Times New Roman" w:hAnsi="Times New Roman" w:eastAsia="宋体" w:cs="Times New Roman"/>
          <w:color w:val="auto"/>
          <w:highlight w:val="none"/>
          <w:lang w:val="en-US" w:eastAsia="zh-CN"/>
        </w:rPr>
        <w:t>。</w:t>
      </w:r>
    </w:p>
    <w:p w14:paraId="74CBBE45">
      <w:pPr>
        <w:pStyle w:val="5"/>
        <w:bidi w:val="0"/>
        <w:ind w:left="452" w:leftChars="0" w:firstLine="0" w:firstLineChars="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eastAsia="zh-CN"/>
        </w:rPr>
        <w:t>项目与《广西壮族自治区生态功能区划》相符性分析</w:t>
      </w:r>
    </w:p>
    <w:p w14:paraId="5973D4CA">
      <w:pPr>
        <w:pStyle w:val="410"/>
        <w:rPr>
          <w:rFonts w:hint="eastAsia" w:ascii="Times New Roman" w:hAnsi="Times New Roman" w:cs="Times New Roman"/>
          <w:b w:val="0"/>
          <w:bCs w:val="0"/>
          <w:color w:val="auto"/>
          <w:highlight w:val="none"/>
          <w:lang w:eastAsia="zh-CN"/>
        </w:rPr>
      </w:pPr>
      <w:r>
        <w:rPr>
          <w:rFonts w:hint="eastAsia" w:ascii="Times New Roman" w:hAnsi="Times New Roman" w:eastAsia="宋体" w:cs="Times New Roman"/>
          <w:color w:val="auto"/>
          <w:highlight w:val="none"/>
          <w:lang w:val="en-US" w:eastAsia="zh-CN"/>
        </w:rPr>
        <w:t>本项目位于</w:t>
      </w:r>
      <w:r>
        <w:rPr>
          <w:rFonts w:hint="default" w:ascii="Times New Roman" w:hAnsi="Times New Roman" w:eastAsia="宋体" w:cs="Times New Roman"/>
          <w:b w:val="0"/>
          <w:bCs w:val="0"/>
          <w:color w:val="auto"/>
          <w:highlight w:val="none"/>
          <w:lang w:eastAsia="zh-CN"/>
        </w:rPr>
        <w:t>广西壮族自治区钦州市自贸</w:t>
      </w:r>
      <w:r>
        <w:rPr>
          <w:rFonts w:hint="default" w:ascii="Times New Roman" w:hAnsi="Times New Roman" w:cs="Times New Roman"/>
          <w:b w:val="0"/>
          <w:bCs w:val="0"/>
          <w:color w:val="auto"/>
          <w:highlight w:val="none"/>
          <w:lang w:eastAsia="zh-CN"/>
        </w:rPr>
        <w:t>试验区钦州港片区和谐大街以南，大榄坪大街以北，友谊大道以东区域</w:t>
      </w:r>
      <w:r>
        <w:rPr>
          <w:rFonts w:hint="eastAsia" w:ascii="Times New Roman" w:hAnsi="Times New Roman" w:cs="Times New Roman"/>
          <w:b w:val="0"/>
          <w:bCs w:val="0"/>
          <w:color w:val="auto"/>
          <w:highlight w:val="none"/>
          <w:lang w:eastAsia="zh-CN"/>
        </w:rPr>
        <w:t>，</w:t>
      </w:r>
      <w:r>
        <w:rPr>
          <w:rFonts w:hint="default" w:ascii="Times New Roman" w:hAnsi="Times New Roman" w:eastAsia="宋体" w:cs="Times New Roman"/>
          <w:color w:val="auto"/>
          <w:highlight w:val="none"/>
          <w:lang w:val="en-US" w:eastAsia="zh-CN"/>
        </w:rPr>
        <w:t>根据</w:t>
      </w:r>
      <w:r>
        <w:rPr>
          <w:rFonts w:hint="eastAsia" w:ascii="Times New Roman" w:hAnsi="Times New Roman" w:eastAsia="宋体" w:cs="Times New Roman"/>
          <w:color w:val="auto"/>
          <w:highlight w:val="none"/>
          <w:lang w:val="en-US" w:eastAsia="zh-CN"/>
        </w:rPr>
        <w:t>《广西壮族自治区生态功能区划》本项目位于</w:t>
      </w:r>
      <w:r>
        <w:rPr>
          <w:rFonts w:hint="eastAsia" w:ascii="Times New Roman" w:hAnsi="Times New Roman" w:cs="Times New Roman"/>
          <w:b w:val="0"/>
          <w:bCs w:val="0"/>
          <w:color w:val="auto"/>
          <w:highlight w:val="none"/>
          <w:lang w:eastAsia="zh-CN"/>
        </w:rPr>
        <w:t>“</w:t>
      </w:r>
      <w:r>
        <w:rPr>
          <w:rFonts w:hint="eastAsia" w:ascii="Times New Roman" w:hAnsi="Times New Roman" w:cs="Times New Roman"/>
          <w:b w:val="0"/>
          <w:bCs w:val="0"/>
          <w:color w:val="auto"/>
          <w:highlight w:val="none"/>
          <w:lang w:val="en-US" w:eastAsia="zh-CN"/>
        </w:rPr>
        <w:t>3-1-8 钦州中心城市功能区</w:t>
      </w:r>
      <w:r>
        <w:rPr>
          <w:rFonts w:hint="eastAsia" w:ascii="Times New Roman" w:hAnsi="Times New Roman" w:cs="Times New Roman"/>
          <w:b w:val="0"/>
          <w:bCs w:val="0"/>
          <w:color w:val="auto"/>
          <w:highlight w:val="none"/>
          <w:lang w:eastAsia="zh-CN"/>
        </w:rPr>
        <w:t>”。</w:t>
      </w:r>
    </w:p>
    <w:p w14:paraId="2ED49D08">
      <w:pPr>
        <w:pStyle w:val="410"/>
        <w:rPr>
          <w:rFonts w:hint="eastAsia" w:ascii="Times New Roman" w:hAnsi="Times New Roman" w:cs="Times New Roman"/>
          <w:b w:val="0"/>
          <w:bCs w:val="0"/>
          <w:color w:val="auto"/>
          <w:highlight w:val="none"/>
          <w:lang w:eastAsia="zh-CN"/>
        </w:rPr>
      </w:pPr>
      <w:r>
        <w:rPr>
          <w:rFonts w:hint="eastAsia" w:ascii="Times New Roman" w:hAnsi="Times New Roman" w:cs="Times New Roman"/>
          <w:b w:val="0"/>
          <w:bCs w:val="0"/>
          <w:color w:val="auto"/>
          <w:highlight w:val="none"/>
          <w:lang w:eastAsia="zh-CN"/>
        </w:rPr>
        <w:t>中心城市功能区主要生态问题：城市环保设施滞后，部分城市水环境、空气环境污染问题较为突出，城市生态功能不完善。</w:t>
      </w:r>
    </w:p>
    <w:p w14:paraId="524DA95E">
      <w:pPr>
        <w:pStyle w:val="410"/>
        <w:rPr>
          <w:rFonts w:hint="eastAsia" w:ascii="Times New Roman" w:hAnsi="Times New Roman" w:cs="Times New Roman"/>
          <w:b w:val="0"/>
          <w:bCs w:val="0"/>
          <w:color w:val="auto"/>
          <w:highlight w:val="none"/>
          <w:lang w:eastAsia="zh-CN"/>
        </w:rPr>
      </w:pPr>
      <w:r>
        <w:rPr>
          <w:rFonts w:hint="eastAsia" w:ascii="Times New Roman" w:hAnsi="Times New Roman" w:cs="Times New Roman"/>
          <w:b w:val="0"/>
          <w:bCs w:val="0"/>
          <w:color w:val="auto"/>
          <w:highlight w:val="none"/>
          <w:lang w:eastAsia="zh-CN"/>
        </w:rPr>
        <w:t>中心城区功能区生态保护主要方向与措施：推进生态城市建设，改善生态人居，建设生态文明，弘扬生态文化；合理规划布局城市功能组团，完善城市功能；以循环经济理念指导产业发展，加快产业结构调整，推广应用清洁能源，提高资源利用效率；加强城市园林绿地系统建设，保护城市自然植被、水域；深化城市环境综合整治，加快城市环保设施建设；加快公共交通建设，控制机动车尾气排放，减少环境污染。</w:t>
      </w:r>
    </w:p>
    <w:p w14:paraId="33FD04C9">
      <w:pPr>
        <w:pStyle w:val="410"/>
        <w:rPr>
          <w:rFonts w:hint="eastAsia" w:ascii="Times New Roman" w:hAnsi="Times New Roman" w:cs="Times New Roman"/>
          <w:b w:val="0"/>
          <w:bCs w:val="0"/>
          <w:color w:val="auto"/>
          <w:highlight w:val="none"/>
          <w:lang w:eastAsia="zh-CN"/>
        </w:rPr>
      </w:pPr>
      <w:r>
        <w:rPr>
          <w:rFonts w:hint="eastAsia" w:ascii="Times New Roman" w:hAnsi="Times New Roman" w:cs="Times New Roman"/>
          <w:b w:val="0"/>
          <w:bCs w:val="0"/>
          <w:color w:val="auto"/>
          <w:highlight w:val="none"/>
          <w:lang w:eastAsia="zh-CN"/>
        </w:rPr>
        <w:t>本项目为防洪除涝工程，主要建设内容包括排水工程、挡土墙工程、涵洞工程及土方工程等，项目建设进一步完善区域排水体系，促进人水和谐相处，推进生态城市建设，改善生态人居，项目建设符合《广西壮族自治区生态功能区划》。</w:t>
      </w:r>
    </w:p>
    <w:p w14:paraId="3ABF9B06">
      <w:pPr>
        <w:pStyle w:val="5"/>
        <w:bidi w:val="0"/>
        <w:ind w:left="452" w:leftChars="0" w:firstLine="0" w:firstLineChars="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项目与《中华人民共和国河道管理条例》</w:t>
      </w:r>
      <w:r>
        <w:rPr>
          <w:rFonts w:hint="eastAsia" w:cs="Times New Roman"/>
          <w:b/>
          <w:bCs/>
          <w:color w:val="auto"/>
          <w:highlight w:val="none"/>
          <w:lang w:val="en-US" w:eastAsia="zh-CN"/>
        </w:rPr>
        <w:t>及《</w:t>
      </w:r>
      <w:r>
        <w:rPr>
          <w:rFonts w:hint="eastAsia"/>
          <w:color w:val="auto"/>
          <w:sz w:val="28"/>
          <w:szCs w:val="32"/>
          <w:highlight w:val="none"/>
          <w:lang w:val="en-US" w:eastAsia="zh-CN"/>
        </w:rPr>
        <w:t>广西壮族自治区河道管理条例</w:t>
      </w:r>
      <w:r>
        <w:rPr>
          <w:rFonts w:hint="eastAsia" w:cs="Times New Roman"/>
          <w:b/>
          <w:bCs/>
          <w:color w:val="auto"/>
          <w:highlight w:val="none"/>
          <w:lang w:val="en-US" w:eastAsia="zh-CN"/>
        </w:rPr>
        <w:t>》</w:t>
      </w:r>
      <w:r>
        <w:rPr>
          <w:rFonts w:hint="eastAsia" w:ascii="Times New Roman" w:hAnsi="Times New Roman" w:eastAsia="宋体" w:cs="Times New Roman"/>
          <w:b/>
          <w:bCs/>
          <w:color w:val="auto"/>
          <w:highlight w:val="none"/>
          <w:lang w:val="en-US" w:eastAsia="zh-CN"/>
        </w:rPr>
        <w:t>相符性分析</w:t>
      </w:r>
    </w:p>
    <w:p w14:paraId="1E9CC1D0">
      <w:pPr>
        <w:pStyle w:val="410"/>
        <w:rPr>
          <w:rFonts w:hint="eastAsia" w:ascii="Times New Roman"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《中华人民共和国河道管理条例》</w:t>
      </w:r>
      <w:r>
        <w:rPr>
          <w:rFonts w:hint="eastAsia" w:ascii="Times New Roman" w:cs="Times New Roman"/>
          <w:b w:val="0"/>
          <w:bCs w:val="0"/>
          <w:color w:val="auto"/>
          <w:highlight w:val="none"/>
          <w:lang w:val="en-US" w:eastAsia="zh-CN"/>
        </w:rPr>
        <w:t>中提出：</w:t>
      </w:r>
    </w:p>
    <w:p w14:paraId="4BC31BC9">
      <w:pPr>
        <w:pStyle w:val="410"/>
        <w:rPr>
          <w:rFonts w:hint="eastAsia" w:ascii="Times New Roman" w:hAnsi="Times New Roman" w:eastAsia="宋体" w:cs="Times New Roman"/>
          <w:b w:val="0"/>
          <w:bCs w:val="0"/>
          <w:color w:val="auto"/>
          <w:highlight w:val="none"/>
          <w:lang w:eastAsia="zh-CN"/>
        </w:rPr>
      </w:pPr>
      <w:r>
        <w:rPr>
          <w:rFonts w:hint="eastAsia" w:ascii="Times New Roman" w:hAnsi="Times New Roman" w:eastAsia="宋体" w:cs="Times New Roman"/>
          <w:b w:val="0"/>
          <w:bCs w:val="0"/>
          <w:color w:val="auto"/>
          <w:highlight w:val="none"/>
          <w:lang w:val="en-US" w:eastAsia="zh-CN"/>
        </w:rPr>
        <w:t xml:space="preserve">第二十四条在河道管理范围内，禁止修建围堤、阻水渠道、阻水道路；种植高杆农作物、芦苇、杞柳、荻柴和树木（堤防防护林除外）；设置拦河渔具；弃置矿渣、石渣、煤灰、泥土、垃圾等。在堤防和护堤地，禁止建房、放牧、开渠、打井、挖窖、葬坟、晒粮、存放物料、开采地下资源、进行考古发掘以及开展集市贸易活动。 </w:t>
      </w:r>
    </w:p>
    <w:p w14:paraId="6A51C186">
      <w:pPr>
        <w:pStyle w:val="410"/>
        <w:rPr>
          <w:rFonts w:hint="eastAsia" w:ascii="Times New Roman" w:hAnsi="Times New Roman" w:eastAsia="宋体" w:cs="Times New Roman"/>
          <w:b w:val="0"/>
          <w:bCs w:val="0"/>
          <w:color w:val="auto"/>
          <w:highlight w:val="none"/>
          <w:lang w:eastAsia="zh-CN"/>
        </w:rPr>
      </w:pPr>
      <w:r>
        <w:rPr>
          <w:rFonts w:hint="eastAsia" w:ascii="Times New Roman" w:hAnsi="Times New Roman" w:eastAsia="宋体" w:cs="Times New Roman"/>
          <w:b w:val="0"/>
          <w:bCs w:val="0"/>
          <w:color w:val="auto"/>
          <w:highlight w:val="none"/>
          <w:lang w:val="en-US" w:eastAsia="zh-CN"/>
        </w:rPr>
        <w:t xml:space="preserve">第二十八条加强河道滩地、堤防和河岸的水土保持工作，防止水土流失、河道淤积。 </w:t>
      </w:r>
    </w:p>
    <w:p w14:paraId="0AA2642B">
      <w:pPr>
        <w:pStyle w:val="410"/>
        <w:rPr>
          <w:rFonts w:hint="eastAsia" w:ascii="Times New Roman" w:hAnsi="Times New Roman" w:eastAsia="宋体" w:cs="Times New Roman"/>
          <w:b w:val="0"/>
          <w:bCs w:val="0"/>
          <w:color w:val="auto"/>
          <w:highlight w:val="none"/>
          <w:lang w:eastAsia="zh-CN"/>
        </w:rPr>
      </w:pPr>
      <w:r>
        <w:rPr>
          <w:rFonts w:hint="eastAsia" w:ascii="Times New Roman" w:hAnsi="Times New Roman" w:eastAsia="宋体" w:cs="Times New Roman"/>
          <w:b w:val="0"/>
          <w:bCs w:val="0"/>
          <w:color w:val="auto"/>
          <w:highlight w:val="none"/>
          <w:lang w:val="en-US" w:eastAsia="zh-CN"/>
        </w:rPr>
        <w:t>第三十五条在河道管理范围内，禁止堆放、倾倒、掩埋、排放污染水体的物体。禁 止在河道内清洗装贮过油类或者有毒污染物的车辆、容器。</w:t>
      </w:r>
    </w:p>
    <w:p w14:paraId="73A985C8">
      <w:pPr>
        <w:pStyle w:val="410"/>
        <w:rPr>
          <w:rFonts w:hint="default" w:ascii="Times New Roman" w:cs="Times New Roman"/>
          <w:b w:val="0"/>
          <w:bCs w:val="0"/>
          <w:color w:val="auto"/>
          <w:highlight w:val="none"/>
          <w:lang w:val="en-US" w:eastAsia="zh-CN"/>
        </w:rPr>
      </w:pPr>
      <w:r>
        <w:rPr>
          <w:rFonts w:hint="eastAsia" w:ascii="Times New Roman" w:cs="Times New Roman"/>
          <w:b w:val="0"/>
          <w:bCs w:val="0"/>
          <w:color w:val="auto"/>
          <w:highlight w:val="none"/>
          <w:lang w:val="en-US" w:eastAsia="zh-CN"/>
        </w:rPr>
        <w:t>本项目是以区域排水防洪为主要任务的防洪除涝工程，项目水系改造可减缓水土流失与河道淤积，维护生态环境功能，与《中华人民共和国河道管理条例》中河道管理目标相符。施工期间加强教育，严禁向河道内倾倒开挖的土石方，土石方全部综合回填，不在河道内清洗施工机械设备等，不涉及条例中所列的禁止事项。</w:t>
      </w:r>
    </w:p>
    <w:p w14:paraId="297F8571">
      <w:pPr>
        <w:pStyle w:val="410"/>
        <w:rPr>
          <w:rFonts w:hint="eastAsia"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《广西壮族自治区河道管理规定》中提出：</w:t>
      </w:r>
    </w:p>
    <w:p w14:paraId="7C54946F">
      <w:pPr>
        <w:pStyle w:val="410"/>
        <w:rPr>
          <w:rFonts w:hint="eastAsia"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第十条禁止擅自填堵河道。确因建设需要填堵河道的，建设单位应当委托具有相应资质的水利规划设计单位进行规划论证，并报县级以上人民政府批准。</w:t>
      </w:r>
    </w:p>
    <w:p w14:paraId="18213974">
      <w:pPr>
        <w:pStyle w:val="410"/>
        <w:rPr>
          <w:rFonts w:hint="eastAsia"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第十六条对淤积严重、影响防洪排涝的河道，河道主管机关应当制定河道整治应急方案，并优先安排整治工程。</w:t>
      </w:r>
    </w:p>
    <w:p w14:paraId="78EFEB24">
      <w:pPr>
        <w:pStyle w:val="410"/>
        <w:rPr>
          <w:rFonts w:hint="eastAsia"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第十八条在河道管理范围内建设坑道、取水口、排水（污）口、采砂场、临时仓库等工程设施，应当符合防洪标准、岸线规划、水质要求、航运要求和其他技术要求，不得危害堤防安全、影响河势稳定、妨碍行洪畅通、污染江河水质。</w:t>
      </w:r>
    </w:p>
    <w:p w14:paraId="1A8417D8">
      <w:pPr>
        <w:pStyle w:val="410"/>
        <w:rPr>
          <w:rFonts w:hint="eastAsia" w:ascii="Times New Roman" w:hAnsi="Times New Roman" w:eastAsia="宋体" w:cs="Times New Roman"/>
          <w:b w:val="0"/>
          <w:bCs w:val="0"/>
          <w:color w:val="auto"/>
          <w:highlight w:val="none"/>
          <w:lang w:val="en-US" w:eastAsia="zh-CN"/>
        </w:rPr>
      </w:pPr>
      <w:r>
        <w:rPr>
          <w:rFonts w:hint="eastAsia" w:ascii="Times New Roman" w:cs="Times New Roman"/>
          <w:b w:val="0"/>
          <w:bCs w:val="0"/>
          <w:color w:val="auto"/>
          <w:highlight w:val="none"/>
          <w:lang w:val="en-US" w:eastAsia="zh-CN"/>
        </w:rPr>
        <w:t>本工程城市更新项目建设服务于金窝水库的排水水系改造段主要用于企山水库 50 年一遇泄洪，水系改造段拟建土堤护岸、挡土墙、临时排水沟等，可有效维护岸坡稳定，提高河道行洪能力。施工期无施工废水排放入河，水系改造开挖的淤泥临时贮存于临时中转场内，采用密目网覆盖措施防止水土流失以及扬尘，不影响河势稳定，不在河道内堆存，无土石方排弃入河不污染河道水质，施工结束后对临时占地进行植被恢复，恢复其原有功能。项目的建设与《广西壮族自治区河道管理规定》相符。</w:t>
      </w:r>
    </w:p>
    <w:p w14:paraId="57F8BC48">
      <w:pPr>
        <w:pStyle w:val="4"/>
        <w:bidi w:val="0"/>
        <w:ind w:left="678" w:leftChars="0" w:firstLine="0" w:firstLineChars="0"/>
        <w:rPr>
          <w:rFonts w:hint="default"/>
          <w:color w:val="auto"/>
          <w:highlight w:val="none"/>
        </w:rPr>
      </w:pPr>
      <w:bookmarkStart w:id="36" w:name="_Toc23280"/>
      <w:r>
        <w:rPr>
          <w:rFonts w:hint="default"/>
          <w:color w:val="auto"/>
          <w:highlight w:val="none"/>
        </w:rPr>
        <w:t>评价重点和方法</w:t>
      </w:r>
      <w:bookmarkEnd w:id="36"/>
    </w:p>
    <w:p w14:paraId="56664C4B">
      <w:pPr>
        <w:pStyle w:val="5"/>
        <w:bidi w:val="0"/>
        <w:ind w:left="452" w:leftChars="0" w:firstLine="0" w:firstLineChars="0"/>
        <w:rPr>
          <w:rFonts w:hint="default"/>
          <w:color w:val="auto"/>
          <w:highlight w:val="none"/>
        </w:rPr>
      </w:pPr>
      <w:r>
        <w:rPr>
          <w:rFonts w:hint="default"/>
          <w:color w:val="auto"/>
          <w:highlight w:val="none"/>
        </w:rPr>
        <w:t>评价重点</w:t>
      </w:r>
    </w:p>
    <w:p w14:paraId="6F0C2E7A">
      <w:pPr>
        <w:pStyle w:val="41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lang w:val="en-US" w:eastAsia="zh-CN"/>
        </w:rPr>
        <w:t>本工程为防洪治涝工程，其环境负效益主要发生在施工期，环境正效益主要体现在运行期，正效益主要在于工程建成后对当地的社会经济效益及环境效益。本次环境影响评价关注的主要环境问题为项目施工期扬尘、废水、施工噪声、固体废物处置情况；项目建成后对淡水湾江</w:t>
      </w:r>
      <w:r>
        <w:rPr>
          <w:rFonts w:hint="eastAsia"/>
          <w:color w:val="auto"/>
          <w:highlight w:val="none"/>
          <w:lang w:val="en-US" w:eastAsia="zh-CN"/>
        </w:rPr>
        <w:t>生态环境的</w:t>
      </w:r>
      <w:r>
        <w:rPr>
          <w:rFonts w:hint="default" w:ascii="Times New Roman" w:hAnsi="Times New Roman" w:eastAsia="宋体" w:cs="Times New Roman"/>
          <w:color w:val="auto"/>
          <w:highlight w:val="none"/>
          <w:lang w:val="en-US" w:eastAsia="zh-CN"/>
        </w:rPr>
        <w:t>影响。</w:t>
      </w:r>
    </w:p>
    <w:p w14:paraId="070BF509">
      <w:pPr>
        <w:pStyle w:val="5"/>
        <w:bidi w:val="0"/>
        <w:ind w:left="452" w:leftChars="0" w:firstLine="0" w:firstLineChars="0"/>
        <w:rPr>
          <w:rFonts w:hint="default"/>
          <w:color w:val="auto"/>
          <w:highlight w:val="none"/>
        </w:rPr>
      </w:pPr>
      <w:r>
        <w:rPr>
          <w:rFonts w:hint="default"/>
          <w:color w:val="auto"/>
          <w:highlight w:val="none"/>
        </w:rPr>
        <w:t>评价方法</w:t>
      </w:r>
    </w:p>
    <w:p w14:paraId="10517E47">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将工程项目分为施工期和运营期分别进行评价，分别计算相关污染物的源强，并进行影响预测。以国家环境保护</w:t>
      </w:r>
      <w:r>
        <w:rPr>
          <w:rFonts w:hint="default" w:ascii="Times New Roman" w:hAnsi="Times New Roman" w:cs="Times New Roman"/>
          <w:color w:val="auto"/>
          <w:highlight w:val="none"/>
          <w:lang w:eastAsia="zh-CN"/>
        </w:rPr>
        <w:t>法律法规</w:t>
      </w:r>
      <w:r>
        <w:rPr>
          <w:rFonts w:hint="default" w:ascii="Times New Roman" w:hAnsi="Times New Roman" w:cs="Times New Roman"/>
          <w:color w:val="auto"/>
          <w:highlight w:val="none"/>
        </w:rPr>
        <w:t>为依据，以国家环保局颁布的有关环评导则为</w:t>
      </w:r>
      <w:r>
        <w:rPr>
          <w:rFonts w:hint="default" w:ascii="Times New Roman" w:hAnsi="Times New Roman" w:cs="Times New Roman"/>
          <w:color w:val="auto"/>
          <w:highlight w:val="none"/>
          <w:lang w:eastAsia="zh-CN"/>
        </w:rPr>
        <w:t>指导</w:t>
      </w:r>
      <w:r>
        <w:rPr>
          <w:rFonts w:hint="default" w:ascii="Times New Roman" w:hAnsi="Times New Roman" w:cs="Times New Roman"/>
          <w:color w:val="auto"/>
          <w:highlight w:val="none"/>
        </w:rPr>
        <w:t>，在明确服务于拟建项目的基础上，结合项目特点，充分利用已有资料，补充必要的现状监测，并结合该项目工程设计和预测数据，预测项目的实施对环境的影响，最后从方案合理、技术可行的角度提出相应的环保措施与建议。</w:t>
      </w:r>
    </w:p>
    <w:p w14:paraId="529AA567">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（1）现状评价采用现场监测、调研统计分析等方法；</w:t>
      </w:r>
    </w:p>
    <w:p w14:paraId="1B40B32D">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（2）调查环境现状及其成因；预测环境影响；以清洁生产、环境影响综合防治和可持续发展为原则制订环保对策并反馈设计。</w:t>
      </w:r>
    </w:p>
    <w:p w14:paraId="2C757A7C">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（3）具体对水环境、环境空气、环境噪声、</w:t>
      </w:r>
      <w:r>
        <w:rPr>
          <w:rFonts w:hint="default" w:ascii="Times New Roman" w:hAnsi="Times New Roman" w:cs="Times New Roman"/>
          <w:color w:val="auto"/>
          <w:highlight w:val="none"/>
          <w:lang w:eastAsia="zh-CN"/>
        </w:rPr>
        <w:t>地下水环境、</w:t>
      </w:r>
      <w:r>
        <w:rPr>
          <w:rFonts w:hint="default" w:ascii="Times New Roman" w:hAnsi="Times New Roman" w:cs="Times New Roman"/>
          <w:color w:val="auto"/>
          <w:highlight w:val="none"/>
        </w:rPr>
        <w:t>风险评价采用模式计算和类比分析法进行预测评价；对生态环境采用调研分析及类比分析法。</w:t>
      </w:r>
    </w:p>
    <w:p w14:paraId="5E2193D2">
      <w:pPr>
        <w:pStyle w:val="4"/>
        <w:bidi w:val="0"/>
        <w:ind w:left="678" w:leftChars="0" w:firstLine="0" w:firstLineChars="0"/>
        <w:rPr>
          <w:rFonts w:hint="default"/>
          <w:color w:val="auto"/>
          <w:highlight w:val="none"/>
        </w:rPr>
      </w:pPr>
      <w:bookmarkStart w:id="37" w:name="_Toc7814"/>
      <w:r>
        <w:rPr>
          <w:rFonts w:hint="default"/>
          <w:color w:val="auto"/>
          <w:highlight w:val="none"/>
        </w:rPr>
        <w:t>评价工作程序</w:t>
      </w:r>
      <w:bookmarkEnd w:id="37"/>
    </w:p>
    <w:p w14:paraId="4BB5F662">
      <w:pPr>
        <w:pStyle w:val="410"/>
        <w:rPr>
          <w:rFonts w:hint="eastAsia"/>
          <w:color w:val="auto"/>
          <w:highlight w:val="none"/>
          <w:lang w:eastAsia="zh-CN"/>
        </w:rPr>
      </w:pPr>
      <w:r>
        <w:rPr>
          <w:rFonts w:hint="eastAsia"/>
          <w:color w:val="auto"/>
          <w:highlight w:val="none"/>
          <w:lang w:eastAsia="zh-CN"/>
        </w:rPr>
        <w:t>项目环境影响评价工作分为三个阶段，即前期准备、调研和工作方案阶段，分析论证和预测评价阶段，环境影响评价文件编制阶段，具体流程详见下图。</w:t>
      </w:r>
    </w:p>
    <w:p w14:paraId="1137CE8F">
      <w:pPr>
        <w:ind w:firstLine="454" w:firstLineChars="200"/>
        <w:rPr>
          <w:rFonts w:hint="default" w:ascii="Times New Roman" w:hAnsi="Times New Roman" w:eastAsia="宋体" w:cs="Times New Roman"/>
          <w:color w:val="auto"/>
          <w:sz w:val="24"/>
          <w:szCs w:val="24"/>
          <w:highlight w:val="none"/>
        </w:rPr>
      </w:pPr>
      <w:r>
        <w:rPr>
          <w:rFonts w:hint="eastAsia" w:ascii="Times New Roman" w:cs="Times New Roman"/>
          <w:color w:val="auto"/>
          <w:sz w:val="24"/>
          <w:szCs w:val="24"/>
          <w:highlight w:val="none"/>
          <w:lang w:val="en-US" w:eastAsia="zh-CN"/>
        </w:rPr>
        <w:t>2024</w:t>
      </w:r>
      <w:r>
        <w:rPr>
          <w:rFonts w:hint="default" w:ascii="Times New Roman" w:hAnsi="Times New Roman" w:eastAsia="宋体" w:cs="Times New Roman"/>
          <w:color w:val="auto"/>
          <w:sz w:val="24"/>
          <w:szCs w:val="24"/>
          <w:highlight w:val="none"/>
        </w:rPr>
        <w:t>年</w:t>
      </w:r>
      <w:r>
        <w:rPr>
          <w:rFonts w:hint="eastAsia" w:ascii="Times New Roman"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月，建设单位委托我公司承担本项目的环境影响评价工作（委托书详见附件1），工程评价内容主要</w:t>
      </w:r>
      <w:r>
        <w:rPr>
          <w:rFonts w:hint="default" w:ascii="Times New Roman" w:hAnsi="Times New Roman" w:eastAsia="宋体" w:cs="Times New Roman"/>
          <w:color w:val="auto"/>
          <w:sz w:val="24"/>
          <w:szCs w:val="24"/>
          <w:highlight w:val="none"/>
          <w:lang w:val="en-US" w:eastAsia="zh-CN"/>
        </w:rPr>
        <w:t>有锦绣大道排水改造工程、城市更新项目建设服务于金窝水库的排水水系改造工程、钦州港路排水工程</w:t>
      </w:r>
      <w:r>
        <w:rPr>
          <w:rFonts w:hint="default" w:ascii="Times New Roman" w:hAnsi="Times New Roman" w:eastAsia="宋体" w:cs="Times New Roman"/>
          <w:color w:val="auto"/>
          <w:sz w:val="24"/>
          <w:szCs w:val="24"/>
          <w:highlight w:val="none"/>
        </w:rPr>
        <w:t>等附属工程。我公司接受委托后，环评工作组成员对项目场址及周边环境敏感目标及污染源进行了现场调查，并同步开展公众参与调查。通过现场调查、相关部门咨询及资料收集和分析，结合项目排污特征及周边环境敏感点、污染源分布及相关规划情况，环评单位确定了本次环境影响评价工作等级，在此基础上</w:t>
      </w:r>
      <w:r>
        <w:rPr>
          <w:rFonts w:hint="default" w:ascii="Times New Roman" w:hAnsi="Times New Roman" w:eastAsia="宋体" w:cs="Times New Roman"/>
          <w:color w:val="auto"/>
          <w:sz w:val="24"/>
          <w:szCs w:val="24"/>
          <w:highlight w:val="none"/>
          <w:lang w:eastAsia="zh-CN"/>
        </w:rPr>
        <w:t>制定</w:t>
      </w:r>
      <w:r>
        <w:rPr>
          <w:rFonts w:hint="default" w:ascii="Times New Roman" w:hAnsi="Times New Roman" w:eastAsia="宋体" w:cs="Times New Roman"/>
          <w:color w:val="auto"/>
          <w:sz w:val="24"/>
          <w:szCs w:val="24"/>
          <w:highlight w:val="none"/>
        </w:rPr>
        <w:t>了项目环境质量现状监测方案并委托</w:t>
      </w:r>
      <w:r>
        <w:rPr>
          <w:rFonts w:hint="default" w:ascii="Times New Roman" w:hAnsi="Times New Roman" w:eastAsia="宋体" w:cs="Times New Roman"/>
          <w:color w:val="auto"/>
          <w:sz w:val="24"/>
          <w:szCs w:val="24"/>
          <w:highlight w:val="none"/>
          <w:lang w:eastAsia="zh-CN"/>
        </w:rPr>
        <w:t>广西恒沁检测科技有限公司</w:t>
      </w:r>
      <w:r>
        <w:rPr>
          <w:rFonts w:hint="default" w:ascii="Times New Roman" w:hAnsi="Times New Roman" w:eastAsia="宋体" w:cs="Times New Roman"/>
          <w:color w:val="auto"/>
          <w:sz w:val="24"/>
          <w:szCs w:val="24"/>
          <w:highlight w:val="none"/>
        </w:rPr>
        <w:t>进行现场监测，</w:t>
      </w:r>
      <w:r>
        <w:rPr>
          <w:rFonts w:hint="default" w:ascii="Times New Roman" w:hAnsi="Times New Roman" w:eastAsia="宋体" w:cs="Times New Roman"/>
          <w:color w:val="auto"/>
          <w:sz w:val="24"/>
          <w:szCs w:val="24"/>
          <w:highlight w:val="none"/>
          <w:lang w:eastAsia="zh-CN"/>
        </w:rPr>
        <w:t>获得</w:t>
      </w:r>
      <w:r>
        <w:rPr>
          <w:rFonts w:hint="default" w:ascii="Times New Roman" w:hAnsi="Times New Roman" w:eastAsia="宋体" w:cs="Times New Roman"/>
          <w:color w:val="auto"/>
          <w:sz w:val="24"/>
          <w:szCs w:val="24"/>
          <w:highlight w:val="none"/>
        </w:rPr>
        <w:t>区域环境质量现状数据。</w:t>
      </w:r>
    </w:p>
    <w:p w14:paraId="2DB4D636">
      <w:pPr>
        <w:pStyle w:val="410"/>
        <w:rPr>
          <w:rFonts w:hint="eastAsia"/>
          <w:color w:val="auto"/>
          <w:highlight w:val="none"/>
          <w:lang w:eastAsia="zh-CN"/>
        </w:rPr>
      </w:pPr>
      <w:r>
        <w:rPr>
          <w:rFonts w:hint="default" w:ascii="Times New Roman" w:hAnsi="Times New Roman" w:eastAsia="宋体" w:cs="Times New Roman"/>
          <w:color w:val="auto"/>
          <w:sz w:val="24"/>
          <w:szCs w:val="24"/>
          <w:highlight w:val="none"/>
        </w:rPr>
        <w:t>在现场踏勘及调查、环境质量现状监测、公众参与调查的基础上，结合本工程的实际情况，环评单位根据环境影响评价有关技术导则、规范进行了环境影响预测及评价，制定了相应的环境保护措施，编制完成了《</w:t>
      </w:r>
      <w:r>
        <w:rPr>
          <w:rFonts w:hint="default" w:ascii="Times New Roman" w:hAnsi="Times New Roman" w:eastAsia="宋体" w:cs="Times New Roman"/>
          <w:color w:val="auto"/>
          <w:sz w:val="24"/>
          <w:szCs w:val="24"/>
          <w:highlight w:val="none"/>
          <w:lang w:eastAsia="zh-CN"/>
        </w:rPr>
        <w:t>钦州港新型城乡融合发展示范区（自贸新城）排水改造工程</w:t>
      </w:r>
      <w:r>
        <w:rPr>
          <w:rFonts w:hint="default" w:ascii="Times New Roman" w:hAnsi="Times New Roman" w:eastAsia="宋体" w:cs="Times New Roman"/>
          <w:color w:val="auto"/>
          <w:sz w:val="24"/>
          <w:szCs w:val="24"/>
          <w:highlight w:val="none"/>
        </w:rPr>
        <w:t>环境影响报告书》。</w:t>
      </w:r>
    </w:p>
    <w:p w14:paraId="73B820C1">
      <w:pPr>
        <w:pStyle w:val="328"/>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431155" cy="6440805"/>
            <wp:effectExtent l="0" t="0" r="17145" b="17145"/>
            <wp:docPr id="33"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0"/>
                    <pic:cNvPicPr>
                      <a:picLocks noChangeAspect="1"/>
                    </pic:cNvPicPr>
                  </pic:nvPicPr>
                  <pic:blipFill>
                    <a:blip r:embed="rId24"/>
                    <a:stretch>
                      <a:fillRect/>
                    </a:stretch>
                  </pic:blipFill>
                  <pic:spPr>
                    <a:xfrm>
                      <a:off x="0" y="0"/>
                      <a:ext cx="5431155" cy="6440805"/>
                    </a:xfrm>
                    <a:prstGeom prst="rect">
                      <a:avLst/>
                    </a:prstGeom>
                    <a:noFill/>
                    <a:ln>
                      <a:noFill/>
                    </a:ln>
                  </pic:spPr>
                </pic:pic>
              </a:graphicData>
            </a:graphic>
          </wp:inline>
        </w:drawing>
      </w:r>
    </w:p>
    <w:p w14:paraId="3B821B5F">
      <w:pPr>
        <w:pStyle w:val="588"/>
        <w:bidi w:val="0"/>
        <w:ind w:left="0" w:leftChars="0" w:firstLine="0" w:firstLineChars="0"/>
        <w:rPr>
          <w:rFonts w:hint="default"/>
          <w:color w:val="auto"/>
          <w:highlight w:val="none"/>
        </w:rPr>
      </w:pPr>
      <w:r>
        <w:rPr>
          <w:rFonts w:hint="default"/>
          <w:color w:val="auto"/>
          <w:highlight w:val="none"/>
        </w:rPr>
        <w:t>评价工作程序图</w:t>
      </w:r>
    </w:p>
    <w:p w14:paraId="62C7960A">
      <w:pPr>
        <w:pStyle w:val="410"/>
        <w:rPr>
          <w:rFonts w:hint="default" w:ascii="Times New Roman" w:hAnsi="Times New Roman" w:cs="Times New Roman"/>
          <w:color w:val="auto"/>
          <w:highlight w:val="none"/>
        </w:rPr>
        <w:sectPr>
          <w:footerReference r:id="rId9" w:type="default"/>
          <w:pgSz w:w="11906" w:h="16838"/>
          <w:pgMar w:top="1418" w:right="1514" w:bottom="1418" w:left="1780" w:header="737" w:footer="992" w:gutter="0"/>
          <w:cols w:space="720" w:num="1"/>
          <w:docGrid w:type="linesAndChars" w:linePitch="466" w:charSpace="-2738"/>
        </w:sectPr>
      </w:pPr>
    </w:p>
    <w:p w14:paraId="07FF8BFA">
      <w:pPr>
        <w:pStyle w:val="3"/>
        <w:bidi w:val="0"/>
        <w:ind w:left="425" w:leftChars="0" w:hanging="425" w:firstLineChars="0"/>
        <w:rPr>
          <w:rFonts w:hint="default"/>
          <w:color w:val="auto"/>
          <w:highlight w:val="none"/>
        </w:rPr>
      </w:pPr>
      <w:bookmarkStart w:id="38" w:name="_Toc195236111"/>
      <w:bookmarkStart w:id="39" w:name="_Toc26098"/>
      <w:r>
        <w:rPr>
          <w:rFonts w:hint="default"/>
          <w:color w:val="auto"/>
          <w:highlight w:val="none"/>
        </w:rPr>
        <w:t>工程概况</w:t>
      </w:r>
      <w:bookmarkEnd w:id="38"/>
      <w:r>
        <w:rPr>
          <w:rFonts w:hint="default"/>
          <w:color w:val="auto"/>
          <w:highlight w:val="none"/>
        </w:rPr>
        <w:t>与工程分析</w:t>
      </w:r>
      <w:bookmarkEnd w:id="39"/>
    </w:p>
    <w:p w14:paraId="1D7310B8">
      <w:pPr>
        <w:pStyle w:val="4"/>
        <w:bidi w:val="0"/>
        <w:ind w:left="678" w:leftChars="0" w:firstLine="0" w:firstLineChars="0"/>
        <w:rPr>
          <w:rFonts w:hint="default"/>
          <w:color w:val="auto"/>
          <w:highlight w:val="none"/>
        </w:rPr>
      </w:pPr>
      <w:bookmarkStart w:id="40" w:name="_Toc343"/>
      <w:r>
        <w:rPr>
          <w:rFonts w:hint="default"/>
          <w:color w:val="auto"/>
          <w:highlight w:val="none"/>
          <w:lang w:eastAsia="zh-CN"/>
        </w:rPr>
        <w:t>区域场地及管网现状</w:t>
      </w:r>
      <w:bookmarkEnd w:id="40"/>
    </w:p>
    <w:p w14:paraId="16AC556A">
      <w:pPr>
        <w:pStyle w:val="693"/>
        <w:ind w:firstLine="455"/>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1、场地现状</w:t>
      </w:r>
    </w:p>
    <w:p w14:paraId="0EA3745A">
      <w:pPr>
        <w:pStyle w:val="410"/>
        <w:rPr>
          <w:rFonts w:hint="default" w:ascii="Times New Roman" w:hAnsi="Times New Roman" w:cs="Times New Roman"/>
          <w:color w:val="auto"/>
          <w:highlight w:val="none"/>
          <w:lang w:eastAsia="zh-CN"/>
        </w:rPr>
      </w:pPr>
      <w:r>
        <w:rPr>
          <w:rFonts w:hint="default" w:ascii="Times New Roman" w:hAnsi="Times New Roman" w:cs="Times New Roman"/>
          <w:b/>
          <w:bCs/>
          <w:color w:val="auto"/>
          <w:highlight w:val="none"/>
          <w:lang w:val="en-US" w:eastAsia="zh-CN"/>
        </w:rPr>
        <w:t>锦绣大道排水改造段：</w:t>
      </w:r>
      <w:r>
        <w:rPr>
          <w:rFonts w:hint="default" w:ascii="Times New Roman" w:hAnsi="Times New Roman" w:cs="Times New Roman"/>
          <w:color w:val="auto"/>
          <w:highlight w:val="none"/>
          <w:lang w:eastAsia="zh-CN"/>
        </w:rPr>
        <w:t>锦绣大道北段（金鼓外环路至乐业大街段）现状机动车道和非机动车道大部分已建成通车。但由于征地拆迁等原因，锦绣大道（细垌环村段）西侧非机动车道和人行道未能实施建设，该</w:t>
      </w:r>
      <w:r>
        <w:rPr>
          <w:rFonts w:hint="eastAsia" w:ascii="Times New Roman" w:hAnsi="Times New Roman" w:cs="Times New Roman"/>
          <w:color w:val="auto"/>
          <w:highlight w:val="none"/>
          <w:lang w:eastAsia="zh-CN"/>
        </w:rPr>
        <w:t>路段</w:t>
      </w:r>
      <w:r>
        <w:rPr>
          <w:rFonts w:hint="default" w:ascii="Times New Roman" w:hAnsi="Times New Roman" w:cs="Times New Roman"/>
          <w:color w:val="auto"/>
          <w:highlight w:val="none"/>
          <w:lang w:eastAsia="zh-CN"/>
        </w:rPr>
        <w:t>的雨水管也未能连接两端敷设，导致雨天上游雨水管雨水流至</w:t>
      </w:r>
      <w:r>
        <w:rPr>
          <w:rFonts w:hint="eastAsia" w:ascii="Times New Roman" w:hAnsi="Times New Roman" w:cs="Times New Roman"/>
          <w:color w:val="auto"/>
          <w:highlight w:val="none"/>
          <w:lang w:eastAsia="zh-CN"/>
        </w:rPr>
        <w:t>该路段后漫流</w:t>
      </w:r>
      <w:r>
        <w:rPr>
          <w:rFonts w:hint="default" w:ascii="Times New Roman" w:hAnsi="Times New Roman" w:cs="Times New Roman"/>
          <w:color w:val="auto"/>
          <w:highlight w:val="none"/>
          <w:lang w:eastAsia="zh-CN"/>
        </w:rPr>
        <w:t>入细垌环村，给周边居民带来极大不便，因此需要接通该段雨水管，确保路面排水通畅。</w:t>
      </w:r>
    </w:p>
    <w:p w14:paraId="055F1E7E">
      <w:pPr>
        <w:pStyle w:val="410"/>
        <w:rPr>
          <w:rFonts w:hint="default" w:ascii="Times New Roman" w:hAnsi="Times New Roman" w:cs="Times New Roman"/>
          <w:color w:val="auto"/>
          <w:highlight w:val="none"/>
          <w:lang w:eastAsia="zh-CN"/>
        </w:rPr>
      </w:pPr>
      <w:r>
        <w:rPr>
          <w:rFonts w:hint="default" w:ascii="Times New Roman" w:hAnsi="Times New Roman" w:cs="Times New Roman"/>
          <w:b/>
          <w:bCs/>
          <w:color w:val="auto"/>
          <w:highlight w:val="none"/>
        </w:rPr>
        <w:t>钦州港路排水工程</w:t>
      </w:r>
      <w:r>
        <w:rPr>
          <w:rFonts w:hint="default" w:ascii="Times New Roman" w:hAnsi="Times New Roman" w:cs="Times New Roman"/>
          <w:b/>
          <w:bCs/>
          <w:color w:val="auto"/>
          <w:highlight w:val="none"/>
          <w:lang w:eastAsia="zh-CN"/>
        </w:rPr>
        <w:t>：</w:t>
      </w:r>
      <w:r>
        <w:rPr>
          <w:rFonts w:hint="default" w:ascii="Times New Roman" w:hAnsi="Times New Roman" w:cs="Times New Roman"/>
          <w:color w:val="auto"/>
          <w:highlight w:val="none"/>
          <w:lang w:eastAsia="zh-CN"/>
        </w:rPr>
        <w:t>钦州港路现状为水田及水系，起点锦绣大道已建成至乐业大街，终点接入规划</w:t>
      </w:r>
      <w:r>
        <w:rPr>
          <w:rFonts w:hint="eastAsia" w:ascii="Times New Roman" w:cs="Times New Roman"/>
          <w:color w:val="auto"/>
          <w:highlight w:val="none"/>
          <w:lang w:eastAsia="zh-CN"/>
        </w:rPr>
        <w:t>曲绣路</w:t>
      </w:r>
      <w:r>
        <w:rPr>
          <w:rFonts w:hint="default" w:ascii="Times New Roman" w:hAnsi="Times New Roman" w:cs="Times New Roman"/>
          <w:color w:val="auto"/>
          <w:highlight w:val="none"/>
          <w:lang w:eastAsia="zh-CN"/>
        </w:rPr>
        <w:t>。</w:t>
      </w:r>
    </w:p>
    <w:p w14:paraId="6A77188C">
      <w:pPr>
        <w:pStyle w:val="410"/>
        <w:rPr>
          <w:rFonts w:hint="eastAsia" w:ascii="Times New Roman" w:cs="Times New Roman"/>
          <w:color w:val="auto"/>
          <w:highlight w:val="none"/>
          <w:lang w:eastAsia="zh-CN"/>
        </w:rPr>
      </w:pPr>
      <w:r>
        <w:rPr>
          <w:rFonts w:hint="default" w:ascii="Times New Roman" w:hAnsi="Times New Roman" w:cs="Times New Roman"/>
          <w:b/>
          <w:bCs/>
          <w:color w:val="auto"/>
          <w:highlight w:val="none"/>
        </w:rPr>
        <w:t>城市更新项目建设服务于金窝水库的排水水系改造段</w:t>
      </w:r>
      <w:r>
        <w:rPr>
          <w:rFonts w:hint="default" w:ascii="Times New Roman" w:hAnsi="Times New Roman" w:cs="Times New Roman"/>
          <w:b/>
          <w:bCs/>
          <w:color w:val="auto"/>
          <w:highlight w:val="none"/>
          <w:lang w:eastAsia="zh-CN"/>
        </w:rPr>
        <w:t>：</w:t>
      </w:r>
      <w:r>
        <w:rPr>
          <w:rFonts w:hint="default" w:ascii="Times New Roman" w:hAnsi="Times New Roman" w:cs="Times New Roman"/>
          <w:color w:val="auto"/>
          <w:highlight w:val="none"/>
          <w:lang w:eastAsia="zh-CN"/>
        </w:rPr>
        <w:t>自贸新城内有淡水湾江横穿自贸新城，淡水湾江起点为企山水库，经过和谐大街现状4-d2200圆管涵、城市更新项目及鸡墩头项目后，向南排入现状水体</w:t>
      </w:r>
      <w:r>
        <w:rPr>
          <w:rFonts w:hint="eastAsia" w:ascii="Times New Roman" w:hAnsi="Times New Roman" w:cs="Times New Roman"/>
          <w:color w:val="auto"/>
          <w:highlight w:val="none"/>
          <w:lang w:eastAsia="zh-CN"/>
        </w:rPr>
        <w:t>淡水湾江，</w:t>
      </w:r>
      <w:r>
        <w:rPr>
          <w:rFonts w:hint="default" w:ascii="Times New Roman" w:hAnsi="Times New Roman" w:cs="Times New Roman"/>
          <w:color w:val="auto"/>
          <w:highlight w:val="none"/>
          <w:lang w:eastAsia="zh-CN"/>
        </w:rPr>
        <w:t>全长</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eastAsia="zh-CN"/>
        </w:rPr>
        <w:t>.8km，沟深2m，宽度11-90m不等</w:t>
      </w:r>
      <w:r>
        <w:rPr>
          <w:rFonts w:hint="eastAsia" w:ascii="Times New Roman" w:cs="Times New Roman"/>
          <w:color w:val="auto"/>
          <w:highlight w:val="none"/>
          <w:lang w:eastAsia="zh-CN"/>
        </w:rPr>
        <w:t>。</w:t>
      </w:r>
    </w:p>
    <w:p w14:paraId="376D48E0">
      <w:pPr>
        <w:pStyle w:val="410"/>
        <w:rPr>
          <w:rFonts w:hint="default" w:ascii="Times New Roman" w:cs="Times New Roman"/>
          <w:color w:val="auto"/>
          <w:highlight w:val="none"/>
          <w:u w:val="single"/>
          <w:lang w:val="en-US" w:eastAsia="zh-CN"/>
        </w:rPr>
      </w:pPr>
      <w:r>
        <w:rPr>
          <w:rFonts w:hint="eastAsia" w:ascii="Times New Roman" w:cs="Times New Roman"/>
          <w:color w:val="auto"/>
          <w:highlight w:val="none"/>
          <w:u w:val="single"/>
          <w:lang w:val="en-US" w:eastAsia="zh-CN"/>
        </w:rPr>
        <w:t>项目水系改造段起点位于和谐大街</w:t>
      </w:r>
      <w:r>
        <w:rPr>
          <w:rFonts w:hint="default" w:ascii="Times New Roman" w:hAnsi="Times New Roman" w:cs="Times New Roman"/>
          <w:color w:val="auto"/>
          <w:highlight w:val="none"/>
          <w:u w:val="single"/>
          <w:lang w:eastAsia="zh-CN"/>
        </w:rPr>
        <w:t>现状4-d2200圆管涵</w:t>
      </w:r>
      <w:r>
        <w:rPr>
          <w:rFonts w:hint="eastAsia" w:ascii="Times New Roman" w:cs="Times New Roman"/>
          <w:color w:val="auto"/>
          <w:highlight w:val="none"/>
          <w:u w:val="single"/>
          <w:lang w:val="en-US" w:eastAsia="zh-CN"/>
        </w:rPr>
        <w:t>处，终点位于拟建钦州港第三小学地块后，改造段水系两侧现状为耕地，枯水期水系沿现状河槽绕过钦州港第三小学地块后，经过现状农村道路下的涵洞汇入下游水系。丰水期水量增大区域水位增高，水系通过漫流方式流入下游水系，水系改造段两侧耕地被淹没，部分水流漫流过下游农村道路后汇入下游水系。</w:t>
      </w:r>
    </w:p>
    <w:p w14:paraId="7C2BA1E2">
      <w:pPr>
        <w:pStyle w:val="693"/>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baseline"/>
        <w:rPr>
          <w:color w:val="auto"/>
          <w:highlight w:val="none"/>
        </w:rPr>
      </w:pPr>
      <w:r>
        <w:rPr>
          <w:color w:val="auto"/>
          <w:highlight w:val="none"/>
        </w:rPr>
        <w:drawing>
          <wp:inline distT="0" distB="0" distL="114300" distR="114300">
            <wp:extent cx="3504565" cy="2628265"/>
            <wp:effectExtent l="0" t="0" r="635" b="63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25"/>
                    <a:stretch>
                      <a:fillRect/>
                    </a:stretch>
                  </pic:blipFill>
                  <pic:spPr>
                    <a:xfrm>
                      <a:off x="0" y="0"/>
                      <a:ext cx="3504565" cy="2628265"/>
                    </a:xfrm>
                    <a:prstGeom prst="rect">
                      <a:avLst/>
                    </a:prstGeom>
                    <a:noFill/>
                    <a:ln>
                      <a:noFill/>
                    </a:ln>
                  </pic:spPr>
                </pic:pic>
              </a:graphicData>
            </a:graphic>
          </wp:inline>
        </w:drawing>
      </w:r>
    </w:p>
    <w:p w14:paraId="36FCEC11">
      <w:pPr>
        <w:pStyle w:val="588"/>
        <w:bidi w:val="0"/>
        <w:ind w:left="0" w:leftChars="0" w:firstLine="0" w:firstLineChars="0"/>
        <w:rPr>
          <w:color w:val="auto"/>
          <w:highlight w:val="none"/>
        </w:rPr>
      </w:pPr>
      <w:r>
        <w:rPr>
          <w:rFonts w:hint="eastAsia"/>
          <w:color w:val="auto"/>
          <w:highlight w:val="none"/>
        </w:rPr>
        <w:t>现状 4-d2200 圆管涵排入口</w:t>
      </w:r>
    </w:p>
    <w:p w14:paraId="356A95B7">
      <w:pPr>
        <w:pStyle w:val="693"/>
        <w:numPr>
          <w:ilvl w:val="0"/>
          <w:numId w:val="0"/>
        </w:numPr>
        <w:jc w:val="center"/>
        <w:rPr>
          <w:color w:val="auto"/>
          <w:highlight w:val="none"/>
        </w:rPr>
      </w:pPr>
      <w:r>
        <w:rPr>
          <w:color w:val="auto"/>
          <w:highlight w:val="none"/>
        </w:rPr>
        <w:drawing>
          <wp:inline distT="0" distB="0" distL="114300" distR="114300">
            <wp:extent cx="3648710" cy="2628265"/>
            <wp:effectExtent l="0" t="0" r="8890" b="635"/>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26"/>
                    <a:stretch>
                      <a:fillRect/>
                    </a:stretch>
                  </pic:blipFill>
                  <pic:spPr>
                    <a:xfrm>
                      <a:off x="0" y="0"/>
                      <a:ext cx="3648710" cy="2628265"/>
                    </a:xfrm>
                    <a:prstGeom prst="rect">
                      <a:avLst/>
                    </a:prstGeom>
                    <a:noFill/>
                    <a:ln>
                      <a:noFill/>
                    </a:ln>
                  </pic:spPr>
                </pic:pic>
              </a:graphicData>
            </a:graphic>
          </wp:inline>
        </w:drawing>
      </w:r>
    </w:p>
    <w:p w14:paraId="415DAF37">
      <w:pPr>
        <w:pStyle w:val="588"/>
        <w:bidi w:val="0"/>
        <w:ind w:left="0" w:leftChars="0"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 xml:space="preserve"> 区域现状水系</w:t>
      </w:r>
    </w:p>
    <w:p w14:paraId="116AC066">
      <w:pPr>
        <w:pStyle w:val="693"/>
        <w:numPr>
          <w:ilvl w:val="0"/>
          <w:numId w:val="25"/>
        </w:numPr>
        <w:ind w:firstLine="455"/>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管道设施现状</w:t>
      </w:r>
    </w:p>
    <w:p w14:paraId="4FB4D1C1">
      <w:pPr>
        <w:ind w:firstLine="454" w:firstLineChars="200"/>
        <w:rPr>
          <w:rFonts w:hint="default" w:ascii="Times New Roman" w:cs="Times New Roman"/>
          <w:color w:val="auto"/>
          <w:highlight w:val="none"/>
          <w:lang w:val="en-US" w:eastAsia="zh-CN"/>
        </w:rPr>
      </w:pPr>
      <w:r>
        <w:rPr>
          <w:rFonts w:hint="default" w:ascii="Times New Roman" w:cs="Times New Roman"/>
          <w:color w:val="auto"/>
          <w:highlight w:val="none"/>
          <w:lang w:val="en-US" w:eastAsia="zh-CN"/>
        </w:rPr>
        <w:t>项目涉及的锦绣大道及和谐大街均已埋设部分雨水管道，锦绣大道双侧布设雨水管，雨水管d1800~d2000向南排放，锦绣大道（细垌环村段）西侧非机动车道和人行道未能实施建设，雨水管也未能连接两端敷设</w:t>
      </w:r>
      <w:r>
        <w:rPr>
          <w:rFonts w:hint="eastAsia" w:ascii="Times New Roman" w:cs="Times New Roman"/>
          <w:color w:val="auto"/>
          <w:highlight w:val="none"/>
          <w:lang w:val="en-US" w:eastAsia="zh-CN"/>
        </w:rPr>
        <w:t>，</w:t>
      </w:r>
      <w:r>
        <w:rPr>
          <w:rFonts w:hint="default" w:ascii="Times New Roman" w:cs="Times New Roman"/>
          <w:color w:val="auto"/>
          <w:highlight w:val="none"/>
          <w:lang w:val="en-US" w:eastAsia="zh-CN"/>
        </w:rPr>
        <w:t>和谐大街埋设d800~d1000排入锦绣大道雨水管道中。</w:t>
      </w:r>
    </w:p>
    <w:p w14:paraId="6CB50274">
      <w:pPr>
        <w:ind w:firstLine="454" w:firstLineChars="200"/>
        <w:rPr>
          <w:rFonts w:hint="default" w:ascii="Times New Roman" w:cs="Times New Roman"/>
          <w:color w:val="auto"/>
          <w:highlight w:val="none"/>
          <w:lang w:val="en-US" w:eastAsia="zh-CN"/>
        </w:rPr>
      </w:pPr>
    </w:p>
    <w:p w14:paraId="27152294">
      <w:pPr>
        <w:pStyle w:val="4"/>
        <w:bidi w:val="0"/>
        <w:ind w:left="678" w:leftChars="0" w:firstLine="0" w:firstLineChars="0"/>
        <w:rPr>
          <w:rFonts w:hint="default"/>
          <w:color w:val="auto"/>
          <w:highlight w:val="none"/>
        </w:rPr>
      </w:pPr>
      <w:bookmarkStart w:id="41" w:name="_Toc8600"/>
      <w:r>
        <w:rPr>
          <w:rFonts w:hint="default"/>
          <w:color w:val="auto"/>
          <w:highlight w:val="none"/>
        </w:rPr>
        <w:t>工程概况</w:t>
      </w:r>
      <w:bookmarkEnd w:id="41"/>
    </w:p>
    <w:p w14:paraId="7A4D2598">
      <w:pPr>
        <w:pStyle w:val="5"/>
        <w:bidi w:val="0"/>
        <w:ind w:left="452" w:leftChars="0" w:firstLine="0" w:firstLineChars="0"/>
        <w:rPr>
          <w:rFonts w:hint="default"/>
          <w:color w:val="auto"/>
          <w:highlight w:val="none"/>
        </w:rPr>
      </w:pPr>
      <w:r>
        <w:rPr>
          <w:rFonts w:hint="default"/>
          <w:color w:val="auto"/>
          <w:highlight w:val="none"/>
        </w:rPr>
        <w:t>工程基本情况</w:t>
      </w:r>
    </w:p>
    <w:p w14:paraId="12AF6C15">
      <w:pPr>
        <w:pStyle w:val="693"/>
        <w:ind w:firstLine="455"/>
        <w:rPr>
          <w:rFonts w:hint="default" w:ascii="Times New Roman" w:hAnsi="Times New Roman" w:cs="Times New Roman"/>
          <w:color w:val="auto"/>
          <w:highlight w:val="none"/>
          <w:lang w:eastAsia="zh-CN"/>
        </w:rPr>
      </w:pPr>
      <w:r>
        <w:rPr>
          <w:rFonts w:hint="default" w:ascii="Times New Roman" w:hAnsi="Times New Roman" w:cs="Times New Roman"/>
          <w:b/>
          <w:bCs/>
          <w:color w:val="auto"/>
          <w:highlight w:val="none"/>
        </w:rPr>
        <w:t>工程名称：</w:t>
      </w:r>
      <w:r>
        <w:rPr>
          <w:rFonts w:hint="default" w:ascii="Times New Roman" w:hAnsi="Times New Roman" w:cs="Times New Roman"/>
          <w:color w:val="auto"/>
          <w:highlight w:val="none"/>
          <w:lang w:eastAsia="zh-CN"/>
        </w:rPr>
        <w:t>钦州港新型城乡融合发展示范区（自贸新城）排水改造工程；</w:t>
      </w:r>
    </w:p>
    <w:p w14:paraId="0BD87024">
      <w:pPr>
        <w:pStyle w:val="693"/>
        <w:ind w:firstLine="455"/>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eastAsia="zh-CN"/>
        </w:rPr>
        <w:t>项目代码：</w:t>
      </w:r>
      <w:r>
        <w:rPr>
          <w:rFonts w:hint="default" w:ascii="Times New Roman" w:hAnsi="Times New Roman" w:eastAsia="宋体" w:cs="Times New Roman"/>
          <w:b w:val="0"/>
          <w:bCs w:val="0"/>
          <w:color w:val="auto"/>
          <w:highlight w:val="none"/>
          <w:lang w:val="en-US" w:eastAsia="zh-CN"/>
        </w:rPr>
        <w:t>2310-450704-04-01-967064；</w:t>
      </w:r>
    </w:p>
    <w:p w14:paraId="6751F0FC">
      <w:pPr>
        <w:pStyle w:val="693"/>
        <w:ind w:firstLine="455"/>
        <w:rPr>
          <w:rFonts w:hint="default" w:ascii="Times New Roman" w:hAnsi="Times New Roman" w:cs="Times New Roman"/>
          <w:color w:val="auto"/>
          <w:highlight w:val="none"/>
        </w:rPr>
      </w:pPr>
      <w:r>
        <w:rPr>
          <w:rFonts w:hint="default" w:ascii="Times New Roman" w:hAnsi="Times New Roman" w:cs="Times New Roman"/>
          <w:b/>
          <w:bCs/>
          <w:color w:val="auto"/>
          <w:highlight w:val="none"/>
        </w:rPr>
        <w:t>建设单位：</w:t>
      </w:r>
      <w:r>
        <w:rPr>
          <w:rFonts w:hint="default" w:ascii="Times New Roman" w:hAnsi="Times New Roman" w:cs="Times New Roman"/>
          <w:color w:val="auto"/>
          <w:highlight w:val="none"/>
          <w:lang w:eastAsia="zh-CN"/>
        </w:rPr>
        <w:t>广西自贸区临海融合投资建设有限公司</w:t>
      </w:r>
      <w:r>
        <w:rPr>
          <w:rFonts w:hint="default" w:ascii="Times New Roman" w:hAnsi="Times New Roman" w:cs="Times New Roman"/>
          <w:color w:val="auto"/>
          <w:highlight w:val="none"/>
        </w:rPr>
        <w:t>；</w:t>
      </w:r>
    </w:p>
    <w:p w14:paraId="28B0FDB3">
      <w:pPr>
        <w:pStyle w:val="693"/>
        <w:ind w:firstLine="455"/>
        <w:rPr>
          <w:rFonts w:hint="default" w:ascii="Times New Roman" w:hAnsi="Times New Roman" w:cs="Times New Roman"/>
          <w:color w:val="auto"/>
          <w:highlight w:val="none"/>
        </w:rPr>
      </w:pPr>
      <w:r>
        <w:rPr>
          <w:rFonts w:hint="default" w:ascii="Times New Roman" w:hAnsi="Times New Roman" w:cs="Times New Roman"/>
          <w:b/>
          <w:bCs/>
          <w:color w:val="auto"/>
          <w:highlight w:val="none"/>
        </w:rPr>
        <w:t>建设性质：</w:t>
      </w:r>
      <w:r>
        <w:rPr>
          <w:rFonts w:hint="default" w:ascii="Times New Roman" w:hAnsi="Times New Roman" w:cs="Times New Roman"/>
          <w:color w:val="auto"/>
          <w:highlight w:val="none"/>
          <w:lang w:eastAsia="zh-CN"/>
        </w:rPr>
        <w:t>新建</w:t>
      </w:r>
      <w:r>
        <w:rPr>
          <w:rFonts w:hint="default" w:ascii="Times New Roman" w:hAnsi="Times New Roman" w:cs="Times New Roman"/>
          <w:color w:val="auto"/>
          <w:highlight w:val="none"/>
        </w:rPr>
        <w:t>；</w:t>
      </w:r>
    </w:p>
    <w:p w14:paraId="2BD3A19E">
      <w:pPr>
        <w:pStyle w:val="693"/>
        <w:ind w:firstLine="455"/>
        <w:rPr>
          <w:rFonts w:hint="default" w:ascii="Times New Roman" w:hAnsi="Times New Roman" w:cs="Times New Roman"/>
          <w:b w:val="0"/>
          <w:bCs w:val="0"/>
          <w:color w:val="auto"/>
          <w:highlight w:val="none"/>
        </w:rPr>
      </w:pPr>
      <w:r>
        <w:rPr>
          <w:rFonts w:hint="default" w:ascii="Times New Roman" w:hAnsi="Times New Roman" w:cs="Times New Roman"/>
          <w:b/>
          <w:bCs/>
          <w:color w:val="auto"/>
          <w:highlight w:val="none"/>
        </w:rPr>
        <w:t>建设地点：</w:t>
      </w:r>
      <w:r>
        <w:rPr>
          <w:rFonts w:hint="default" w:ascii="Times New Roman" w:hAnsi="Times New Roman" w:eastAsia="宋体" w:cs="Times New Roman"/>
          <w:b w:val="0"/>
          <w:bCs w:val="0"/>
          <w:color w:val="auto"/>
          <w:highlight w:val="none"/>
          <w:lang w:eastAsia="zh-CN"/>
        </w:rPr>
        <w:t>广西壮族自治区钦州市自贸</w:t>
      </w:r>
      <w:r>
        <w:rPr>
          <w:rFonts w:hint="default" w:ascii="Times New Roman" w:hAnsi="Times New Roman" w:cs="Times New Roman"/>
          <w:b w:val="0"/>
          <w:bCs w:val="0"/>
          <w:color w:val="auto"/>
          <w:highlight w:val="none"/>
          <w:lang w:eastAsia="zh-CN"/>
        </w:rPr>
        <w:t>试验区钦州港片区和谐大街以南，大榄坪大街以北，友谊大道以东区域；</w:t>
      </w:r>
    </w:p>
    <w:p w14:paraId="0454E178">
      <w:pPr>
        <w:pStyle w:val="693"/>
        <w:ind w:firstLine="455"/>
        <w:rPr>
          <w:rFonts w:hint="default" w:ascii="Times New Roman" w:hAnsi="Times New Roman" w:cs="Times New Roman"/>
          <w:color w:val="auto"/>
          <w:highlight w:val="none"/>
          <w:u w:val="single"/>
        </w:rPr>
      </w:pPr>
      <w:r>
        <w:rPr>
          <w:rFonts w:hint="default" w:ascii="Times New Roman" w:hAnsi="Times New Roman" w:cs="Times New Roman"/>
          <w:b/>
          <w:bCs/>
          <w:color w:val="auto"/>
          <w:highlight w:val="none"/>
        </w:rPr>
        <w:t>工程投资：</w:t>
      </w:r>
      <w:r>
        <w:rPr>
          <w:rFonts w:hint="default" w:ascii="Times New Roman" w:cs="Times New Roman"/>
          <w:color w:val="auto"/>
          <w:highlight w:val="none"/>
          <w:u w:val="single"/>
          <w:lang w:eastAsia="zh-CN"/>
        </w:rPr>
        <w:t>项目总投资</w:t>
      </w:r>
      <w:r>
        <w:rPr>
          <w:rFonts w:hint="default" w:ascii="Times New Roman" w:cs="Times New Roman"/>
          <w:color w:val="auto"/>
          <w:highlight w:val="none"/>
          <w:u w:val="single"/>
          <w:lang w:val="en-US" w:eastAsia="zh-CN"/>
        </w:rPr>
        <w:t>8912.20</w:t>
      </w:r>
      <w:r>
        <w:rPr>
          <w:rFonts w:hint="default" w:ascii="Times New Roman" w:cs="Times New Roman"/>
          <w:color w:val="auto"/>
          <w:highlight w:val="none"/>
          <w:u w:val="single"/>
          <w:lang w:eastAsia="zh-CN"/>
        </w:rPr>
        <w:t>万元，环保投资为</w:t>
      </w:r>
      <w:r>
        <w:rPr>
          <w:rFonts w:hint="eastAsia" w:ascii="Times New Roman" w:cs="Times New Roman"/>
          <w:color w:val="auto"/>
          <w:highlight w:val="none"/>
          <w:u w:val="single"/>
          <w:lang w:val="en-US" w:eastAsia="zh-CN"/>
        </w:rPr>
        <w:t>67.2</w:t>
      </w:r>
      <w:r>
        <w:rPr>
          <w:rFonts w:hint="default" w:ascii="Times New Roman" w:cs="Times New Roman"/>
          <w:color w:val="auto"/>
          <w:highlight w:val="none"/>
          <w:u w:val="single"/>
          <w:lang w:eastAsia="zh-CN"/>
        </w:rPr>
        <w:t>万元，环保投资占比</w:t>
      </w:r>
      <w:r>
        <w:rPr>
          <w:rFonts w:hint="eastAsia" w:ascii="Times New Roman" w:cs="Times New Roman"/>
          <w:color w:val="auto"/>
          <w:highlight w:val="none"/>
          <w:u w:val="single"/>
          <w:lang w:val="en-US" w:eastAsia="zh-CN"/>
        </w:rPr>
        <w:t>0.75</w:t>
      </w:r>
      <w:r>
        <w:rPr>
          <w:rFonts w:hint="default" w:ascii="Times New Roman" w:cs="Times New Roman"/>
          <w:color w:val="auto"/>
          <w:highlight w:val="none"/>
          <w:u w:val="single"/>
          <w:lang w:eastAsia="zh-CN"/>
        </w:rPr>
        <w:t>%；</w:t>
      </w:r>
    </w:p>
    <w:p w14:paraId="35D801FD">
      <w:pPr>
        <w:pStyle w:val="693"/>
        <w:ind w:firstLine="455"/>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建设内容：</w:t>
      </w:r>
      <w:r>
        <w:rPr>
          <w:rFonts w:hint="default" w:ascii="Times New Roman" w:hAnsi="Times New Roman" w:eastAsia="宋体" w:cs="Times New Roman"/>
          <w:color w:val="auto"/>
          <w:highlight w:val="none"/>
          <w:lang w:eastAsia="zh-CN"/>
        </w:rPr>
        <w:t>对钦州港新型城乡融合发展示范区（</w:t>
      </w:r>
      <w:r>
        <w:rPr>
          <w:rFonts w:hint="default" w:ascii="Times New Roman" w:hAnsi="Times New Roman" w:eastAsia="宋体" w:cs="Times New Roman"/>
          <w:color w:val="auto"/>
          <w:highlight w:val="none"/>
          <w:lang w:val="en-US" w:eastAsia="zh-CN"/>
        </w:rPr>
        <w:t>自贸新城</w:t>
      </w:r>
      <w:r>
        <w:rPr>
          <w:rFonts w:hint="default" w:ascii="Times New Roman" w:hAnsi="Times New Roman" w:eastAsia="宋体" w:cs="Times New Roman"/>
          <w:color w:val="auto"/>
          <w:highlight w:val="none"/>
          <w:lang w:eastAsia="zh-CN"/>
        </w:rPr>
        <w:t>）排水进行改造，改造内容包括排水工程，挡土墙工程，涵洞工程及土方工程等</w:t>
      </w:r>
      <w:r>
        <w:rPr>
          <w:rFonts w:hint="default" w:ascii="Times New Roman" w:hAnsi="Times New Roman" w:cs="Times New Roman"/>
          <w:color w:val="auto"/>
          <w:highlight w:val="none"/>
          <w:lang w:bidi="en-US"/>
        </w:rPr>
        <w:t>。</w:t>
      </w:r>
    </w:p>
    <w:p w14:paraId="7CBBFF97">
      <w:pPr>
        <w:pStyle w:val="693"/>
        <w:ind w:firstLine="455"/>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建设规模：</w:t>
      </w:r>
      <w:bookmarkStart w:id="42" w:name="_Hlk137052236"/>
    </w:p>
    <w:p w14:paraId="7A8CB246">
      <w:pPr>
        <w:pStyle w:val="693"/>
        <w:ind w:firstLine="455"/>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lang w:eastAsia="zh-CN"/>
        </w:rPr>
        <w:t>（一）</w:t>
      </w:r>
      <w:r>
        <w:rPr>
          <w:rFonts w:hint="default" w:ascii="Times New Roman" w:hAnsi="Times New Roman" w:cs="Times New Roman"/>
          <w:b w:val="0"/>
          <w:bCs w:val="0"/>
          <w:color w:val="auto"/>
          <w:highlight w:val="none"/>
        </w:rPr>
        <w:t>锦绣大道排水改造段</w:t>
      </w:r>
      <w:r>
        <w:rPr>
          <w:rFonts w:hint="eastAsia" w:ascii="Times New Roman" w:cs="Times New Roman"/>
          <w:b w:val="0"/>
          <w:bCs w:val="0"/>
          <w:color w:val="auto"/>
          <w:highlight w:val="none"/>
          <w:lang w:eastAsia="zh-CN"/>
        </w:rPr>
        <w:t>：</w:t>
      </w:r>
      <w:r>
        <w:rPr>
          <w:rFonts w:hint="default" w:ascii="Times New Roman" w:hAnsi="Times New Roman" w:cs="Times New Roman"/>
          <w:b w:val="0"/>
          <w:bCs w:val="0"/>
          <w:color w:val="auto"/>
          <w:highlight w:val="none"/>
        </w:rPr>
        <w:t>拟建内截面尺寸宽x高为0.5mx0.6m</w:t>
      </w:r>
      <w:r>
        <w:rPr>
          <w:rFonts w:hint="default" w:ascii="Times New Roman" w:hAnsi="Times New Roman" w:cs="Times New Roman"/>
          <w:b w:val="0"/>
          <w:bCs w:val="0"/>
          <w:color w:val="auto"/>
          <w:highlight w:val="none"/>
          <w:lang w:eastAsia="zh-CN"/>
        </w:rPr>
        <w:t>，</w:t>
      </w:r>
      <w:r>
        <w:rPr>
          <w:rFonts w:hint="default" w:ascii="Times New Roman" w:hAnsi="Times New Roman" w:cs="Times New Roman"/>
          <w:b w:val="0"/>
          <w:bCs w:val="0"/>
          <w:color w:val="auto"/>
          <w:highlight w:val="none"/>
        </w:rPr>
        <w:t>排水沟长127.675m</w:t>
      </w:r>
      <w:r>
        <w:rPr>
          <w:rFonts w:hint="default" w:ascii="Times New Roman" w:hAnsi="Times New Roman" w:cs="Times New Roman"/>
          <w:b w:val="0"/>
          <w:bCs w:val="0"/>
          <w:color w:val="auto"/>
          <w:highlight w:val="none"/>
          <w:lang w:eastAsia="zh-CN"/>
        </w:rPr>
        <w:t>，</w:t>
      </w:r>
      <w:r>
        <w:rPr>
          <w:rFonts w:hint="default" w:ascii="Times New Roman" w:hAnsi="Times New Roman" w:cs="Times New Roman"/>
          <w:b w:val="0"/>
          <w:bCs w:val="0"/>
          <w:color w:val="auto"/>
          <w:highlight w:val="none"/>
        </w:rPr>
        <w:t>土质明沟段长445.905m</w:t>
      </w:r>
      <w:r>
        <w:rPr>
          <w:rFonts w:hint="default" w:ascii="Times New Roman" w:hAnsi="Times New Roman" w:cs="Times New Roman"/>
          <w:b w:val="0"/>
          <w:bCs w:val="0"/>
          <w:color w:val="auto"/>
          <w:highlight w:val="none"/>
          <w:lang w:eastAsia="zh-CN"/>
        </w:rPr>
        <w:t>，</w:t>
      </w:r>
      <w:r>
        <w:rPr>
          <w:rFonts w:hint="default" w:ascii="Times New Roman" w:hAnsi="Times New Roman" w:cs="Times New Roman"/>
          <w:b w:val="0"/>
          <w:bCs w:val="0"/>
          <w:color w:val="auto"/>
          <w:highlight w:val="none"/>
        </w:rPr>
        <w:t>2-d2000的钢筋砼管42m，1-3.0mx3.0m的箱涵长200m，d1800~d2200的钢筋砼管共493m</w:t>
      </w:r>
      <w:r>
        <w:rPr>
          <w:rFonts w:hint="eastAsia" w:ascii="Times New Roman" w:cs="Times New Roman"/>
          <w:b w:val="0"/>
          <w:bCs/>
          <w:color w:val="auto"/>
          <w:sz w:val="24"/>
          <w:szCs w:val="24"/>
          <w:highlight w:val="none"/>
          <w:lang w:eastAsia="zh-CN"/>
        </w:rPr>
        <w:t>（</w:t>
      </w:r>
      <w:r>
        <w:rPr>
          <w:rFonts w:hint="eastAsia" w:ascii="Times New Roman" w:cs="Times New Roman"/>
          <w:b w:val="0"/>
          <w:bCs/>
          <w:color w:val="auto"/>
          <w:sz w:val="24"/>
          <w:szCs w:val="24"/>
          <w:highlight w:val="none"/>
          <w:lang w:val="en-US" w:eastAsia="zh-CN"/>
        </w:rPr>
        <w:t>其中锦绣大道西侧非机动车道雨水管连接工程管线长度146m，</w:t>
      </w:r>
      <w:r>
        <w:rPr>
          <w:rFonts w:hint="default" w:ascii="Times New Roman" w:cs="Times New Roman"/>
          <w:b w:val="0"/>
          <w:bCs/>
          <w:color w:val="auto"/>
          <w:sz w:val="24"/>
          <w:szCs w:val="24"/>
          <w:highlight w:val="none"/>
          <w:lang w:val="en-US" w:eastAsia="zh-CN"/>
        </w:rPr>
        <w:t>锦绣大道（乐业大街南面）东侧、西侧非机动车道雨水管</w:t>
      </w:r>
      <w:r>
        <w:rPr>
          <w:rFonts w:hint="eastAsia" w:ascii="Times New Roman" w:cs="Times New Roman"/>
          <w:b w:val="0"/>
          <w:bCs/>
          <w:color w:val="auto"/>
          <w:sz w:val="24"/>
          <w:szCs w:val="24"/>
          <w:highlight w:val="none"/>
          <w:lang w:val="en-US" w:eastAsia="zh-CN"/>
        </w:rPr>
        <w:t>线长度347m）</w:t>
      </w:r>
      <w:r>
        <w:rPr>
          <w:rFonts w:hint="default" w:ascii="Times New Roman" w:hAnsi="Times New Roman" w:cs="Times New Roman"/>
          <w:b w:val="0"/>
          <w:bCs w:val="0"/>
          <w:color w:val="auto"/>
          <w:highlight w:val="none"/>
        </w:rPr>
        <w:t>。</w:t>
      </w:r>
    </w:p>
    <w:p w14:paraId="20285963">
      <w:pPr>
        <w:pStyle w:val="693"/>
        <w:numPr>
          <w:ilvl w:val="0"/>
          <w:numId w:val="26"/>
        </w:numPr>
        <w:ind w:firstLine="455"/>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城市更新项目建设服务于金窝水库的排水水系改造段</w:t>
      </w:r>
      <w:r>
        <w:rPr>
          <w:rFonts w:hint="default" w:ascii="Times New Roman" w:hAnsi="Times New Roman" w:cs="Times New Roman"/>
          <w:b w:val="0"/>
          <w:bCs w:val="0"/>
          <w:color w:val="auto"/>
          <w:highlight w:val="none"/>
          <w:lang w:eastAsia="zh-CN"/>
        </w:rPr>
        <w:t>：</w:t>
      </w:r>
      <w:r>
        <w:rPr>
          <w:rFonts w:hint="default" w:ascii="Times New Roman" w:hAnsi="Times New Roman" w:cs="Times New Roman"/>
          <w:b w:val="0"/>
          <w:bCs w:val="0"/>
          <w:color w:val="auto"/>
          <w:highlight w:val="none"/>
        </w:rPr>
        <w:t>拟建挡土墙892.16m</w:t>
      </w:r>
      <w:r>
        <w:rPr>
          <w:rFonts w:hint="eastAsia" w:ascii="Times New Roman" w:cs="Times New Roman"/>
          <w:b w:val="0"/>
          <w:bCs w:val="0"/>
          <w:color w:val="auto"/>
          <w:highlight w:val="none"/>
          <w:lang w:eastAsia="zh-CN"/>
        </w:rPr>
        <w:t>，</w:t>
      </w:r>
      <w:r>
        <w:rPr>
          <w:rFonts w:hint="default" w:ascii="Times New Roman" w:hAnsi="Times New Roman" w:cs="Times New Roman"/>
          <w:b w:val="0"/>
          <w:bCs w:val="0"/>
          <w:color w:val="auto"/>
          <w:highlight w:val="none"/>
        </w:rPr>
        <w:t>土堤护岸238.54m，临时排水土沟长134.45m，新建4根dn2200钢筋混凝土管共216m</w:t>
      </w:r>
      <w:r>
        <w:rPr>
          <w:rFonts w:hint="default" w:ascii="Times New Roman" w:hAnsi="Times New Roman" w:cs="Times New Roman"/>
          <w:b w:val="0"/>
          <w:bCs w:val="0"/>
          <w:color w:val="auto"/>
          <w:highlight w:val="none"/>
          <w:lang w:eastAsia="zh-CN"/>
        </w:rPr>
        <w:t>，</w:t>
      </w:r>
      <w:r>
        <w:rPr>
          <w:rFonts w:hint="default" w:ascii="Times New Roman" w:hAnsi="Times New Roman" w:cs="Times New Roman"/>
          <w:b w:val="0"/>
          <w:bCs w:val="0"/>
          <w:color w:val="auto"/>
          <w:highlight w:val="none"/>
        </w:rPr>
        <w:t>2-5.5x5.0m过路箱涵71.105m</w:t>
      </w:r>
      <w:r>
        <w:rPr>
          <w:rFonts w:hint="default" w:ascii="Times New Roman" w:hAnsi="Times New Roman" w:cs="Times New Roman"/>
          <w:b w:val="0"/>
          <w:bCs w:val="0"/>
          <w:color w:val="auto"/>
          <w:highlight w:val="none"/>
          <w:lang w:eastAsia="zh-CN"/>
        </w:rPr>
        <w:t>，</w:t>
      </w:r>
      <w:r>
        <w:rPr>
          <w:rFonts w:hint="eastAsia" w:ascii="Times New Roman" w:cs="Times New Roman"/>
          <w:b w:val="0"/>
          <w:bCs w:val="0"/>
          <w:color w:val="auto"/>
          <w:highlight w:val="none"/>
          <w:lang w:eastAsia="zh-CN"/>
        </w:rPr>
        <w:t>曲绣路</w:t>
      </w:r>
      <w:r>
        <w:rPr>
          <w:rFonts w:hint="default" w:ascii="Times New Roman" w:hAnsi="Times New Roman" w:cs="Times New Roman"/>
          <w:b w:val="0"/>
          <w:bCs w:val="0"/>
          <w:color w:val="auto"/>
          <w:highlight w:val="none"/>
        </w:rPr>
        <w:t>d800~d1200排水管道749m。</w:t>
      </w:r>
    </w:p>
    <w:p w14:paraId="6FBD3B80">
      <w:pPr>
        <w:pStyle w:val="693"/>
        <w:numPr>
          <w:ilvl w:val="0"/>
          <w:numId w:val="26"/>
        </w:numPr>
        <w:ind w:firstLine="455"/>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钦州港路排水工程</w:t>
      </w:r>
      <w:r>
        <w:rPr>
          <w:rFonts w:hint="default" w:ascii="Times New Roman" w:hAnsi="Times New Roman" w:cs="Times New Roman"/>
          <w:b w:val="0"/>
          <w:bCs w:val="0"/>
          <w:color w:val="auto"/>
          <w:highlight w:val="none"/>
          <w:lang w:eastAsia="zh-CN"/>
        </w:rPr>
        <w:t>：</w:t>
      </w:r>
      <w:r>
        <w:rPr>
          <w:rFonts w:hint="default" w:ascii="Times New Roman" w:hAnsi="Times New Roman" w:cs="Times New Roman"/>
          <w:b w:val="0"/>
          <w:bCs w:val="0"/>
          <w:color w:val="auto"/>
          <w:highlight w:val="none"/>
        </w:rPr>
        <w:t>拟建排水管道d600~d800排水管道长309m。</w:t>
      </w:r>
    </w:p>
    <w:bookmarkEnd w:id="42"/>
    <w:p w14:paraId="62011F85">
      <w:pPr>
        <w:pStyle w:val="693"/>
        <w:ind w:firstLine="455"/>
        <w:rPr>
          <w:rFonts w:hint="default" w:ascii="Times New Roman" w:hAnsi="Times New Roman" w:cs="Times New Roman"/>
          <w:color w:val="auto"/>
          <w:highlight w:val="none"/>
          <w:lang w:val="en-US" w:eastAsia="zh-CN"/>
        </w:rPr>
      </w:pPr>
      <w:r>
        <w:rPr>
          <w:rFonts w:hint="default" w:ascii="Times New Roman" w:hAnsi="Times New Roman" w:cs="Times New Roman"/>
          <w:b/>
          <w:bCs/>
          <w:color w:val="auto"/>
          <w:highlight w:val="none"/>
        </w:rPr>
        <w:t>劳动定员及工作制度：</w:t>
      </w:r>
      <w:r>
        <w:rPr>
          <w:rFonts w:hint="default" w:ascii="Times New Roman" w:hAnsi="Times New Roman" w:cs="Times New Roman"/>
          <w:color w:val="auto"/>
          <w:highlight w:val="none"/>
          <w:lang w:val="en-US" w:eastAsia="zh-CN"/>
        </w:rPr>
        <w:t>本项目不设置工作人员。</w:t>
      </w:r>
    </w:p>
    <w:p w14:paraId="41666EC1">
      <w:pPr>
        <w:pStyle w:val="693"/>
        <w:ind w:firstLine="455"/>
        <w:rPr>
          <w:rFonts w:hint="default" w:ascii="Times New Roman" w:hAnsi="Times New Roman" w:cs="Times New Roman"/>
          <w:color w:val="auto"/>
          <w:highlight w:val="none"/>
        </w:rPr>
      </w:pPr>
      <w:r>
        <w:rPr>
          <w:rFonts w:hint="default" w:ascii="Times New Roman" w:hAnsi="Times New Roman" w:cs="Times New Roman"/>
          <w:b/>
          <w:bCs/>
          <w:color w:val="auto"/>
          <w:highlight w:val="none"/>
        </w:rPr>
        <w:t>建设周期：</w:t>
      </w:r>
      <w:r>
        <w:rPr>
          <w:rFonts w:hint="default" w:ascii="Times New Roman" w:hAnsi="Times New Roman" w:cs="Times New Roman"/>
          <w:color w:val="auto"/>
          <w:highlight w:val="none"/>
        </w:rPr>
        <w:t>项目施工工期拟定</w:t>
      </w:r>
      <w:r>
        <w:rPr>
          <w:rFonts w:hint="default" w:ascii="Times New Roman" w:hAnsi="Times New Roman" w:cs="Times New Roman"/>
          <w:color w:val="auto"/>
          <w:highlight w:val="none"/>
          <w:lang w:val="en-US" w:eastAsia="zh-CN"/>
        </w:rPr>
        <w:t>12</w:t>
      </w:r>
      <w:r>
        <w:rPr>
          <w:rFonts w:hint="default" w:ascii="Times New Roman" w:hAnsi="Times New Roman" w:cs="Times New Roman"/>
          <w:color w:val="auto"/>
          <w:highlight w:val="none"/>
        </w:rPr>
        <w:t>个月</w:t>
      </w:r>
      <w:r>
        <w:rPr>
          <w:rFonts w:hint="eastAsia" w:ascii="Times New Roman" w:cs="Times New Roman"/>
          <w:color w:val="auto"/>
          <w:highlight w:val="none"/>
          <w:lang w:eastAsia="zh-CN"/>
        </w:rPr>
        <w:t>。</w:t>
      </w:r>
      <w:r>
        <w:rPr>
          <w:rFonts w:hint="eastAsia" w:ascii="Times New Roman" w:cs="Times New Roman"/>
          <w:color w:val="auto"/>
          <w:highlight w:val="none"/>
          <w:u w:val="single"/>
          <w:lang w:eastAsia="zh-CN"/>
        </w:rPr>
        <w:t>本项目于</w:t>
      </w:r>
      <w:r>
        <w:rPr>
          <w:rFonts w:hint="eastAsia" w:ascii="Times New Roman" w:cs="Times New Roman"/>
          <w:color w:val="auto"/>
          <w:highlight w:val="none"/>
          <w:u w:val="single"/>
          <w:lang w:val="en-US" w:eastAsia="zh-CN"/>
        </w:rPr>
        <w:t>2024年12月26日正式开工，预计2025年12月完工，目前已完成锦绣大道部分雨水管铺设、</w:t>
      </w:r>
      <w:r>
        <w:rPr>
          <w:rFonts w:hint="default" w:ascii="Times New Roman" w:hAnsi="Times New Roman" w:cs="Times New Roman"/>
          <w:b w:val="0"/>
          <w:bCs w:val="0"/>
          <w:color w:val="auto"/>
          <w:highlight w:val="none"/>
          <w:u w:val="single"/>
        </w:rPr>
        <w:t>城市更新项目建设服务于金窝水库的排水水系改造段</w:t>
      </w:r>
      <w:r>
        <w:rPr>
          <w:rFonts w:hint="eastAsia" w:ascii="Times New Roman" w:cs="Times New Roman"/>
          <w:b w:val="0"/>
          <w:bCs w:val="0"/>
          <w:color w:val="auto"/>
          <w:highlight w:val="none"/>
          <w:u w:val="single"/>
          <w:lang w:eastAsia="zh-CN"/>
        </w:rPr>
        <w:t>起点处箱涵施工。</w:t>
      </w:r>
      <w:r>
        <w:rPr>
          <w:rFonts w:hint="default" w:ascii="Times New Roman" w:hAnsi="Times New Roman" w:cs="Times New Roman"/>
          <w:color w:val="auto"/>
          <w:highlight w:val="none"/>
          <w:lang w:val="en-US" w:eastAsia="zh-CN"/>
        </w:rPr>
        <w:t>施工高峰期施工人员为50人</w:t>
      </w:r>
      <w:r>
        <w:rPr>
          <w:rFonts w:hint="default" w:ascii="Times New Roman" w:hAnsi="Times New Roman" w:cs="Times New Roman"/>
          <w:color w:val="auto"/>
          <w:highlight w:val="none"/>
        </w:rPr>
        <w:t>。</w:t>
      </w:r>
    </w:p>
    <w:p w14:paraId="601CAAEB">
      <w:pPr>
        <w:pStyle w:val="5"/>
        <w:bidi w:val="0"/>
        <w:ind w:left="452" w:leftChars="0" w:firstLine="0" w:firstLineChars="0"/>
        <w:rPr>
          <w:rFonts w:hint="default"/>
          <w:color w:val="auto"/>
          <w:highlight w:val="none"/>
        </w:rPr>
      </w:pPr>
      <w:r>
        <w:rPr>
          <w:rFonts w:hint="default"/>
          <w:color w:val="auto"/>
          <w:highlight w:val="none"/>
        </w:rPr>
        <w:t>工程建设规模</w:t>
      </w:r>
    </w:p>
    <w:p w14:paraId="7E8CE32C">
      <w:pPr>
        <w:ind w:firstLine="454" w:firstLineChars="200"/>
        <w:rPr>
          <w:rFonts w:hint="default" w:ascii="Times New Roman" w:hAnsi="Times New Roman" w:cs="Times New Roman"/>
          <w:color w:val="auto"/>
          <w:highlight w:val="none"/>
        </w:rPr>
      </w:pPr>
      <w:r>
        <w:rPr>
          <w:rFonts w:hint="eastAsia" w:ascii="Times New Roman" w:cs="Times New Roman"/>
          <w:color w:val="auto"/>
          <w:highlight w:val="none"/>
          <w:lang w:eastAsia="zh-CN"/>
        </w:rPr>
        <w:t>本项目于2024年11月18日，取得中国（广西）自由贸易试验区钦州港片区行政审批局文件关于《关于钦州港新型城乡融合发展示范区(自贸新城)排水改造工程初步设计(含概算)的批复》，自贸钦审批投〔</w:t>
      </w:r>
      <w:r>
        <w:rPr>
          <w:rFonts w:hint="eastAsia" w:ascii="Times New Roman" w:cs="Times New Roman"/>
          <w:color w:val="auto"/>
          <w:highlight w:val="none"/>
          <w:lang w:val="en-US" w:eastAsia="zh-CN"/>
        </w:rPr>
        <w:t>2024</w:t>
      </w:r>
      <w:r>
        <w:rPr>
          <w:rFonts w:hint="eastAsia" w:ascii="Times New Roman" w:cs="Times New Roman"/>
          <w:color w:val="auto"/>
          <w:highlight w:val="none"/>
          <w:lang w:eastAsia="zh-CN"/>
        </w:rPr>
        <w:t>〕42号。根据最新的《钦州港新型城乡融合发展示范区（自贸新城）排水改造工程施工图》（洛阳市规划建筑设计研究院有限公司，2024年11月），</w:t>
      </w:r>
      <w:r>
        <w:rPr>
          <w:rFonts w:hint="default" w:ascii="Times New Roman" w:hAnsi="Times New Roman" w:cs="Times New Roman"/>
          <w:color w:val="auto"/>
          <w:highlight w:val="none"/>
        </w:rPr>
        <w:t>工程建设内容组成详见</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_Ref130202474 \r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表2.2-1</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w:t>
      </w:r>
    </w:p>
    <w:p w14:paraId="0A729A0C">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bookmarkStart w:id="43" w:name="_Ref130202474"/>
      <w:r>
        <w:rPr>
          <w:rFonts w:hint="default"/>
          <w:color w:val="auto"/>
          <w:highlight w:val="none"/>
        </w:rPr>
        <w:t>工程组成内容一览表</w:t>
      </w:r>
      <w:bookmarkEnd w:id="43"/>
    </w:p>
    <w:tbl>
      <w:tblPr>
        <w:tblStyle w:val="8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618"/>
        <w:gridCol w:w="1048"/>
        <w:gridCol w:w="6486"/>
      </w:tblGrid>
      <w:tr w14:paraId="748577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71" w:type="dxa"/>
            <w:tcBorders>
              <w:tl2br w:val="nil"/>
              <w:tr2bl w:val="nil"/>
            </w:tcBorders>
            <w:noWrap w:val="0"/>
            <w:vAlign w:val="center"/>
          </w:tcPr>
          <w:p w14:paraId="2109C972">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bookmarkStart w:id="44" w:name="_Ref130203614"/>
            <w:r>
              <w:rPr>
                <w:rFonts w:hint="default" w:ascii="Times New Roman" w:hAnsi="Times New Roman" w:cs="Times New Roman"/>
                <w:b w:val="0"/>
                <w:bCs/>
                <w:color w:val="auto"/>
                <w:sz w:val="21"/>
                <w:szCs w:val="21"/>
                <w:highlight w:val="none"/>
              </w:rPr>
              <w:t>类别</w:t>
            </w:r>
          </w:p>
        </w:tc>
        <w:tc>
          <w:tcPr>
            <w:tcW w:w="1666" w:type="dxa"/>
            <w:gridSpan w:val="2"/>
            <w:tcBorders>
              <w:tl2br w:val="nil"/>
              <w:tr2bl w:val="nil"/>
            </w:tcBorders>
            <w:noWrap w:val="0"/>
            <w:vAlign w:val="center"/>
          </w:tcPr>
          <w:p w14:paraId="24A46E65">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名称</w:t>
            </w:r>
          </w:p>
        </w:tc>
        <w:tc>
          <w:tcPr>
            <w:tcW w:w="6486" w:type="dxa"/>
            <w:tcBorders>
              <w:tl2br w:val="nil"/>
              <w:tr2bl w:val="nil"/>
            </w:tcBorders>
            <w:noWrap w:val="0"/>
            <w:vAlign w:val="center"/>
          </w:tcPr>
          <w:p w14:paraId="16AB9C02">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建设内容</w:t>
            </w:r>
          </w:p>
        </w:tc>
      </w:tr>
      <w:tr w14:paraId="716635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71" w:type="dxa"/>
            <w:vMerge w:val="restart"/>
            <w:tcBorders>
              <w:tl2br w:val="nil"/>
              <w:tr2bl w:val="nil"/>
            </w:tcBorders>
            <w:noWrap w:val="0"/>
            <w:vAlign w:val="center"/>
          </w:tcPr>
          <w:p w14:paraId="356C67A2">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主体</w:t>
            </w:r>
          </w:p>
          <w:p w14:paraId="622F82D3">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工程</w:t>
            </w:r>
          </w:p>
        </w:tc>
        <w:tc>
          <w:tcPr>
            <w:tcW w:w="1666" w:type="dxa"/>
            <w:gridSpan w:val="2"/>
            <w:vMerge w:val="restart"/>
            <w:tcBorders>
              <w:tl2br w:val="nil"/>
              <w:tr2bl w:val="nil"/>
            </w:tcBorders>
            <w:noWrap w:val="0"/>
            <w:vAlign w:val="center"/>
          </w:tcPr>
          <w:p w14:paraId="3E4CA3D7">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排水工程</w:t>
            </w:r>
          </w:p>
        </w:tc>
        <w:tc>
          <w:tcPr>
            <w:tcW w:w="6486" w:type="dxa"/>
            <w:tcBorders>
              <w:tl2br w:val="nil"/>
              <w:tr2bl w:val="nil"/>
            </w:tcBorders>
            <w:noWrap w:val="0"/>
            <w:vAlign w:val="center"/>
          </w:tcPr>
          <w:p w14:paraId="0199202E">
            <w:pPr>
              <w:keepNext w:val="0"/>
              <w:keepLines w:val="0"/>
              <w:pageBreakBefore w:val="0"/>
              <w:widowControl/>
              <w:kinsoku/>
              <w:wordWrap/>
              <w:overflowPunct/>
              <w:topLinePunct w:val="0"/>
              <w:bidi w:val="0"/>
              <w:adjustRightInd w:val="0"/>
              <w:snapToGrid w:val="0"/>
              <w:spacing w:line="240" w:lineRule="auto"/>
              <w:ind w:firstLine="394" w:firstLineChars="200"/>
              <w:jc w:val="both"/>
              <w:textAlignment w:val="auto"/>
              <w:rPr>
                <w:rFonts w:hint="default"/>
                <w:color w:val="auto"/>
                <w:highlight w:val="none"/>
                <w:lang w:eastAsia="zh-CN"/>
              </w:rPr>
            </w:pPr>
            <w:r>
              <w:rPr>
                <w:rFonts w:hint="default" w:ascii="Times New Roman" w:hAnsi="Times New Roman" w:eastAsia="宋体" w:cs="Times New Roman"/>
                <w:b w:val="0"/>
                <w:bCs/>
                <w:color w:val="auto"/>
                <w:sz w:val="21"/>
                <w:szCs w:val="21"/>
                <w:highlight w:val="none"/>
                <w:lang w:eastAsia="zh-CN"/>
              </w:rPr>
              <w:t>锦绣大道排水改造段</w:t>
            </w:r>
            <w:r>
              <w:rPr>
                <w:rFonts w:hint="default" w:ascii="Times New Roman" w:hAnsi="Times New Roman"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eastAsia="zh-CN"/>
              </w:rPr>
              <w:t>拟建内截面尺寸宽×高为0.5m×0.6m，排水沟长127.675m，土质明沟段长445.905m，2-d2000的钢筋砼管42m，1-3.0m×3.0m的箱涵长200m，d1800~d2200的钢筋砼管共493m</w:t>
            </w:r>
            <w:r>
              <w:rPr>
                <w:rFonts w:hint="eastAsia" w:ascii="Times New Roman" w:cs="Times New Roman"/>
                <w:b w:val="0"/>
                <w:bCs/>
                <w:color w:val="auto"/>
                <w:sz w:val="21"/>
                <w:szCs w:val="21"/>
                <w:highlight w:val="none"/>
                <w:lang w:eastAsia="zh-CN"/>
              </w:rPr>
              <w:t>（</w:t>
            </w:r>
            <w:r>
              <w:rPr>
                <w:rFonts w:hint="eastAsia" w:ascii="Times New Roman" w:cs="Times New Roman"/>
                <w:b w:val="0"/>
                <w:bCs/>
                <w:color w:val="auto"/>
                <w:sz w:val="21"/>
                <w:szCs w:val="21"/>
                <w:highlight w:val="none"/>
                <w:lang w:val="en-US" w:eastAsia="zh-CN"/>
              </w:rPr>
              <w:t>其中锦绣大道西侧非机动车道雨水管连接工程管线长度146m，</w:t>
            </w:r>
            <w:r>
              <w:rPr>
                <w:rFonts w:hint="default" w:ascii="Times New Roman" w:cs="Times New Roman"/>
                <w:b w:val="0"/>
                <w:bCs/>
                <w:color w:val="auto"/>
                <w:sz w:val="21"/>
                <w:szCs w:val="21"/>
                <w:highlight w:val="none"/>
                <w:lang w:val="en-US" w:eastAsia="zh-CN"/>
              </w:rPr>
              <w:t>锦绣大道（乐业大街南面）东侧、西侧非机动车道雨水管</w:t>
            </w:r>
            <w:r>
              <w:rPr>
                <w:rFonts w:hint="eastAsia" w:ascii="Times New Roman" w:cs="Times New Roman"/>
                <w:b w:val="0"/>
                <w:bCs/>
                <w:color w:val="auto"/>
                <w:sz w:val="21"/>
                <w:szCs w:val="21"/>
                <w:highlight w:val="none"/>
                <w:lang w:val="en-US" w:eastAsia="zh-CN"/>
              </w:rPr>
              <w:t>线长度347m）</w:t>
            </w:r>
            <w:r>
              <w:rPr>
                <w:rFonts w:hint="default" w:ascii="Times New Roman" w:cs="Times New Roman"/>
                <w:b w:val="0"/>
                <w:bCs/>
                <w:color w:val="auto"/>
                <w:sz w:val="21"/>
                <w:szCs w:val="21"/>
                <w:highlight w:val="none"/>
                <w:lang w:val="en-US" w:eastAsia="zh-CN"/>
              </w:rPr>
              <w:t>。</w:t>
            </w:r>
          </w:p>
        </w:tc>
      </w:tr>
      <w:tr w14:paraId="074279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71" w:type="dxa"/>
            <w:vMerge w:val="continue"/>
            <w:tcBorders>
              <w:tl2br w:val="nil"/>
              <w:tr2bl w:val="nil"/>
            </w:tcBorders>
            <w:noWrap w:val="0"/>
            <w:vAlign w:val="center"/>
          </w:tcPr>
          <w:p w14:paraId="68947174">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p>
        </w:tc>
        <w:tc>
          <w:tcPr>
            <w:tcW w:w="1666" w:type="dxa"/>
            <w:gridSpan w:val="2"/>
            <w:vMerge w:val="continue"/>
            <w:tcBorders>
              <w:tl2br w:val="nil"/>
              <w:tr2bl w:val="nil"/>
            </w:tcBorders>
            <w:noWrap w:val="0"/>
            <w:vAlign w:val="center"/>
          </w:tcPr>
          <w:p w14:paraId="6C693F71">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lang w:eastAsia="zh-CN"/>
              </w:rPr>
            </w:pPr>
          </w:p>
        </w:tc>
        <w:tc>
          <w:tcPr>
            <w:tcW w:w="6486" w:type="dxa"/>
            <w:tcBorders>
              <w:tl2br w:val="nil"/>
              <w:tr2bl w:val="nil"/>
            </w:tcBorders>
            <w:noWrap w:val="0"/>
            <w:vAlign w:val="center"/>
          </w:tcPr>
          <w:p w14:paraId="4B2A87D4">
            <w:pPr>
              <w:keepNext w:val="0"/>
              <w:keepLines w:val="0"/>
              <w:pageBreakBefore w:val="0"/>
              <w:widowControl/>
              <w:kinsoku/>
              <w:wordWrap/>
              <w:overflowPunct/>
              <w:topLinePunct w:val="0"/>
              <w:bidi w:val="0"/>
              <w:adjustRightInd w:val="0"/>
              <w:snapToGrid w:val="0"/>
              <w:spacing w:line="240" w:lineRule="auto"/>
              <w:ind w:firstLine="394" w:firstLineChars="200"/>
              <w:jc w:val="both"/>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钦州港路排水工程：拟建排水管道d600~d800排水管道长309m。</w:t>
            </w:r>
          </w:p>
        </w:tc>
      </w:tr>
      <w:tr w14:paraId="2DAF3C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71" w:type="dxa"/>
            <w:vMerge w:val="continue"/>
            <w:tcBorders>
              <w:tl2br w:val="nil"/>
              <w:tr2bl w:val="nil"/>
            </w:tcBorders>
            <w:noWrap w:val="0"/>
            <w:vAlign w:val="center"/>
          </w:tcPr>
          <w:p w14:paraId="45460DA9">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p>
        </w:tc>
        <w:tc>
          <w:tcPr>
            <w:tcW w:w="1666" w:type="dxa"/>
            <w:gridSpan w:val="2"/>
            <w:tcBorders>
              <w:tl2br w:val="nil"/>
              <w:tr2bl w:val="nil"/>
            </w:tcBorders>
            <w:noWrap w:val="0"/>
            <w:vAlign w:val="center"/>
          </w:tcPr>
          <w:p w14:paraId="775DA0D6">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水系改造</w:t>
            </w:r>
          </w:p>
        </w:tc>
        <w:tc>
          <w:tcPr>
            <w:tcW w:w="6486" w:type="dxa"/>
            <w:tcBorders>
              <w:tl2br w:val="nil"/>
              <w:tr2bl w:val="nil"/>
            </w:tcBorders>
            <w:noWrap w:val="0"/>
            <w:vAlign w:val="center"/>
          </w:tcPr>
          <w:p w14:paraId="3FAFB8D2">
            <w:pPr>
              <w:keepNext w:val="0"/>
              <w:keepLines w:val="0"/>
              <w:pageBreakBefore w:val="0"/>
              <w:widowControl/>
              <w:kinsoku/>
              <w:wordWrap/>
              <w:overflowPunct/>
              <w:topLinePunct w:val="0"/>
              <w:bidi w:val="0"/>
              <w:adjustRightInd w:val="0"/>
              <w:snapToGrid w:val="0"/>
              <w:spacing w:line="240" w:lineRule="auto"/>
              <w:ind w:firstLine="394" w:firstLineChars="200"/>
              <w:jc w:val="left"/>
              <w:textAlignment w:val="auto"/>
              <w:rPr>
                <w:rFonts w:hint="default" w:ascii="Times New Roman" w:hAnsi="Times New Roman"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城市更新项目建设服务于金窝水库的排水水系改造段：拟建挡土墙892.16m，土堤护岸238.54m，临时排水土沟134.45m，新建4*dn2200钢筋混凝土管共216m，2-5.5×5.0m过路箱涵71.105m，</w:t>
            </w:r>
            <w:r>
              <w:rPr>
                <w:rFonts w:hint="eastAsia" w:ascii="Times New Roman" w:cs="Times New Roman"/>
                <w:b w:val="0"/>
                <w:bCs/>
                <w:color w:val="auto"/>
                <w:sz w:val="21"/>
                <w:szCs w:val="21"/>
                <w:highlight w:val="none"/>
                <w:lang w:val="en-US" w:eastAsia="zh-CN"/>
              </w:rPr>
              <w:t>曲绣路</w:t>
            </w:r>
            <w:r>
              <w:rPr>
                <w:rFonts w:hint="default" w:ascii="Times New Roman" w:hAnsi="Times New Roman" w:eastAsia="宋体" w:cs="Times New Roman"/>
                <w:b w:val="0"/>
                <w:bCs/>
                <w:color w:val="auto"/>
                <w:sz w:val="21"/>
                <w:szCs w:val="21"/>
                <w:highlight w:val="none"/>
                <w:lang w:val="en-US" w:eastAsia="zh-CN"/>
              </w:rPr>
              <w:t>d800~d1200排水管道749m。</w:t>
            </w:r>
          </w:p>
        </w:tc>
      </w:tr>
      <w:tr w14:paraId="7C7C39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71" w:type="dxa"/>
            <w:vMerge w:val="restart"/>
            <w:tcBorders>
              <w:tl2br w:val="nil"/>
              <w:tr2bl w:val="nil"/>
            </w:tcBorders>
            <w:noWrap w:val="0"/>
            <w:vAlign w:val="center"/>
          </w:tcPr>
          <w:p w14:paraId="1A913A1A">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附属工程</w:t>
            </w:r>
          </w:p>
        </w:tc>
        <w:tc>
          <w:tcPr>
            <w:tcW w:w="1666" w:type="dxa"/>
            <w:gridSpan w:val="2"/>
            <w:tcBorders>
              <w:tl2br w:val="nil"/>
              <w:tr2bl w:val="nil"/>
            </w:tcBorders>
            <w:noWrap w:val="0"/>
            <w:vAlign w:val="center"/>
          </w:tcPr>
          <w:p w14:paraId="2D3B7F4D">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涵洞工程</w:t>
            </w:r>
          </w:p>
        </w:tc>
        <w:tc>
          <w:tcPr>
            <w:tcW w:w="6486" w:type="dxa"/>
            <w:tcBorders>
              <w:tl2br w:val="nil"/>
              <w:tr2bl w:val="nil"/>
            </w:tcBorders>
            <w:noWrap w:val="0"/>
            <w:vAlign w:val="center"/>
          </w:tcPr>
          <w:p w14:paraId="69CA894D">
            <w:pPr>
              <w:keepNext w:val="0"/>
              <w:keepLines w:val="0"/>
              <w:pageBreakBefore w:val="0"/>
              <w:widowControl/>
              <w:kinsoku/>
              <w:wordWrap/>
              <w:overflowPunct/>
              <w:topLinePunct w:val="0"/>
              <w:bidi w:val="0"/>
              <w:adjustRightInd w:val="0"/>
              <w:snapToGrid w:val="0"/>
              <w:spacing w:line="240" w:lineRule="auto"/>
              <w:ind w:firstLine="394" w:firstLineChars="200"/>
              <w:jc w:val="left"/>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本项目共设置涵洞325.105m，箱涵涵身C40混凝土，圆管涵采用预制水泥混凝土Ⅲ级管。</w:t>
            </w:r>
          </w:p>
        </w:tc>
      </w:tr>
      <w:tr w14:paraId="69B11A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7" w:hRule="atLeast"/>
        </w:trPr>
        <w:tc>
          <w:tcPr>
            <w:tcW w:w="671" w:type="dxa"/>
            <w:vMerge w:val="continue"/>
            <w:tcBorders>
              <w:tl2br w:val="nil"/>
              <w:tr2bl w:val="nil"/>
            </w:tcBorders>
            <w:noWrap w:val="0"/>
            <w:vAlign w:val="center"/>
          </w:tcPr>
          <w:p w14:paraId="625E8B31">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lang w:val="en-US" w:eastAsia="zh-CN"/>
              </w:rPr>
            </w:pPr>
          </w:p>
        </w:tc>
        <w:tc>
          <w:tcPr>
            <w:tcW w:w="1666" w:type="dxa"/>
            <w:gridSpan w:val="2"/>
            <w:tcBorders>
              <w:tl2br w:val="nil"/>
              <w:tr2bl w:val="nil"/>
            </w:tcBorders>
            <w:noWrap w:val="0"/>
            <w:vAlign w:val="center"/>
          </w:tcPr>
          <w:p w14:paraId="16D907EB">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检查井、雨水井</w:t>
            </w:r>
          </w:p>
        </w:tc>
        <w:tc>
          <w:tcPr>
            <w:tcW w:w="6486" w:type="dxa"/>
            <w:tcBorders>
              <w:tl2br w:val="nil"/>
              <w:tr2bl w:val="nil"/>
            </w:tcBorders>
            <w:noWrap w:val="0"/>
            <w:vAlign w:val="center"/>
          </w:tcPr>
          <w:p w14:paraId="4B39489B">
            <w:pPr>
              <w:keepNext w:val="0"/>
              <w:keepLines w:val="0"/>
              <w:pageBreakBefore w:val="0"/>
              <w:widowControl/>
              <w:kinsoku/>
              <w:wordWrap/>
              <w:overflowPunct/>
              <w:topLinePunct w:val="0"/>
              <w:bidi w:val="0"/>
              <w:adjustRightInd w:val="0"/>
              <w:snapToGrid w:val="0"/>
              <w:spacing w:line="240" w:lineRule="auto"/>
              <w:ind w:firstLine="394" w:firstLineChars="200"/>
              <w:jc w:val="left"/>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工程按40米设置一座检查井，并按80~100m左右设置一座雨水井预留相邻地块排水接入，预留雨水支管为d800，采用钢筋混凝土检查井。</w:t>
            </w:r>
          </w:p>
        </w:tc>
      </w:tr>
      <w:tr w14:paraId="268425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71" w:type="dxa"/>
            <w:vMerge w:val="continue"/>
            <w:tcBorders>
              <w:tl2br w:val="nil"/>
              <w:tr2bl w:val="nil"/>
            </w:tcBorders>
            <w:noWrap w:val="0"/>
            <w:vAlign w:val="center"/>
          </w:tcPr>
          <w:p w14:paraId="4C668311">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lang w:val="en-US" w:eastAsia="zh-CN"/>
              </w:rPr>
            </w:pPr>
          </w:p>
        </w:tc>
        <w:tc>
          <w:tcPr>
            <w:tcW w:w="1666" w:type="dxa"/>
            <w:gridSpan w:val="2"/>
            <w:tcBorders>
              <w:tl2br w:val="nil"/>
              <w:tr2bl w:val="nil"/>
            </w:tcBorders>
            <w:noWrap w:val="0"/>
            <w:vAlign w:val="center"/>
          </w:tcPr>
          <w:p w14:paraId="6473FC68">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雨水口及连管</w:t>
            </w:r>
          </w:p>
        </w:tc>
        <w:tc>
          <w:tcPr>
            <w:tcW w:w="6486" w:type="dxa"/>
            <w:tcBorders>
              <w:tl2br w:val="nil"/>
              <w:tr2bl w:val="nil"/>
            </w:tcBorders>
            <w:noWrap w:val="0"/>
            <w:vAlign w:val="center"/>
          </w:tcPr>
          <w:p w14:paraId="162057EA">
            <w:pPr>
              <w:keepNext w:val="0"/>
              <w:keepLines w:val="0"/>
              <w:pageBreakBefore w:val="0"/>
              <w:widowControl/>
              <w:kinsoku/>
              <w:wordWrap/>
              <w:overflowPunct/>
              <w:topLinePunct w:val="0"/>
              <w:bidi w:val="0"/>
              <w:adjustRightInd w:val="0"/>
              <w:snapToGrid w:val="0"/>
              <w:spacing w:line="240" w:lineRule="auto"/>
              <w:ind w:firstLine="394" w:firstLineChars="200"/>
              <w:jc w:val="left"/>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雨水口连接管采用d300钢筋砼（Ⅱ）承插管，管道接口为橡胶圈接口，连接管采用360°满包混凝土加固。雨水口深度采用1.0m。砖砌偏沟式双箅雨水口（混凝土井圈）。</w:t>
            </w:r>
          </w:p>
        </w:tc>
      </w:tr>
      <w:tr w14:paraId="1285ED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71" w:type="dxa"/>
            <w:vMerge w:val="restart"/>
            <w:tcBorders>
              <w:tl2br w:val="nil"/>
              <w:tr2bl w:val="nil"/>
            </w:tcBorders>
            <w:noWrap w:val="0"/>
            <w:vAlign w:val="center"/>
          </w:tcPr>
          <w:p w14:paraId="71343C84">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临时工程</w:t>
            </w:r>
          </w:p>
        </w:tc>
        <w:tc>
          <w:tcPr>
            <w:tcW w:w="1666" w:type="dxa"/>
            <w:gridSpan w:val="2"/>
            <w:tcBorders>
              <w:tl2br w:val="nil"/>
              <w:tr2bl w:val="nil"/>
            </w:tcBorders>
            <w:noWrap w:val="0"/>
            <w:vAlign w:val="center"/>
          </w:tcPr>
          <w:p w14:paraId="6E9B789F">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b w:val="0"/>
                <w:bCs/>
                <w:color w:val="auto"/>
                <w:sz w:val="21"/>
                <w:szCs w:val="21"/>
                <w:highlight w:val="none"/>
                <w:lang w:eastAsia="zh-CN"/>
              </w:rPr>
              <w:t>临时中转场</w:t>
            </w:r>
          </w:p>
        </w:tc>
        <w:tc>
          <w:tcPr>
            <w:tcW w:w="6486" w:type="dxa"/>
            <w:tcBorders>
              <w:tl2br w:val="nil"/>
              <w:tr2bl w:val="nil"/>
            </w:tcBorders>
            <w:noWrap w:val="0"/>
            <w:vAlign w:val="center"/>
          </w:tcPr>
          <w:p w14:paraId="635DD2A3">
            <w:pPr>
              <w:keepNext w:val="0"/>
              <w:keepLines w:val="0"/>
              <w:pageBreakBefore w:val="0"/>
              <w:widowControl/>
              <w:kinsoku/>
              <w:wordWrap/>
              <w:overflowPunct/>
              <w:topLinePunct w:val="0"/>
              <w:bidi w:val="0"/>
              <w:adjustRightInd w:val="0"/>
              <w:snapToGrid w:val="0"/>
              <w:spacing w:line="240" w:lineRule="auto"/>
              <w:ind w:firstLine="394" w:firstLineChars="200"/>
              <w:jc w:val="left"/>
              <w:textAlignment w:val="auto"/>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kern w:val="0"/>
                <w:sz w:val="21"/>
                <w:szCs w:val="21"/>
                <w:highlight w:val="none"/>
                <w:lang w:val="en-US" w:eastAsia="zh-CN"/>
              </w:rPr>
              <w:t>项目位于钦州港路与锦绣大道交叉口处的西南侧设置1处面积约</w:t>
            </w:r>
            <w:r>
              <w:rPr>
                <w:rFonts w:hint="eastAsia" w:ascii="Times New Roman" w:cs="Times New Roman"/>
                <w:b w:val="0"/>
                <w:bCs/>
                <w:color w:val="auto"/>
                <w:kern w:val="0"/>
                <w:sz w:val="21"/>
                <w:szCs w:val="21"/>
                <w:highlight w:val="none"/>
                <w:u w:val="single"/>
                <w:lang w:val="en-US" w:eastAsia="zh-CN"/>
              </w:rPr>
              <w:t>0.85</w:t>
            </w:r>
            <w:r>
              <w:rPr>
                <w:rFonts w:hint="default" w:ascii="Times New Roman" w:hAnsi="Times New Roman" w:eastAsia="宋体" w:cs="Times New Roman"/>
                <w:b w:val="0"/>
                <w:bCs/>
                <w:color w:val="auto"/>
                <w:kern w:val="0"/>
                <w:sz w:val="21"/>
                <w:szCs w:val="21"/>
                <w:highlight w:val="none"/>
                <w:u w:val="single"/>
                <w:lang w:val="en-US" w:eastAsia="zh-CN"/>
              </w:rPr>
              <w:t>hm</w:t>
            </w:r>
            <w:r>
              <w:rPr>
                <w:rFonts w:hint="default" w:ascii="Times New Roman" w:hAnsi="Times New Roman" w:eastAsia="宋体" w:cs="Times New Roman"/>
                <w:b w:val="0"/>
                <w:bCs/>
                <w:color w:val="auto"/>
                <w:kern w:val="0"/>
                <w:sz w:val="21"/>
                <w:szCs w:val="21"/>
                <w:highlight w:val="none"/>
                <w:u w:val="single"/>
                <w:vertAlign w:val="superscript"/>
                <w:lang w:val="en-US" w:eastAsia="zh-CN"/>
              </w:rPr>
              <w:t>2</w:t>
            </w:r>
            <w:r>
              <w:rPr>
                <w:rFonts w:hint="default" w:ascii="Times New Roman" w:hAnsi="Times New Roman" w:eastAsia="宋体" w:cs="Times New Roman"/>
                <w:b w:val="0"/>
                <w:bCs/>
                <w:color w:val="auto"/>
                <w:kern w:val="0"/>
                <w:sz w:val="21"/>
                <w:szCs w:val="21"/>
                <w:highlight w:val="none"/>
                <w:vertAlign w:val="baseline"/>
                <w:lang w:val="en-US" w:eastAsia="zh-CN"/>
              </w:rPr>
              <w:t>的</w:t>
            </w:r>
            <w:r>
              <w:rPr>
                <w:rFonts w:hint="eastAsia" w:ascii="Times New Roman" w:cs="Times New Roman"/>
                <w:b w:val="0"/>
                <w:bCs/>
                <w:color w:val="auto"/>
                <w:kern w:val="0"/>
                <w:sz w:val="21"/>
                <w:szCs w:val="21"/>
                <w:highlight w:val="none"/>
                <w:vertAlign w:val="baseline"/>
                <w:lang w:val="en-US" w:eastAsia="zh-CN"/>
              </w:rPr>
              <w:t>临时中转场</w:t>
            </w:r>
            <w:r>
              <w:rPr>
                <w:rFonts w:hint="default" w:ascii="Times New Roman" w:hAnsi="Times New Roman" w:eastAsia="宋体" w:cs="Times New Roman"/>
                <w:b w:val="0"/>
                <w:bCs/>
                <w:color w:val="auto"/>
                <w:kern w:val="0"/>
                <w:sz w:val="21"/>
                <w:szCs w:val="21"/>
                <w:highlight w:val="none"/>
                <w:vertAlign w:val="baseline"/>
                <w:lang w:val="en-US" w:eastAsia="zh-CN"/>
              </w:rPr>
              <w:t>。</w:t>
            </w:r>
          </w:p>
        </w:tc>
      </w:tr>
      <w:tr w14:paraId="474D78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71" w:type="dxa"/>
            <w:vMerge w:val="continue"/>
            <w:tcBorders>
              <w:tl2br w:val="nil"/>
              <w:tr2bl w:val="nil"/>
            </w:tcBorders>
            <w:noWrap w:val="0"/>
            <w:vAlign w:val="center"/>
          </w:tcPr>
          <w:p w14:paraId="13290EAC">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p>
        </w:tc>
        <w:tc>
          <w:tcPr>
            <w:tcW w:w="1666" w:type="dxa"/>
            <w:gridSpan w:val="2"/>
            <w:tcBorders>
              <w:tl2br w:val="nil"/>
              <w:tr2bl w:val="nil"/>
            </w:tcBorders>
            <w:noWrap w:val="0"/>
            <w:vAlign w:val="center"/>
          </w:tcPr>
          <w:p w14:paraId="03BC98D2">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Times New Roman" w:cs="Times New Roman"/>
                <w:b w:val="0"/>
                <w:bCs/>
                <w:color w:val="auto"/>
                <w:sz w:val="21"/>
                <w:szCs w:val="21"/>
                <w:highlight w:val="none"/>
                <w:lang w:eastAsia="zh-CN"/>
              </w:rPr>
            </w:pPr>
            <w:r>
              <w:rPr>
                <w:rFonts w:hint="eastAsia" w:ascii="Times New Roman" w:cs="Times New Roman"/>
                <w:b w:val="0"/>
                <w:bCs/>
                <w:color w:val="auto"/>
                <w:sz w:val="21"/>
                <w:szCs w:val="21"/>
                <w:highlight w:val="none"/>
                <w:lang w:eastAsia="zh-CN"/>
              </w:rPr>
              <w:t>钢筋加工厂</w:t>
            </w:r>
          </w:p>
        </w:tc>
        <w:tc>
          <w:tcPr>
            <w:tcW w:w="6486" w:type="dxa"/>
            <w:tcBorders>
              <w:tl2br w:val="nil"/>
              <w:tr2bl w:val="nil"/>
            </w:tcBorders>
            <w:noWrap w:val="0"/>
            <w:vAlign w:val="center"/>
          </w:tcPr>
          <w:p w14:paraId="79958E45">
            <w:pPr>
              <w:keepNext w:val="0"/>
              <w:keepLines w:val="0"/>
              <w:pageBreakBefore w:val="0"/>
              <w:widowControl/>
              <w:kinsoku/>
              <w:wordWrap/>
              <w:overflowPunct/>
              <w:topLinePunct w:val="0"/>
              <w:bidi w:val="0"/>
              <w:adjustRightInd w:val="0"/>
              <w:snapToGrid w:val="0"/>
              <w:spacing w:line="240" w:lineRule="auto"/>
              <w:ind w:firstLine="394" w:firstLineChars="200"/>
              <w:jc w:val="left"/>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cs="Times New Roman"/>
                <w:b w:val="0"/>
                <w:bCs/>
                <w:color w:val="auto"/>
                <w:kern w:val="0"/>
                <w:sz w:val="21"/>
                <w:szCs w:val="21"/>
                <w:highlight w:val="none"/>
                <w:u w:val="single"/>
                <w:lang w:val="en-US" w:eastAsia="zh-CN"/>
              </w:rPr>
              <w:t>项目</w:t>
            </w:r>
            <w:r>
              <w:rPr>
                <w:rFonts w:hint="default" w:ascii="Times New Roman" w:hAnsi="Times New Roman" w:eastAsia="宋体" w:cs="Times New Roman"/>
                <w:b w:val="0"/>
                <w:bCs/>
                <w:color w:val="auto"/>
                <w:kern w:val="0"/>
                <w:sz w:val="21"/>
                <w:szCs w:val="21"/>
                <w:highlight w:val="none"/>
                <w:u w:val="single"/>
                <w:lang w:val="en-US" w:eastAsia="zh-CN"/>
              </w:rPr>
              <w:t>位于钦州港路与锦绣大道交叉口处的西南侧设置1处面积约</w:t>
            </w:r>
            <w:r>
              <w:rPr>
                <w:rFonts w:hint="eastAsia" w:ascii="Times New Roman" w:hAnsi="Times New Roman" w:eastAsia="宋体" w:cs="Times New Roman"/>
                <w:b w:val="0"/>
                <w:bCs/>
                <w:color w:val="auto"/>
                <w:kern w:val="0"/>
                <w:sz w:val="21"/>
                <w:szCs w:val="21"/>
                <w:highlight w:val="none"/>
                <w:u w:val="single"/>
                <w:lang w:val="en-US" w:eastAsia="zh-CN"/>
              </w:rPr>
              <w:t>1500</w:t>
            </w:r>
            <w:r>
              <w:rPr>
                <w:rFonts w:hint="default" w:ascii="Times New Roman" w:hAnsi="Times New Roman" w:eastAsia="宋体" w:cs="Times New Roman"/>
                <w:b w:val="0"/>
                <w:bCs/>
                <w:color w:val="auto"/>
                <w:kern w:val="0"/>
                <w:sz w:val="21"/>
                <w:szCs w:val="21"/>
                <w:highlight w:val="none"/>
                <w:u w:val="single"/>
                <w:lang w:val="en-US" w:eastAsia="zh-CN"/>
              </w:rPr>
              <w:t>m</w:t>
            </w:r>
            <w:r>
              <w:rPr>
                <w:rFonts w:hint="default" w:ascii="Times New Roman" w:hAnsi="Times New Roman" w:eastAsia="宋体" w:cs="Times New Roman"/>
                <w:b w:val="0"/>
                <w:bCs/>
                <w:color w:val="auto"/>
                <w:kern w:val="0"/>
                <w:sz w:val="21"/>
                <w:szCs w:val="21"/>
                <w:highlight w:val="none"/>
                <w:u w:val="single"/>
                <w:vertAlign w:val="superscript"/>
                <w:lang w:val="en-US" w:eastAsia="zh-CN"/>
              </w:rPr>
              <w:t>2</w:t>
            </w:r>
            <w:r>
              <w:rPr>
                <w:rFonts w:hint="default" w:ascii="Times New Roman" w:hAnsi="Times New Roman" w:eastAsia="宋体" w:cs="Times New Roman"/>
                <w:b w:val="0"/>
                <w:bCs/>
                <w:color w:val="auto"/>
                <w:kern w:val="0"/>
                <w:sz w:val="21"/>
                <w:szCs w:val="21"/>
                <w:highlight w:val="none"/>
                <w:u w:val="single"/>
                <w:vertAlign w:val="baseline"/>
                <w:lang w:val="en-US" w:eastAsia="zh-CN"/>
              </w:rPr>
              <w:t>的</w:t>
            </w:r>
            <w:r>
              <w:rPr>
                <w:rFonts w:hint="eastAsia" w:ascii="Times New Roman" w:cs="Times New Roman"/>
                <w:b w:val="0"/>
                <w:bCs/>
                <w:color w:val="auto"/>
                <w:kern w:val="0"/>
                <w:sz w:val="21"/>
                <w:szCs w:val="21"/>
                <w:highlight w:val="none"/>
                <w:u w:val="single"/>
                <w:vertAlign w:val="baseline"/>
                <w:lang w:val="en-US" w:eastAsia="zh-CN"/>
              </w:rPr>
              <w:t>钢筋加工厂</w:t>
            </w:r>
            <w:r>
              <w:rPr>
                <w:rFonts w:hint="default" w:ascii="Times New Roman" w:hAnsi="Times New Roman" w:eastAsia="宋体" w:cs="Times New Roman"/>
                <w:b w:val="0"/>
                <w:bCs/>
                <w:color w:val="auto"/>
                <w:kern w:val="0"/>
                <w:sz w:val="21"/>
                <w:szCs w:val="21"/>
                <w:highlight w:val="none"/>
                <w:u w:val="single"/>
                <w:vertAlign w:val="baseline"/>
                <w:lang w:val="en-US" w:eastAsia="zh-CN"/>
              </w:rPr>
              <w:t>。</w:t>
            </w:r>
          </w:p>
        </w:tc>
      </w:tr>
      <w:tr w14:paraId="06305C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71" w:type="dxa"/>
            <w:vMerge w:val="continue"/>
            <w:tcBorders>
              <w:tl2br w:val="nil"/>
              <w:tr2bl w:val="nil"/>
            </w:tcBorders>
            <w:noWrap w:val="0"/>
            <w:vAlign w:val="center"/>
          </w:tcPr>
          <w:p w14:paraId="5B013E2B">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p>
        </w:tc>
        <w:tc>
          <w:tcPr>
            <w:tcW w:w="1666" w:type="dxa"/>
            <w:gridSpan w:val="2"/>
            <w:tcBorders>
              <w:tl2br w:val="nil"/>
              <w:tr2bl w:val="nil"/>
            </w:tcBorders>
            <w:noWrap w:val="0"/>
            <w:vAlign w:val="center"/>
          </w:tcPr>
          <w:p w14:paraId="7188890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钦州港路、</w:t>
            </w:r>
            <w:r>
              <w:rPr>
                <w:rFonts w:hint="eastAsia" w:ascii="Times New Roman" w:cs="Times New Roman"/>
                <w:b w:val="0"/>
                <w:bCs/>
                <w:color w:val="auto"/>
                <w:kern w:val="0"/>
                <w:sz w:val="21"/>
                <w:szCs w:val="21"/>
                <w:highlight w:val="none"/>
                <w:lang w:val="en-US" w:eastAsia="zh-CN"/>
              </w:rPr>
              <w:t>曲绣路</w:t>
            </w:r>
            <w:r>
              <w:rPr>
                <w:rFonts w:hint="eastAsia" w:ascii="Times New Roman" w:hAnsi="Times New Roman" w:eastAsia="宋体" w:cs="Times New Roman"/>
                <w:b w:val="0"/>
                <w:bCs/>
                <w:color w:val="auto"/>
                <w:kern w:val="0"/>
                <w:sz w:val="21"/>
                <w:szCs w:val="21"/>
                <w:highlight w:val="none"/>
                <w:lang w:val="en-US" w:eastAsia="zh-CN"/>
              </w:rPr>
              <w:t>回填区</w:t>
            </w:r>
          </w:p>
        </w:tc>
        <w:tc>
          <w:tcPr>
            <w:tcW w:w="6486" w:type="dxa"/>
            <w:tcBorders>
              <w:tl2br w:val="nil"/>
              <w:tr2bl w:val="nil"/>
            </w:tcBorders>
            <w:noWrap w:val="0"/>
            <w:vAlign w:val="center"/>
          </w:tcPr>
          <w:p w14:paraId="196FC0FA">
            <w:pPr>
              <w:keepNext w:val="0"/>
              <w:keepLines w:val="0"/>
              <w:pageBreakBefore w:val="0"/>
              <w:widowControl/>
              <w:kinsoku/>
              <w:wordWrap/>
              <w:overflowPunct/>
              <w:topLinePunct w:val="0"/>
              <w:autoSpaceDE/>
              <w:autoSpaceDN/>
              <w:bidi w:val="0"/>
              <w:adjustRightInd w:val="0"/>
              <w:snapToGrid w:val="0"/>
              <w:spacing w:line="240" w:lineRule="auto"/>
              <w:ind w:firstLine="394" w:firstLineChars="200"/>
              <w:jc w:val="both"/>
              <w:textAlignment w:val="auto"/>
              <w:rPr>
                <w:rFonts w:hint="default" w:ascii="Times New Roman" w:hAnsi="Times New Roman" w:eastAsia="宋体" w:cs="Times New Roman"/>
                <w:b w:val="0"/>
                <w:bCs/>
                <w:color w:val="auto"/>
                <w:kern w:val="0"/>
                <w:sz w:val="21"/>
                <w:szCs w:val="21"/>
                <w:highlight w:val="none"/>
                <w:vertAlign w:val="baseline"/>
                <w:lang w:val="en-US" w:eastAsia="zh-CN"/>
              </w:rPr>
            </w:pPr>
            <w:r>
              <w:rPr>
                <w:rFonts w:hint="eastAsia" w:ascii="Times New Roman" w:hAnsi="Times New Roman" w:eastAsia="宋体" w:cs="Times New Roman"/>
                <w:b w:val="0"/>
                <w:bCs/>
                <w:color w:val="auto"/>
                <w:kern w:val="0"/>
                <w:sz w:val="21"/>
                <w:szCs w:val="21"/>
                <w:highlight w:val="none"/>
                <w:lang w:val="en-US" w:eastAsia="zh-CN"/>
              </w:rPr>
              <w:t>位于规划钦州港路、</w:t>
            </w:r>
            <w:r>
              <w:rPr>
                <w:rFonts w:hint="eastAsia" w:ascii="Times New Roman" w:cs="Times New Roman"/>
                <w:b w:val="0"/>
                <w:bCs/>
                <w:color w:val="auto"/>
                <w:kern w:val="0"/>
                <w:sz w:val="21"/>
                <w:szCs w:val="21"/>
                <w:highlight w:val="none"/>
                <w:lang w:val="en-US" w:eastAsia="zh-CN"/>
              </w:rPr>
              <w:t>曲绣路</w:t>
            </w:r>
            <w:r>
              <w:rPr>
                <w:rFonts w:hint="eastAsia" w:ascii="Times New Roman" w:hAnsi="Times New Roman" w:eastAsia="宋体" w:cs="Times New Roman"/>
                <w:b w:val="0"/>
                <w:bCs/>
                <w:color w:val="auto"/>
                <w:kern w:val="0"/>
                <w:sz w:val="21"/>
                <w:szCs w:val="21"/>
                <w:highlight w:val="none"/>
                <w:lang w:val="en-US" w:eastAsia="zh-CN"/>
              </w:rPr>
              <w:t>红线范围内的耕植土换填后进行回填，回填至规划标高铺设雨水排管，施工结束后对回填区路基及边坡进行撒播草籽植被覆盖，回填区临时占地2.36hm</w:t>
            </w:r>
            <w:r>
              <w:rPr>
                <w:rFonts w:hint="eastAsia" w:ascii="Times New Roman" w:hAnsi="Times New Roman" w:eastAsia="宋体" w:cs="Times New Roman"/>
                <w:b w:val="0"/>
                <w:bCs/>
                <w:color w:val="auto"/>
                <w:kern w:val="0"/>
                <w:sz w:val="21"/>
                <w:szCs w:val="21"/>
                <w:highlight w:val="none"/>
                <w:vertAlign w:val="superscript"/>
                <w:lang w:val="en-US" w:eastAsia="zh-CN"/>
              </w:rPr>
              <w:t>2</w:t>
            </w:r>
            <w:r>
              <w:rPr>
                <w:rFonts w:hint="eastAsia" w:ascii="Times New Roman" w:hAnsi="Times New Roman" w:eastAsia="宋体" w:cs="Times New Roman"/>
                <w:b w:val="0"/>
                <w:bCs/>
                <w:color w:val="auto"/>
                <w:kern w:val="0"/>
                <w:sz w:val="21"/>
                <w:szCs w:val="21"/>
                <w:highlight w:val="none"/>
                <w:vertAlign w:val="baseline"/>
                <w:lang w:val="en-US" w:eastAsia="zh-CN"/>
              </w:rPr>
              <w:t>。</w:t>
            </w:r>
          </w:p>
          <w:p w14:paraId="458EF529">
            <w:pPr>
              <w:keepNext w:val="0"/>
              <w:keepLines w:val="0"/>
              <w:pageBreakBefore w:val="0"/>
              <w:widowControl/>
              <w:kinsoku/>
              <w:wordWrap/>
              <w:overflowPunct/>
              <w:topLinePunct w:val="0"/>
              <w:autoSpaceDE/>
              <w:autoSpaceDN/>
              <w:bidi w:val="0"/>
              <w:adjustRightInd w:val="0"/>
              <w:snapToGrid w:val="0"/>
              <w:spacing w:line="240" w:lineRule="auto"/>
              <w:ind w:firstLine="394" w:firstLineChars="200"/>
              <w:jc w:val="both"/>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钦州港路回填路基宽度为24m（顶部）边坡比例1:2；</w:t>
            </w:r>
            <w:r>
              <w:rPr>
                <w:rFonts w:hint="eastAsia" w:ascii="Times New Roman" w:cs="Times New Roman"/>
                <w:b w:val="0"/>
                <w:bCs/>
                <w:color w:val="auto"/>
                <w:kern w:val="0"/>
                <w:sz w:val="21"/>
                <w:szCs w:val="21"/>
                <w:highlight w:val="none"/>
                <w:lang w:val="en-US" w:eastAsia="zh-CN"/>
              </w:rPr>
              <w:t>曲绣路</w:t>
            </w:r>
            <w:r>
              <w:rPr>
                <w:rFonts w:hint="eastAsia" w:ascii="Times New Roman" w:hAnsi="Times New Roman" w:eastAsia="宋体" w:cs="Times New Roman"/>
                <w:b w:val="0"/>
                <w:bCs/>
                <w:color w:val="auto"/>
                <w:kern w:val="0"/>
                <w:sz w:val="21"/>
                <w:szCs w:val="21"/>
                <w:highlight w:val="none"/>
                <w:lang w:val="en-US" w:eastAsia="zh-CN"/>
              </w:rPr>
              <w:t>回填路基宽度24m（顶部），东侧边坡比例1:2，西侧为水系改造段新建挡土墙。</w:t>
            </w:r>
          </w:p>
        </w:tc>
      </w:tr>
      <w:tr w14:paraId="45D5BC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71" w:type="dxa"/>
            <w:vMerge w:val="restart"/>
            <w:tcBorders>
              <w:tl2br w:val="nil"/>
              <w:tr2bl w:val="nil"/>
            </w:tcBorders>
            <w:noWrap w:val="0"/>
            <w:vAlign w:val="center"/>
          </w:tcPr>
          <w:p w14:paraId="5E05460F">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公用工程</w:t>
            </w:r>
          </w:p>
        </w:tc>
        <w:tc>
          <w:tcPr>
            <w:tcW w:w="1666" w:type="dxa"/>
            <w:gridSpan w:val="2"/>
            <w:tcBorders>
              <w:tl2br w:val="nil"/>
              <w:tr2bl w:val="nil"/>
            </w:tcBorders>
            <w:noWrap w:val="0"/>
            <w:vAlign w:val="center"/>
          </w:tcPr>
          <w:p w14:paraId="5CA34889">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供电</w:t>
            </w:r>
          </w:p>
        </w:tc>
        <w:tc>
          <w:tcPr>
            <w:tcW w:w="6486" w:type="dxa"/>
            <w:tcBorders>
              <w:tl2br w:val="nil"/>
              <w:tr2bl w:val="nil"/>
            </w:tcBorders>
            <w:noWrap w:val="0"/>
            <w:vAlign w:val="center"/>
          </w:tcPr>
          <w:p w14:paraId="0D2C31FB">
            <w:pPr>
              <w:keepNext w:val="0"/>
              <w:keepLines w:val="0"/>
              <w:pageBreakBefore w:val="0"/>
              <w:widowControl/>
              <w:kinsoku/>
              <w:wordWrap/>
              <w:overflowPunct/>
              <w:topLinePunct w:val="0"/>
              <w:bidi w:val="0"/>
              <w:adjustRightInd w:val="0"/>
              <w:snapToGrid w:val="0"/>
              <w:spacing w:line="240" w:lineRule="auto"/>
              <w:ind w:firstLine="394" w:firstLineChars="200"/>
              <w:jc w:val="left"/>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施工期采用钦州港电网供电，供电接入点在周边的市政路网接入。</w:t>
            </w:r>
          </w:p>
        </w:tc>
      </w:tr>
      <w:tr w14:paraId="093ADB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71" w:type="dxa"/>
            <w:vMerge w:val="continue"/>
            <w:tcBorders>
              <w:tl2br w:val="nil"/>
              <w:tr2bl w:val="nil"/>
            </w:tcBorders>
            <w:noWrap w:val="0"/>
            <w:vAlign w:val="center"/>
          </w:tcPr>
          <w:p w14:paraId="6EC11986">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p>
        </w:tc>
        <w:tc>
          <w:tcPr>
            <w:tcW w:w="1666" w:type="dxa"/>
            <w:gridSpan w:val="2"/>
            <w:tcBorders>
              <w:tl2br w:val="nil"/>
              <w:tr2bl w:val="nil"/>
            </w:tcBorders>
            <w:noWrap w:val="0"/>
            <w:vAlign w:val="center"/>
          </w:tcPr>
          <w:p w14:paraId="4D652CA0">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供水</w:t>
            </w:r>
          </w:p>
        </w:tc>
        <w:tc>
          <w:tcPr>
            <w:tcW w:w="6486" w:type="dxa"/>
            <w:tcBorders>
              <w:tl2br w:val="nil"/>
              <w:tr2bl w:val="nil"/>
            </w:tcBorders>
            <w:noWrap w:val="0"/>
            <w:vAlign w:val="center"/>
          </w:tcPr>
          <w:p w14:paraId="6C71600F">
            <w:pPr>
              <w:keepNext w:val="0"/>
              <w:keepLines w:val="0"/>
              <w:pageBreakBefore w:val="0"/>
              <w:widowControl/>
              <w:kinsoku/>
              <w:wordWrap/>
              <w:overflowPunct/>
              <w:topLinePunct w:val="0"/>
              <w:bidi w:val="0"/>
              <w:adjustRightInd w:val="0"/>
              <w:snapToGrid w:val="0"/>
              <w:spacing w:line="240" w:lineRule="auto"/>
              <w:ind w:firstLine="394" w:firstLineChars="200"/>
              <w:jc w:val="left"/>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施工期生产用水可直接从河道中提取使用。</w:t>
            </w:r>
          </w:p>
        </w:tc>
      </w:tr>
      <w:tr w14:paraId="1A4834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71" w:type="dxa"/>
            <w:vMerge w:val="continue"/>
            <w:tcBorders>
              <w:tl2br w:val="nil"/>
              <w:tr2bl w:val="nil"/>
            </w:tcBorders>
            <w:noWrap w:val="0"/>
            <w:vAlign w:val="center"/>
          </w:tcPr>
          <w:p w14:paraId="731EC8AA">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p>
        </w:tc>
        <w:tc>
          <w:tcPr>
            <w:tcW w:w="1666" w:type="dxa"/>
            <w:gridSpan w:val="2"/>
            <w:tcBorders>
              <w:tl2br w:val="nil"/>
              <w:tr2bl w:val="nil"/>
            </w:tcBorders>
            <w:noWrap w:val="0"/>
            <w:vAlign w:val="center"/>
          </w:tcPr>
          <w:p w14:paraId="4BEC2025">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lang w:eastAsia="zh-CN"/>
              </w:rPr>
            </w:pPr>
            <w:r>
              <w:rPr>
                <w:rFonts w:hint="eastAsia" w:ascii="Times New Roman" w:hAnsi="Times New Roman" w:cs="Times New Roman"/>
                <w:b w:val="0"/>
                <w:bCs/>
                <w:color w:val="auto"/>
                <w:sz w:val="21"/>
                <w:szCs w:val="21"/>
                <w:highlight w:val="none"/>
                <w:lang w:val="en-US" w:eastAsia="zh-CN"/>
              </w:rPr>
              <w:t>工程</w:t>
            </w:r>
            <w:r>
              <w:rPr>
                <w:rFonts w:hint="default" w:ascii="Times New Roman" w:hAnsi="Times New Roman" w:cs="Times New Roman"/>
                <w:b w:val="0"/>
                <w:bCs/>
                <w:color w:val="auto"/>
                <w:sz w:val="21"/>
                <w:szCs w:val="21"/>
                <w:highlight w:val="none"/>
                <w:lang w:eastAsia="zh-CN"/>
              </w:rPr>
              <w:t>材料及运输条件</w:t>
            </w:r>
          </w:p>
        </w:tc>
        <w:tc>
          <w:tcPr>
            <w:tcW w:w="6486" w:type="dxa"/>
            <w:tcBorders>
              <w:tl2br w:val="nil"/>
              <w:tr2bl w:val="nil"/>
            </w:tcBorders>
            <w:noWrap w:val="0"/>
            <w:vAlign w:val="center"/>
          </w:tcPr>
          <w:p w14:paraId="102B7469">
            <w:pPr>
              <w:keepNext w:val="0"/>
              <w:keepLines w:val="0"/>
              <w:pageBreakBefore w:val="0"/>
              <w:widowControl/>
              <w:kinsoku/>
              <w:wordWrap/>
              <w:overflowPunct/>
              <w:topLinePunct w:val="0"/>
              <w:bidi w:val="0"/>
              <w:adjustRightInd w:val="0"/>
              <w:snapToGrid w:val="0"/>
              <w:spacing w:line="240" w:lineRule="auto"/>
              <w:ind w:firstLine="394" w:firstLineChars="200"/>
              <w:jc w:val="left"/>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所需材料水泥、砂、沥青等大部分在当地购买。</w:t>
            </w:r>
          </w:p>
        </w:tc>
      </w:tr>
      <w:tr w14:paraId="38CDE9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71" w:type="dxa"/>
            <w:vMerge w:val="continue"/>
            <w:tcBorders>
              <w:tl2br w:val="nil"/>
              <w:tr2bl w:val="nil"/>
            </w:tcBorders>
            <w:noWrap w:val="0"/>
            <w:vAlign w:val="center"/>
          </w:tcPr>
          <w:p w14:paraId="01237339">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p>
        </w:tc>
        <w:tc>
          <w:tcPr>
            <w:tcW w:w="1666" w:type="dxa"/>
            <w:gridSpan w:val="2"/>
            <w:tcBorders>
              <w:tl2br w:val="nil"/>
              <w:tr2bl w:val="nil"/>
            </w:tcBorders>
            <w:noWrap w:val="0"/>
            <w:vAlign w:val="center"/>
          </w:tcPr>
          <w:p w14:paraId="67B43BB2">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区位交通</w:t>
            </w:r>
          </w:p>
        </w:tc>
        <w:tc>
          <w:tcPr>
            <w:tcW w:w="6486" w:type="dxa"/>
            <w:tcBorders>
              <w:tl2br w:val="nil"/>
              <w:tr2bl w:val="nil"/>
            </w:tcBorders>
            <w:noWrap w:val="0"/>
            <w:vAlign w:val="center"/>
          </w:tcPr>
          <w:p w14:paraId="190D23C0">
            <w:pPr>
              <w:keepNext w:val="0"/>
              <w:keepLines w:val="0"/>
              <w:pageBreakBefore w:val="0"/>
              <w:widowControl/>
              <w:kinsoku/>
              <w:wordWrap/>
              <w:overflowPunct/>
              <w:topLinePunct w:val="0"/>
              <w:bidi w:val="0"/>
              <w:adjustRightInd w:val="0"/>
              <w:snapToGrid w:val="0"/>
              <w:spacing w:line="240" w:lineRule="auto"/>
              <w:ind w:firstLine="394" w:firstLineChars="200"/>
              <w:jc w:val="left"/>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项目位于钦州港自贸新城区锦绣大道及和谐大街，交通便利。</w:t>
            </w:r>
          </w:p>
        </w:tc>
      </w:tr>
      <w:tr w14:paraId="7358C2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71" w:type="dxa"/>
            <w:vMerge w:val="restart"/>
            <w:tcBorders>
              <w:tl2br w:val="nil"/>
              <w:tr2bl w:val="nil"/>
            </w:tcBorders>
            <w:noWrap w:val="0"/>
            <w:vAlign w:val="center"/>
          </w:tcPr>
          <w:p w14:paraId="1DE75DF0">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环保工程</w:t>
            </w:r>
          </w:p>
        </w:tc>
        <w:tc>
          <w:tcPr>
            <w:tcW w:w="618" w:type="dxa"/>
            <w:tcBorders>
              <w:tl2br w:val="nil"/>
              <w:tr2bl w:val="nil"/>
            </w:tcBorders>
            <w:noWrap w:val="0"/>
            <w:vAlign w:val="center"/>
          </w:tcPr>
          <w:p w14:paraId="2B50B2D1">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废气</w:t>
            </w:r>
          </w:p>
        </w:tc>
        <w:tc>
          <w:tcPr>
            <w:tcW w:w="1048" w:type="dxa"/>
            <w:tcBorders>
              <w:tl2br w:val="nil"/>
              <w:tr2bl w:val="nil"/>
            </w:tcBorders>
            <w:noWrap w:val="0"/>
            <w:vAlign w:val="center"/>
          </w:tcPr>
          <w:p w14:paraId="1F62D58C">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施工扬尘</w:t>
            </w:r>
          </w:p>
        </w:tc>
        <w:tc>
          <w:tcPr>
            <w:tcW w:w="6486" w:type="dxa"/>
            <w:tcBorders>
              <w:tl2br w:val="nil"/>
              <w:tr2bl w:val="nil"/>
            </w:tcBorders>
            <w:noWrap w:val="0"/>
            <w:vAlign w:val="center"/>
          </w:tcPr>
          <w:p w14:paraId="2D49DE5C">
            <w:pPr>
              <w:keepNext w:val="0"/>
              <w:keepLines w:val="0"/>
              <w:pageBreakBefore w:val="0"/>
              <w:widowControl/>
              <w:kinsoku/>
              <w:wordWrap/>
              <w:overflowPunct/>
              <w:topLinePunct w:val="0"/>
              <w:bidi w:val="0"/>
              <w:adjustRightInd w:val="0"/>
              <w:snapToGrid w:val="0"/>
              <w:spacing w:line="240" w:lineRule="auto"/>
              <w:ind w:firstLine="394" w:firstLineChars="200"/>
              <w:jc w:val="left"/>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设置洒水车，对施工区域进行洒水降尘，采用篷布覆盖、洒水降尘。</w:t>
            </w:r>
          </w:p>
        </w:tc>
      </w:tr>
      <w:tr w14:paraId="2F927C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71" w:type="dxa"/>
            <w:vMerge w:val="continue"/>
            <w:tcBorders>
              <w:tl2br w:val="nil"/>
              <w:tr2bl w:val="nil"/>
            </w:tcBorders>
            <w:noWrap w:val="0"/>
            <w:vAlign w:val="center"/>
          </w:tcPr>
          <w:p w14:paraId="5F45B3A9">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p>
        </w:tc>
        <w:tc>
          <w:tcPr>
            <w:tcW w:w="618" w:type="dxa"/>
            <w:vMerge w:val="restart"/>
            <w:tcBorders>
              <w:tl2br w:val="nil"/>
              <w:tr2bl w:val="nil"/>
            </w:tcBorders>
            <w:noWrap w:val="0"/>
            <w:vAlign w:val="center"/>
          </w:tcPr>
          <w:p w14:paraId="04C792A4">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废水</w:t>
            </w:r>
          </w:p>
        </w:tc>
        <w:tc>
          <w:tcPr>
            <w:tcW w:w="1048" w:type="dxa"/>
            <w:tcBorders>
              <w:tl2br w:val="nil"/>
              <w:tr2bl w:val="nil"/>
            </w:tcBorders>
            <w:noWrap w:val="0"/>
            <w:vAlign w:val="center"/>
          </w:tcPr>
          <w:p w14:paraId="7C83023E">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eastAsia="zh-CN"/>
              </w:rPr>
              <w:t>生活污水</w:t>
            </w:r>
          </w:p>
        </w:tc>
        <w:tc>
          <w:tcPr>
            <w:tcW w:w="6486" w:type="dxa"/>
            <w:tcBorders>
              <w:tl2br w:val="nil"/>
              <w:tr2bl w:val="nil"/>
            </w:tcBorders>
            <w:noWrap w:val="0"/>
            <w:vAlign w:val="center"/>
          </w:tcPr>
          <w:p w14:paraId="25FD6B8F">
            <w:pPr>
              <w:keepNext w:val="0"/>
              <w:keepLines w:val="0"/>
              <w:pageBreakBefore w:val="0"/>
              <w:widowControl/>
              <w:kinsoku/>
              <w:wordWrap/>
              <w:overflowPunct/>
              <w:topLinePunct w:val="0"/>
              <w:bidi w:val="0"/>
              <w:adjustRightInd w:val="0"/>
              <w:snapToGrid w:val="0"/>
              <w:spacing w:line="240" w:lineRule="auto"/>
              <w:ind w:firstLine="394" w:firstLineChars="200"/>
              <w:jc w:val="left"/>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施工人员租用周边民房，生活污水依托现有民房现有进行处理。</w:t>
            </w:r>
          </w:p>
        </w:tc>
      </w:tr>
      <w:tr w14:paraId="372A06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71" w:type="dxa"/>
            <w:vMerge w:val="continue"/>
            <w:tcBorders>
              <w:tl2br w:val="nil"/>
              <w:tr2bl w:val="nil"/>
            </w:tcBorders>
            <w:noWrap w:val="0"/>
            <w:vAlign w:val="center"/>
          </w:tcPr>
          <w:p w14:paraId="36B487EC">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p>
        </w:tc>
        <w:tc>
          <w:tcPr>
            <w:tcW w:w="618" w:type="dxa"/>
            <w:vMerge w:val="continue"/>
            <w:tcBorders>
              <w:tl2br w:val="nil"/>
              <w:tr2bl w:val="nil"/>
            </w:tcBorders>
            <w:noWrap w:val="0"/>
            <w:vAlign w:val="center"/>
          </w:tcPr>
          <w:p w14:paraId="52B0592A">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p>
        </w:tc>
        <w:tc>
          <w:tcPr>
            <w:tcW w:w="1048" w:type="dxa"/>
            <w:tcBorders>
              <w:tl2br w:val="nil"/>
              <w:tr2bl w:val="nil"/>
            </w:tcBorders>
            <w:noWrap w:val="0"/>
            <w:vAlign w:val="center"/>
          </w:tcPr>
          <w:p w14:paraId="092F6E4F">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施工废水</w:t>
            </w:r>
          </w:p>
        </w:tc>
        <w:tc>
          <w:tcPr>
            <w:tcW w:w="6486" w:type="dxa"/>
            <w:tcBorders>
              <w:tl2br w:val="nil"/>
              <w:tr2bl w:val="nil"/>
            </w:tcBorders>
            <w:noWrap w:val="0"/>
            <w:vAlign w:val="center"/>
          </w:tcPr>
          <w:p w14:paraId="442D80C7">
            <w:pPr>
              <w:keepNext w:val="0"/>
              <w:keepLines w:val="0"/>
              <w:pageBreakBefore w:val="0"/>
              <w:widowControl/>
              <w:kinsoku/>
              <w:wordWrap/>
              <w:overflowPunct/>
              <w:topLinePunct w:val="0"/>
              <w:bidi w:val="0"/>
              <w:adjustRightInd w:val="0"/>
              <w:snapToGrid w:val="0"/>
              <w:spacing w:line="240" w:lineRule="auto"/>
              <w:ind w:firstLine="394" w:firstLineChars="200"/>
              <w:jc w:val="left"/>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cs="Times New Roman"/>
                <w:b w:val="0"/>
                <w:bCs/>
                <w:color w:val="auto"/>
                <w:kern w:val="0"/>
                <w:sz w:val="21"/>
                <w:szCs w:val="21"/>
                <w:highlight w:val="none"/>
                <w:lang w:val="en-US" w:eastAsia="zh-CN"/>
              </w:rPr>
              <w:t>混凝土养护废水经混凝土吸收和自然蒸发，不外排。</w:t>
            </w:r>
          </w:p>
          <w:p w14:paraId="38701B68">
            <w:pPr>
              <w:keepNext w:val="0"/>
              <w:keepLines w:val="0"/>
              <w:pageBreakBefore w:val="0"/>
              <w:widowControl/>
              <w:kinsoku/>
              <w:wordWrap/>
              <w:overflowPunct/>
              <w:topLinePunct w:val="0"/>
              <w:bidi w:val="0"/>
              <w:adjustRightInd w:val="0"/>
              <w:snapToGrid w:val="0"/>
              <w:spacing w:line="240" w:lineRule="auto"/>
              <w:ind w:firstLine="394" w:firstLineChars="200"/>
              <w:jc w:val="left"/>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运输车辆冲洗废水经隔油沉淀池处理后回用于洒水降尘</w:t>
            </w:r>
            <w:r>
              <w:rPr>
                <w:rFonts w:hint="eastAsia" w:ascii="Times New Roman" w:cs="Times New Roman"/>
                <w:b w:val="0"/>
                <w:bCs/>
                <w:color w:val="auto"/>
                <w:kern w:val="0"/>
                <w:sz w:val="21"/>
                <w:szCs w:val="21"/>
                <w:highlight w:val="none"/>
                <w:lang w:val="en-US" w:eastAsia="zh-CN"/>
              </w:rPr>
              <w:t>，不外排。</w:t>
            </w:r>
          </w:p>
          <w:p w14:paraId="5F97EE9B">
            <w:pPr>
              <w:keepNext w:val="0"/>
              <w:keepLines w:val="0"/>
              <w:pageBreakBefore w:val="0"/>
              <w:widowControl/>
              <w:kinsoku/>
              <w:wordWrap/>
              <w:overflowPunct/>
              <w:topLinePunct w:val="0"/>
              <w:bidi w:val="0"/>
              <w:adjustRightInd w:val="0"/>
              <w:snapToGrid w:val="0"/>
              <w:spacing w:line="240" w:lineRule="auto"/>
              <w:ind w:firstLine="394" w:firstLineChars="200"/>
              <w:jc w:val="left"/>
              <w:textAlignment w:val="auto"/>
              <w:rPr>
                <w:rFonts w:hint="eastAsia"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基坑废水经临时沉淀池沉淀后回用于施工场地洒水降尘</w:t>
            </w:r>
            <w:r>
              <w:rPr>
                <w:rFonts w:hint="eastAsia" w:ascii="Times New Roman" w:cs="Times New Roman"/>
                <w:b w:val="0"/>
                <w:bCs/>
                <w:color w:val="auto"/>
                <w:kern w:val="0"/>
                <w:sz w:val="21"/>
                <w:szCs w:val="21"/>
                <w:highlight w:val="none"/>
                <w:lang w:val="en-US" w:eastAsia="zh-CN"/>
              </w:rPr>
              <w:t>，不外排</w:t>
            </w:r>
            <w:r>
              <w:rPr>
                <w:rFonts w:hint="eastAsia" w:ascii="Times New Roman" w:hAnsi="Times New Roman" w:eastAsia="宋体" w:cs="Times New Roman"/>
                <w:b w:val="0"/>
                <w:bCs/>
                <w:color w:val="auto"/>
                <w:kern w:val="0"/>
                <w:sz w:val="21"/>
                <w:szCs w:val="21"/>
                <w:highlight w:val="none"/>
                <w:lang w:val="en-US" w:eastAsia="zh-CN"/>
              </w:rPr>
              <w:t>；</w:t>
            </w:r>
          </w:p>
          <w:p w14:paraId="0A0AB5CA">
            <w:pPr>
              <w:keepNext w:val="0"/>
              <w:keepLines w:val="0"/>
              <w:pageBreakBefore w:val="0"/>
              <w:widowControl/>
              <w:kinsoku/>
              <w:wordWrap/>
              <w:overflowPunct/>
              <w:topLinePunct w:val="0"/>
              <w:bidi w:val="0"/>
              <w:adjustRightInd w:val="0"/>
              <w:snapToGrid w:val="0"/>
              <w:spacing w:line="240" w:lineRule="auto"/>
              <w:ind w:firstLine="394" w:firstLineChars="200"/>
              <w:jc w:val="left"/>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淤泥</w:t>
            </w:r>
            <w:r>
              <w:rPr>
                <w:rFonts w:hint="eastAsia" w:ascii="Times New Roman" w:cs="Times New Roman"/>
                <w:b w:val="0"/>
                <w:bCs/>
                <w:color w:val="auto"/>
                <w:kern w:val="0"/>
                <w:sz w:val="21"/>
                <w:szCs w:val="21"/>
                <w:highlight w:val="none"/>
                <w:lang w:val="en-US" w:eastAsia="zh-CN"/>
              </w:rPr>
              <w:t>渗滤液</w:t>
            </w:r>
            <w:r>
              <w:rPr>
                <w:rFonts w:hint="eastAsia" w:ascii="Times New Roman" w:hAnsi="Times New Roman" w:eastAsia="宋体" w:cs="Times New Roman"/>
                <w:b w:val="0"/>
                <w:bCs/>
                <w:color w:val="auto"/>
                <w:kern w:val="0"/>
                <w:sz w:val="21"/>
                <w:szCs w:val="21"/>
                <w:highlight w:val="none"/>
                <w:lang w:val="en-US" w:eastAsia="zh-CN"/>
              </w:rPr>
              <w:t>经临时中转场四周的临时排水沟收集至临时沉淀池沉淀，回用于临时中转场洒水降尘</w:t>
            </w:r>
            <w:r>
              <w:rPr>
                <w:rFonts w:hint="eastAsia" w:ascii="Times New Roman" w:cs="Times New Roman"/>
                <w:b w:val="0"/>
                <w:bCs/>
                <w:color w:val="auto"/>
                <w:kern w:val="0"/>
                <w:sz w:val="21"/>
                <w:szCs w:val="21"/>
                <w:highlight w:val="none"/>
                <w:lang w:val="en-US" w:eastAsia="zh-CN"/>
              </w:rPr>
              <w:t>，不外排；</w:t>
            </w:r>
          </w:p>
        </w:tc>
      </w:tr>
      <w:tr w14:paraId="11E595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71" w:type="dxa"/>
            <w:vMerge w:val="continue"/>
            <w:tcBorders>
              <w:tl2br w:val="nil"/>
              <w:tr2bl w:val="nil"/>
            </w:tcBorders>
            <w:noWrap w:val="0"/>
            <w:vAlign w:val="center"/>
          </w:tcPr>
          <w:p w14:paraId="46B08307">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p>
        </w:tc>
        <w:tc>
          <w:tcPr>
            <w:tcW w:w="618" w:type="dxa"/>
            <w:tcBorders>
              <w:tl2br w:val="nil"/>
              <w:tr2bl w:val="nil"/>
            </w:tcBorders>
            <w:noWrap w:val="0"/>
            <w:vAlign w:val="center"/>
          </w:tcPr>
          <w:p w14:paraId="47F82C96">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噪声</w:t>
            </w:r>
          </w:p>
        </w:tc>
        <w:tc>
          <w:tcPr>
            <w:tcW w:w="1048" w:type="dxa"/>
            <w:tcBorders>
              <w:tl2br w:val="nil"/>
              <w:tr2bl w:val="nil"/>
            </w:tcBorders>
            <w:noWrap w:val="0"/>
            <w:vAlign w:val="center"/>
          </w:tcPr>
          <w:p w14:paraId="44843172">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设备噪声</w:t>
            </w:r>
          </w:p>
        </w:tc>
        <w:tc>
          <w:tcPr>
            <w:tcW w:w="6486" w:type="dxa"/>
            <w:tcBorders>
              <w:tl2br w:val="nil"/>
              <w:tr2bl w:val="nil"/>
            </w:tcBorders>
            <w:noWrap w:val="0"/>
            <w:vAlign w:val="center"/>
          </w:tcPr>
          <w:p w14:paraId="6ED305FF">
            <w:pPr>
              <w:keepNext w:val="0"/>
              <w:keepLines w:val="0"/>
              <w:pageBreakBefore w:val="0"/>
              <w:widowControl/>
              <w:kinsoku/>
              <w:wordWrap/>
              <w:overflowPunct/>
              <w:topLinePunct w:val="0"/>
              <w:bidi w:val="0"/>
              <w:adjustRightInd w:val="0"/>
              <w:snapToGrid w:val="0"/>
              <w:spacing w:line="240" w:lineRule="auto"/>
              <w:ind w:firstLine="394" w:firstLineChars="200"/>
              <w:jc w:val="left"/>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采用低噪声设备，合理安排施工时间。</w:t>
            </w:r>
          </w:p>
        </w:tc>
      </w:tr>
      <w:tr w14:paraId="65997D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71" w:type="dxa"/>
            <w:vMerge w:val="continue"/>
            <w:tcBorders>
              <w:tl2br w:val="nil"/>
              <w:tr2bl w:val="nil"/>
            </w:tcBorders>
            <w:noWrap w:val="0"/>
            <w:vAlign w:val="center"/>
          </w:tcPr>
          <w:p w14:paraId="5C62EE22">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p>
        </w:tc>
        <w:tc>
          <w:tcPr>
            <w:tcW w:w="618" w:type="dxa"/>
            <w:vMerge w:val="restart"/>
            <w:tcBorders>
              <w:tl2br w:val="nil"/>
              <w:tr2bl w:val="nil"/>
            </w:tcBorders>
            <w:noWrap w:val="0"/>
            <w:vAlign w:val="center"/>
          </w:tcPr>
          <w:p w14:paraId="2B364F7F">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固废</w:t>
            </w:r>
          </w:p>
        </w:tc>
        <w:tc>
          <w:tcPr>
            <w:tcW w:w="1048" w:type="dxa"/>
            <w:tcBorders>
              <w:tl2br w:val="nil"/>
              <w:tr2bl w:val="nil"/>
            </w:tcBorders>
            <w:noWrap w:val="0"/>
            <w:vAlign w:val="center"/>
          </w:tcPr>
          <w:p w14:paraId="5AACB937">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eastAsia="宋体" w:cs="Times New Roman"/>
                <w:b w:val="0"/>
                <w:bCs/>
                <w:color w:val="auto"/>
                <w:kern w:val="0"/>
                <w:sz w:val="21"/>
                <w:szCs w:val="21"/>
                <w:highlight w:val="none"/>
                <w:lang w:val="en-US" w:eastAsia="zh-CN" w:bidi="ar"/>
              </w:rPr>
              <w:t>建筑垃圾</w:t>
            </w:r>
          </w:p>
        </w:tc>
        <w:tc>
          <w:tcPr>
            <w:tcW w:w="6486" w:type="dxa"/>
            <w:tcBorders>
              <w:tl2br w:val="nil"/>
              <w:tr2bl w:val="nil"/>
            </w:tcBorders>
            <w:noWrap w:val="0"/>
            <w:vAlign w:val="center"/>
          </w:tcPr>
          <w:p w14:paraId="6CDE79C9">
            <w:pPr>
              <w:keepNext w:val="0"/>
              <w:keepLines w:val="0"/>
              <w:pageBreakBefore w:val="0"/>
              <w:widowControl/>
              <w:kinsoku/>
              <w:wordWrap/>
              <w:overflowPunct/>
              <w:topLinePunct w:val="0"/>
              <w:bidi w:val="0"/>
              <w:adjustRightInd w:val="0"/>
              <w:snapToGrid w:val="0"/>
              <w:spacing w:line="240" w:lineRule="auto"/>
              <w:ind w:firstLine="394" w:firstLineChars="200"/>
              <w:jc w:val="left"/>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建筑垃圾回收利用，对无利用价值的废物清运至相关部门指定的地点。</w:t>
            </w:r>
          </w:p>
        </w:tc>
      </w:tr>
      <w:tr w14:paraId="2896A1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1" w:hRule="atLeast"/>
        </w:trPr>
        <w:tc>
          <w:tcPr>
            <w:tcW w:w="671" w:type="dxa"/>
            <w:vMerge w:val="continue"/>
            <w:tcBorders>
              <w:tl2br w:val="nil"/>
              <w:tr2bl w:val="nil"/>
            </w:tcBorders>
            <w:noWrap w:val="0"/>
            <w:vAlign w:val="center"/>
          </w:tcPr>
          <w:p w14:paraId="28D59DAD">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p>
        </w:tc>
        <w:tc>
          <w:tcPr>
            <w:tcW w:w="618" w:type="dxa"/>
            <w:vMerge w:val="continue"/>
            <w:tcBorders>
              <w:tl2br w:val="nil"/>
              <w:tr2bl w:val="nil"/>
            </w:tcBorders>
            <w:noWrap w:val="0"/>
            <w:vAlign w:val="center"/>
          </w:tcPr>
          <w:p w14:paraId="5BCDED53">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p>
        </w:tc>
        <w:tc>
          <w:tcPr>
            <w:tcW w:w="1048" w:type="dxa"/>
            <w:tcBorders>
              <w:tl2br w:val="nil"/>
              <w:tr2bl w:val="nil"/>
            </w:tcBorders>
            <w:noWrap w:val="0"/>
            <w:vAlign w:val="center"/>
          </w:tcPr>
          <w:p w14:paraId="72576025">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cs="Times New Roman"/>
                <w:b w:val="0"/>
                <w:bCs/>
                <w:color w:val="auto"/>
                <w:kern w:val="0"/>
                <w:sz w:val="21"/>
                <w:szCs w:val="21"/>
                <w:highlight w:val="none"/>
                <w:lang w:val="en-US" w:eastAsia="zh-CN" w:bidi="ar"/>
              </w:rPr>
              <w:t>弃土</w:t>
            </w:r>
          </w:p>
        </w:tc>
        <w:tc>
          <w:tcPr>
            <w:tcW w:w="6486" w:type="dxa"/>
            <w:tcBorders>
              <w:tl2br w:val="nil"/>
              <w:tr2bl w:val="nil"/>
            </w:tcBorders>
            <w:noWrap w:val="0"/>
            <w:vAlign w:val="center"/>
          </w:tcPr>
          <w:p w14:paraId="086F751C">
            <w:pPr>
              <w:keepNext w:val="0"/>
              <w:keepLines w:val="0"/>
              <w:pageBreakBefore w:val="0"/>
              <w:widowControl/>
              <w:kinsoku/>
              <w:wordWrap/>
              <w:overflowPunct/>
              <w:topLinePunct w:val="0"/>
              <w:bidi w:val="0"/>
              <w:adjustRightInd w:val="0"/>
              <w:snapToGrid w:val="0"/>
              <w:spacing w:line="240" w:lineRule="auto"/>
              <w:ind w:firstLine="394" w:firstLineChars="200"/>
              <w:jc w:val="left"/>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项目</w:t>
            </w:r>
            <w:r>
              <w:rPr>
                <w:rFonts w:hint="eastAsia" w:ascii="Times New Roman" w:cs="Times New Roman"/>
                <w:b w:val="0"/>
                <w:bCs/>
                <w:color w:val="auto"/>
                <w:kern w:val="0"/>
                <w:sz w:val="21"/>
                <w:szCs w:val="21"/>
                <w:highlight w:val="none"/>
                <w:lang w:val="en-US" w:eastAsia="zh-CN"/>
              </w:rPr>
              <w:t>淤泥晒干后回用于钦州港路、曲绣路边坡绿化覆土，项目</w:t>
            </w:r>
            <w:r>
              <w:rPr>
                <w:rFonts w:hint="default" w:ascii="Times New Roman" w:hAnsi="Times New Roman" w:eastAsia="宋体" w:cs="Times New Roman"/>
                <w:b w:val="0"/>
                <w:bCs/>
                <w:color w:val="auto"/>
                <w:kern w:val="0"/>
                <w:sz w:val="21"/>
                <w:szCs w:val="21"/>
                <w:highlight w:val="none"/>
                <w:lang w:val="en-US" w:eastAsia="zh-CN"/>
              </w:rPr>
              <w:t>土方综合利用，无</w:t>
            </w:r>
            <w:r>
              <w:rPr>
                <w:rFonts w:hint="eastAsia" w:ascii="Times New Roman" w:cs="Times New Roman"/>
                <w:b w:val="0"/>
                <w:bCs/>
                <w:color w:val="auto"/>
                <w:kern w:val="0"/>
                <w:sz w:val="21"/>
                <w:szCs w:val="21"/>
                <w:highlight w:val="none"/>
                <w:lang w:val="en-US" w:eastAsia="zh-CN"/>
              </w:rPr>
              <w:t>永久</w:t>
            </w:r>
            <w:r>
              <w:rPr>
                <w:rFonts w:hint="default" w:ascii="Times New Roman" w:hAnsi="Times New Roman" w:eastAsia="宋体" w:cs="Times New Roman"/>
                <w:b w:val="0"/>
                <w:bCs/>
                <w:color w:val="auto"/>
                <w:kern w:val="0"/>
                <w:sz w:val="21"/>
                <w:szCs w:val="21"/>
                <w:highlight w:val="none"/>
                <w:lang w:val="en-US" w:eastAsia="zh-CN"/>
              </w:rPr>
              <w:t>弃土产生。</w:t>
            </w:r>
          </w:p>
        </w:tc>
      </w:tr>
      <w:tr w14:paraId="12487B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2" w:hRule="atLeast"/>
        </w:trPr>
        <w:tc>
          <w:tcPr>
            <w:tcW w:w="671" w:type="dxa"/>
            <w:vMerge w:val="continue"/>
            <w:tcBorders>
              <w:tl2br w:val="nil"/>
              <w:tr2bl w:val="nil"/>
            </w:tcBorders>
            <w:noWrap w:val="0"/>
            <w:vAlign w:val="center"/>
          </w:tcPr>
          <w:p w14:paraId="23D5B4D5">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p>
        </w:tc>
        <w:tc>
          <w:tcPr>
            <w:tcW w:w="618" w:type="dxa"/>
            <w:vMerge w:val="continue"/>
            <w:tcBorders>
              <w:tl2br w:val="nil"/>
              <w:tr2bl w:val="nil"/>
            </w:tcBorders>
            <w:noWrap w:val="0"/>
            <w:vAlign w:val="center"/>
          </w:tcPr>
          <w:p w14:paraId="1123B581">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p>
        </w:tc>
        <w:tc>
          <w:tcPr>
            <w:tcW w:w="1048" w:type="dxa"/>
            <w:tcBorders>
              <w:tl2br w:val="nil"/>
              <w:tr2bl w:val="nil"/>
            </w:tcBorders>
            <w:noWrap w:val="0"/>
            <w:vAlign w:val="center"/>
          </w:tcPr>
          <w:p w14:paraId="1D779E33">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生活垃圾</w:t>
            </w:r>
          </w:p>
        </w:tc>
        <w:tc>
          <w:tcPr>
            <w:tcW w:w="6486" w:type="dxa"/>
            <w:tcBorders>
              <w:tl2br w:val="nil"/>
              <w:tr2bl w:val="nil"/>
            </w:tcBorders>
            <w:noWrap w:val="0"/>
            <w:vAlign w:val="center"/>
          </w:tcPr>
          <w:p w14:paraId="61157B99">
            <w:pPr>
              <w:keepNext w:val="0"/>
              <w:keepLines w:val="0"/>
              <w:pageBreakBefore w:val="0"/>
              <w:widowControl/>
              <w:kinsoku/>
              <w:wordWrap/>
              <w:overflowPunct/>
              <w:topLinePunct w:val="0"/>
              <w:bidi w:val="0"/>
              <w:adjustRightInd w:val="0"/>
              <w:snapToGrid w:val="0"/>
              <w:spacing w:line="240" w:lineRule="auto"/>
              <w:ind w:firstLine="394" w:firstLineChars="200"/>
              <w:jc w:val="left"/>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生活垃圾统一收集后由当地环卫部门统一清运处置。</w:t>
            </w:r>
          </w:p>
        </w:tc>
      </w:tr>
      <w:tr w14:paraId="7A857C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2" w:hRule="atLeast"/>
        </w:trPr>
        <w:tc>
          <w:tcPr>
            <w:tcW w:w="671" w:type="dxa"/>
            <w:vMerge w:val="continue"/>
            <w:tcBorders>
              <w:tl2br w:val="nil"/>
              <w:tr2bl w:val="nil"/>
            </w:tcBorders>
            <w:noWrap w:val="0"/>
            <w:vAlign w:val="center"/>
          </w:tcPr>
          <w:p w14:paraId="3C934F9A">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p>
        </w:tc>
        <w:tc>
          <w:tcPr>
            <w:tcW w:w="618" w:type="dxa"/>
            <w:vMerge w:val="continue"/>
            <w:tcBorders>
              <w:tl2br w:val="nil"/>
              <w:tr2bl w:val="nil"/>
            </w:tcBorders>
            <w:noWrap w:val="0"/>
            <w:vAlign w:val="center"/>
          </w:tcPr>
          <w:p w14:paraId="6E67F7A1">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p>
        </w:tc>
        <w:tc>
          <w:tcPr>
            <w:tcW w:w="1048" w:type="dxa"/>
            <w:tcBorders>
              <w:tl2br w:val="nil"/>
              <w:tr2bl w:val="nil"/>
            </w:tcBorders>
            <w:noWrap w:val="0"/>
            <w:vAlign w:val="center"/>
          </w:tcPr>
          <w:p w14:paraId="6C7CFFB2">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隔油池污油</w:t>
            </w:r>
          </w:p>
        </w:tc>
        <w:tc>
          <w:tcPr>
            <w:tcW w:w="6486" w:type="dxa"/>
            <w:tcBorders>
              <w:tl2br w:val="nil"/>
              <w:tr2bl w:val="nil"/>
            </w:tcBorders>
            <w:noWrap w:val="0"/>
            <w:vAlign w:val="center"/>
          </w:tcPr>
          <w:p w14:paraId="74075B5A">
            <w:pPr>
              <w:keepNext w:val="0"/>
              <w:keepLines w:val="0"/>
              <w:pageBreakBefore w:val="0"/>
              <w:widowControl/>
              <w:kinsoku/>
              <w:wordWrap/>
              <w:overflowPunct/>
              <w:topLinePunct w:val="0"/>
              <w:bidi w:val="0"/>
              <w:adjustRightInd w:val="0"/>
              <w:snapToGrid w:val="0"/>
              <w:spacing w:line="240" w:lineRule="auto"/>
              <w:ind w:firstLine="394" w:firstLineChars="200"/>
              <w:jc w:val="left"/>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cs="Times New Roman"/>
                <w:b w:val="0"/>
                <w:bCs/>
                <w:color w:val="auto"/>
                <w:kern w:val="0"/>
                <w:sz w:val="21"/>
                <w:szCs w:val="21"/>
                <w:highlight w:val="none"/>
                <w:lang w:val="en-US" w:eastAsia="zh-CN"/>
              </w:rPr>
              <w:t>运输车辆冲洗废水产生的</w:t>
            </w:r>
            <w:r>
              <w:rPr>
                <w:rFonts w:hint="default" w:ascii="Times New Roman" w:hAnsi="Times New Roman" w:cs="Times New Roman"/>
                <w:b w:val="0"/>
                <w:bCs/>
                <w:color w:val="auto"/>
                <w:sz w:val="21"/>
                <w:szCs w:val="21"/>
                <w:highlight w:val="none"/>
              </w:rPr>
              <w:t>隔油池污油</w:t>
            </w:r>
            <w:r>
              <w:rPr>
                <w:rFonts w:hint="eastAsia" w:ascii="Times New Roman" w:cs="Times New Roman"/>
                <w:b w:val="0"/>
                <w:bCs/>
                <w:color w:val="auto"/>
                <w:sz w:val="21"/>
                <w:szCs w:val="21"/>
                <w:highlight w:val="none"/>
                <w:lang w:val="en-US" w:eastAsia="zh-CN"/>
              </w:rPr>
              <w:t>委托有资质单位进行清掏处置。</w:t>
            </w:r>
          </w:p>
        </w:tc>
      </w:tr>
      <w:tr w14:paraId="090CB4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84" w:hRule="atLeast"/>
        </w:trPr>
        <w:tc>
          <w:tcPr>
            <w:tcW w:w="671" w:type="dxa"/>
            <w:vMerge w:val="continue"/>
            <w:tcBorders>
              <w:tl2br w:val="nil"/>
              <w:tr2bl w:val="nil"/>
            </w:tcBorders>
            <w:noWrap w:val="0"/>
            <w:vAlign w:val="center"/>
          </w:tcPr>
          <w:p w14:paraId="00FD4778">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p>
        </w:tc>
        <w:tc>
          <w:tcPr>
            <w:tcW w:w="618" w:type="dxa"/>
            <w:tcBorders>
              <w:tl2br w:val="nil"/>
              <w:tr2bl w:val="nil"/>
            </w:tcBorders>
            <w:noWrap w:val="0"/>
            <w:vAlign w:val="center"/>
          </w:tcPr>
          <w:p w14:paraId="67FA48CA">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eastAsia="宋体" w:cs="Times New Roman"/>
                <w:b w:val="0"/>
                <w:bCs/>
                <w:color w:val="auto"/>
                <w:kern w:val="0"/>
                <w:sz w:val="21"/>
                <w:szCs w:val="21"/>
                <w:highlight w:val="none"/>
                <w:lang w:val="en-US" w:eastAsia="zh-CN" w:bidi="ar"/>
              </w:rPr>
              <w:t>生态恢复</w:t>
            </w:r>
          </w:p>
        </w:tc>
        <w:tc>
          <w:tcPr>
            <w:tcW w:w="7534" w:type="dxa"/>
            <w:gridSpan w:val="2"/>
            <w:tcBorders>
              <w:tl2br w:val="nil"/>
              <w:tr2bl w:val="nil"/>
            </w:tcBorders>
            <w:noWrap w:val="0"/>
            <w:vAlign w:val="center"/>
          </w:tcPr>
          <w:p w14:paraId="545402F7">
            <w:pPr>
              <w:keepNext w:val="0"/>
              <w:keepLines w:val="0"/>
              <w:pageBreakBefore w:val="0"/>
              <w:widowControl/>
              <w:suppressLineNumbers w:val="0"/>
              <w:kinsoku/>
              <w:wordWrap/>
              <w:overflowPunct/>
              <w:topLinePunct w:val="0"/>
              <w:bidi w:val="0"/>
              <w:adjustRightInd w:val="0"/>
              <w:snapToGrid w:val="0"/>
              <w:spacing w:line="240" w:lineRule="auto"/>
              <w:jc w:val="left"/>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临时用地恢复、排水沟、绿化等</w:t>
            </w:r>
            <w:r>
              <w:rPr>
                <w:rFonts w:hint="default" w:ascii="Times New Roman" w:hAnsi="Times New Roman" w:cs="Times New Roman"/>
                <w:b w:val="0"/>
                <w:bCs/>
                <w:color w:val="auto"/>
                <w:kern w:val="0"/>
                <w:sz w:val="21"/>
                <w:szCs w:val="21"/>
                <w:highlight w:val="none"/>
                <w:lang w:val="en-US" w:eastAsia="zh-CN" w:bidi="ar"/>
              </w:rPr>
              <w:t>。</w:t>
            </w:r>
          </w:p>
        </w:tc>
      </w:tr>
      <w:bookmarkEnd w:id="44"/>
    </w:tbl>
    <w:p w14:paraId="6EB092CB">
      <w:pPr>
        <w:pStyle w:val="5"/>
        <w:bidi w:val="0"/>
        <w:ind w:left="452" w:leftChars="0" w:firstLine="0" w:firstLineChars="0"/>
        <w:rPr>
          <w:rFonts w:hint="default"/>
          <w:color w:val="auto"/>
          <w:highlight w:val="none"/>
        </w:rPr>
      </w:pPr>
      <w:r>
        <w:rPr>
          <w:rFonts w:hint="default"/>
          <w:color w:val="auto"/>
          <w:highlight w:val="none"/>
          <w:lang w:val="en-US" w:eastAsia="zh-CN"/>
        </w:rPr>
        <w:t>工程等级</w:t>
      </w:r>
    </w:p>
    <w:p w14:paraId="4C516FEE">
      <w:pPr>
        <w:ind w:firstLine="454"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本工程防洪等级为50年，城市更新项目建设服务于金窝水库的排水水系改造段建设土堤护岸238.54m。根据相关设计材料，城市更新项目建设服务于金窝水库的排水水系改造段主要用于企山水库50年一遇泄洪。</w:t>
      </w:r>
    </w:p>
    <w:p w14:paraId="5374E520">
      <w:pPr>
        <w:ind w:firstLine="454" w:firstLineChars="200"/>
        <w:rPr>
          <w:rFonts w:hint="default"/>
          <w:color w:val="auto"/>
          <w:highlight w:val="none"/>
          <w:u w:val="single"/>
          <w:lang w:val="en-US" w:eastAsia="zh-CN"/>
        </w:rPr>
      </w:pPr>
      <w:r>
        <w:rPr>
          <w:rFonts w:hint="default" w:ascii="Times New Roman" w:hAnsi="Times New Roman" w:eastAsia="宋体" w:cs="Times New Roman"/>
          <w:color w:val="auto"/>
          <w:highlight w:val="none"/>
          <w:lang w:val="en-US" w:eastAsia="zh-CN"/>
        </w:rPr>
        <w:t>根据《水利水电工程等级划分及洪水标准》（SL252-2017）</w:t>
      </w:r>
      <w:r>
        <w:rPr>
          <w:rFonts w:hint="eastAsia" w:ascii="Times New Roman" w:cs="Times New Roman"/>
          <w:color w:val="auto"/>
          <w:highlight w:val="none"/>
          <w:u w:val="single"/>
          <w:lang w:val="en-US" w:eastAsia="zh-CN"/>
        </w:rPr>
        <w:t>表3.0.1中水利水电工程分等指标，工程等级为Ⅲ级及以上属中大型工程</w:t>
      </w:r>
      <w:r>
        <w:rPr>
          <w:rFonts w:hint="default" w:ascii="Times New Roman" w:hAnsi="Times New Roman" w:eastAsia="宋体" w:cs="Times New Roman"/>
          <w:color w:val="auto"/>
          <w:highlight w:val="none"/>
          <w:u w:val="single"/>
          <w:lang w:val="en-US" w:eastAsia="zh-CN"/>
        </w:rPr>
        <w:t>，项目建设的土堤护岸防洪标准/[重现</w:t>
      </w:r>
      <w:r>
        <w:rPr>
          <w:rFonts w:hint="eastAsia" w:ascii="Times New Roman" w:cs="Times New Roman"/>
          <w:color w:val="auto"/>
          <w:highlight w:val="none"/>
          <w:u w:val="single"/>
          <w:lang w:val="en-US" w:eastAsia="zh-CN"/>
        </w:rPr>
        <w:t>期（年）</w:t>
      </w:r>
      <w:r>
        <w:rPr>
          <w:rFonts w:hint="default" w:ascii="Times New Roman" w:hAnsi="Times New Roman" w:eastAsia="宋体" w:cs="Times New Roman"/>
          <w:color w:val="auto"/>
          <w:highlight w:val="none"/>
          <w:u w:val="single"/>
          <w:lang w:val="en-US" w:eastAsia="zh-CN"/>
        </w:rPr>
        <w:t>]50年≤50年＜100年，堤防级别为</w:t>
      </w:r>
      <w:r>
        <w:rPr>
          <w:rFonts w:hint="eastAsia" w:ascii="Times New Roman" w:cs="Times New Roman"/>
          <w:color w:val="auto"/>
          <w:highlight w:val="none"/>
          <w:u w:val="single"/>
          <w:lang w:val="en-US" w:eastAsia="zh-CN"/>
        </w:rPr>
        <w:t>2</w:t>
      </w:r>
      <w:r>
        <w:rPr>
          <w:rFonts w:hint="default" w:ascii="Times New Roman" w:hAnsi="Times New Roman" w:eastAsia="宋体" w:cs="Times New Roman"/>
          <w:color w:val="auto"/>
          <w:highlight w:val="none"/>
          <w:u w:val="single"/>
          <w:lang w:val="en-US" w:eastAsia="zh-CN"/>
        </w:rPr>
        <w:t>级，属大（2）型工程。</w:t>
      </w:r>
    </w:p>
    <w:p w14:paraId="7FD0BFA9">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bCs/>
          <w:color w:val="auto"/>
          <w:highlight w:val="none"/>
          <w:u w:val="single"/>
          <w:lang w:val="en-US" w:eastAsia="zh-CN"/>
        </w:rPr>
      </w:pPr>
      <w:r>
        <w:rPr>
          <w:rFonts w:hint="eastAsia" w:eastAsia="宋体" w:cs="Times New Roman"/>
          <w:b/>
          <w:bCs/>
          <w:color w:val="auto"/>
          <w:highlight w:val="none"/>
          <w:u w:val="single"/>
          <w:lang w:val="en-US" w:eastAsia="zh-CN"/>
        </w:rPr>
        <w:t>堤防永久性水工建筑物级别</w:t>
      </w:r>
    </w:p>
    <w:tbl>
      <w:tblPr>
        <w:tblStyle w:val="8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36"/>
        <w:gridCol w:w="906"/>
        <w:gridCol w:w="1471"/>
        <w:gridCol w:w="1471"/>
        <w:gridCol w:w="1471"/>
        <w:gridCol w:w="1471"/>
      </w:tblGrid>
      <w:tr w14:paraId="25E3FD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36" w:type="dxa"/>
          </w:tcPr>
          <w:p w14:paraId="743C6CE7">
            <w:pPr>
              <w:pStyle w:val="20"/>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cs="Times New Roman"/>
                <w:color w:val="auto"/>
                <w:highlight w:val="none"/>
                <w:u w:val="single"/>
                <w:vertAlign w:val="baseline"/>
                <w:lang w:val="en-US" w:eastAsia="zh-CN"/>
              </w:rPr>
            </w:pPr>
            <w:r>
              <w:rPr>
                <w:rFonts w:hint="eastAsia" w:ascii="Times New Roman" w:cs="Times New Roman"/>
                <w:color w:val="auto"/>
                <w:highlight w:val="none"/>
                <w:u w:val="single"/>
                <w:vertAlign w:val="baseline"/>
                <w:lang w:val="en-US" w:eastAsia="zh-CN"/>
              </w:rPr>
              <w:t>防洪标准/</w:t>
            </w:r>
          </w:p>
          <w:p w14:paraId="7B4AC4E4">
            <w:pPr>
              <w:pStyle w:val="20"/>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cs="Times New Roman"/>
                <w:color w:val="auto"/>
                <w:highlight w:val="none"/>
                <w:u w:val="single"/>
                <w:vertAlign w:val="baseline"/>
                <w:lang w:val="en-US" w:eastAsia="zh-CN"/>
              </w:rPr>
            </w:pPr>
            <w:r>
              <w:rPr>
                <w:rFonts w:hint="default" w:ascii="Times New Roman" w:hAnsi="Times New Roman" w:eastAsia="宋体" w:cs="Times New Roman"/>
                <w:color w:val="auto"/>
                <w:highlight w:val="none"/>
                <w:u w:val="single"/>
                <w:lang w:val="en-US" w:eastAsia="zh-CN"/>
              </w:rPr>
              <w:t>[重现</w:t>
            </w:r>
            <w:r>
              <w:rPr>
                <w:rFonts w:hint="eastAsia" w:ascii="Times New Roman" w:cs="Times New Roman"/>
                <w:color w:val="auto"/>
                <w:highlight w:val="none"/>
                <w:u w:val="single"/>
                <w:lang w:val="en-US" w:eastAsia="zh-CN"/>
              </w:rPr>
              <w:t>期（年）</w:t>
            </w:r>
            <w:r>
              <w:rPr>
                <w:rFonts w:hint="default" w:ascii="Times New Roman" w:hAnsi="Times New Roman" w:eastAsia="宋体" w:cs="Times New Roman"/>
                <w:color w:val="auto"/>
                <w:highlight w:val="none"/>
                <w:u w:val="single"/>
                <w:lang w:val="en-US" w:eastAsia="zh-CN"/>
              </w:rPr>
              <w:t>]</w:t>
            </w:r>
          </w:p>
        </w:tc>
        <w:tc>
          <w:tcPr>
            <w:tcW w:w="906" w:type="dxa"/>
          </w:tcPr>
          <w:p w14:paraId="40241108">
            <w:pPr>
              <w:pStyle w:val="20"/>
              <w:keepNext w:val="0"/>
              <w:keepLines w:val="0"/>
              <w:pageBreakBefore w:val="0"/>
              <w:widowControl w:val="0"/>
              <w:kinsoku/>
              <w:wordWrap/>
              <w:overflowPunct/>
              <w:topLinePunct w:val="0"/>
              <w:autoSpaceDE/>
              <w:autoSpaceDN/>
              <w:bidi w:val="0"/>
              <w:adjustRightInd/>
              <w:snapToGrid/>
              <w:ind w:firstLine="0"/>
              <w:textAlignment w:val="auto"/>
              <w:rPr>
                <w:rFonts w:hint="default" w:ascii="Times New Roman" w:hAnsi="Times New Roman" w:eastAsia="宋体" w:cs="Times New Roman"/>
                <w:color w:val="auto"/>
                <w:highlight w:val="none"/>
                <w:u w:val="single"/>
                <w:vertAlign w:val="baseline"/>
                <w:lang w:val="en-US" w:eastAsia="zh-CN"/>
              </w:rPr>
            </w:pPr>
            <w:r>
              <w:rPr>
                <w:rFonts w:hint="eastAsia" w:ascii="Times New Roman" w:cs="Times New Roman"/>
                <w:color w:val="auto"/>
                <w:highlight w:val="none"/>
                <w:u w:val="single"/>
                <w:vertAlign w:val="baseline"/>
                <w:lang w:val="en-US" w:eastAsia="zh-CN"/>
              </w:rPr>
              <w:t>≥100</w:t>
            </w:r>
          </w:p>
        </w:tc>
        <w:tc>
          <w:tcPr>
            <w:tcW w:w="1471" w:type="dxa"/>
          </w:tcPr>
          <w:p w14:paraId="79FFAFB1">
            <w:pPr>
              <w:pStyle w:val="20"/>
              <w:keepNext w:val="0"/>
              <w:keepLines w:val="0"/>
              <w:pageBreakBefore w:val="0"/>
              <w:widowControl w:val="0"/>
              <w:kinsoku/>
              <w:wordWrap/>
              <w:overflowPunct/>
              <w:topLinePunct w:val="0"/>
              <w:autoSpaceDE/>
              <w:autoSpaceDN/>
              <w:bidi w:val="0"/>
              <w:adjustRightInd/>
              <w:snapToGrid/>
              <w:ind w:firstLine="0"/>
              <w:textAlignment w:val="auto"/>
              <w:rPr>
                <w:rFonts w:hint="default" w:ascii="Times New Roman" w:hAnsi="Times New Roman" w:eastAsia="宋体" w:cs="Times New Roman"/>
                <w:b/>
                <w:bCs/>
                <w:color w:val="auto"/>
                <w:highlight w:val="none"/>
                <w:u w:val="single"/>
                <w:vertAlign w:val="baseline"/>
                <w:lang w:val="en-US" w:eastAsia="zh-CN"/>
              </w:rPr>
            </w:pPr>
            <w:r>
              <w:rPr>
                <w:rFonts w:hint="eastAsia" w:ascii="Times New Roman" w:cs="Times New Roman"/>
                <w:b/>
                <w:bCs/>
                <w:color w:val="auto"/>
                <w:highlight w:val="none"/>
                <w:u w:val="single"/>
                <w:vertAlign w:val="baseline"/>
                <w:lang w:val="en-US" w:eastAsia="zh-CN"/>
              </w:rPr>
              <w:t>＜100，≥50</w:t>
            </w:r>
          </w:p>
        </w:tc>
        <w:tc>
          <w:tcPr>
            <w:tcW w:w="1471" w:type="dxa"/>
          </w:tcPr>
          <w:p w14:paraId="7C7ACBC1">
            <w:pPr>
              <w:pStyle w:val="20"/>
              <w:keepNext w:val="0"/>
              <w:keepLines w:val="0"/>
              <w:pageBreakBefore w:val="0"/>
              <w:widowControl w:val="0"/>
              <w:kinsoku/>
              <w:wordWrap/>
              <w:overflowPunct/>
              <w:topLinePunct w:val="0"/>
              <w:autoSpaceDE/>
              <w:autoSpaceDN/>
              <w:bidi w:val="0"/>
              <w:adjustRightInd/>
              <w:snapToGrid/>
              <w:ind w:firstLine="0"/>
              <w:textAlignment w:val="auto"/>
              <w:rPr>
                <w:rFonts w:hint="default" w:ascii="Times New Roman" w:hAnsi="Times New Roman" w:eastAsia="宋体" w:cs="Times New Roman"/>
                <w:color w:val="auto"/>
                <w:highlight w:val="none"/>
                <w:u w:val="single"/>
                <w:vertAlign w:val="baseline"/>
                <w:lang w:val="en-US" w:eastAsia="zh-CN"/>
              </w:rPr>
            </w:pPr>
            <w:r>
              <w:rPr>
                <w:rFonts w:hint="eastAsia" w:ascii="Times New Roman" w:cs="Times New Roman"/>
                <w:color w:val="auto"/>
                <w:highlight w:val="none"/>
                <w:u w:val="single"/>
                <w:vertAlign w:val="baseline"/>
                <w:lang w:val="en-US" w:eastAsia="zh-CN"/>
              </w:rPr>
              <w:t>＜50，≥30</w:t>
            </w:r>
          </w:p>
        </w:tc>
        <w:tc>
          <w:tcPr>
            <w:tcW w:w="1471" w:type="dxa"/>
          </w:tcPr>
          <w:p w14:paraId="224678DC">
            <w:pPr>
              <w:pStyle w:val="20"/>
              <w:keepNext w:val="0"/>
              <w:keepLines w:val="0"/>
              <w:pageBreakBefore w:val="0"/>
              <w:widowControl w:val="0"/>
              <w:kinsoku/>
              <w:wordWrap/>
              <w:overflowPunct/>
              <w:topLinePunct w:val="0"/>
              <w:autoSpaceDE/>
              <w:autoSpaceDN/>
              <w:bidi w:val="0"/>
              <w:adjustRightInd/>
              <w:snapToGrid/>
              <w:ind w:firstLine="0"/>
              <w:textAlignment w:val="auto"/>
              <w:rPr>
                <w:rFonts w:hint="default" w:ascii="Times New Roman" w:cs="Times New Roman"/>
                <w:color w:val="auto"/>
                <w:highlight w:val="none"/>
                <w:u w:val="single"/>
                <w:vertAlign w:val="baseline"/>
                <w:lang w:val="en-US" w:eastAsia="zh-CN"/>
              </w:rPr>
            </w:pPr>
            <w:r>
              <w:rPr>
                <w:rFonts w:hint="eastAsia" w:ascii="Times New Roman" w:cs="Times New Roman"/>
                <w:color w:val="auto"/>
                <w:highlight w:val="none"/>
                <w:u w:val="single"/>
                <w:vertAlign w:val="baseline"/>
                <w:lang w:val="en-US" w:eastAsia="zh-CN"/>
              </w:rPr>
              <w:t>＜30，≥20</w:t>
            </w:r>
          </w:p>
        </w:tc>
        <w:tc>
          <w:tcPr>
            <w:tcW w:w="1471" w:type="dxa"/>
          </w:tcPr>
          <w:p w14:paraId="5B3963B3">
            <w:pPr>
              <w:pStyle w:val="20"/>
              <w:keepNext w:val="0"/>
              <w:keepLines w:val="0"/>
              <w:pageBreakBefore w:val="0"/>
              <w:widowControl w:val="0"/>
              <w:kinsoku/>
              <w:wordWrap/>
              <w:overflowPunct/>
              <w:topLinePunct w:val="0"/>
              <w:autoSpaceDE/>
              <w:autoSpaceDN/>
              <w:bidi w:val="0"/>
              <w:adjustRightInd/>
              <w:snapToGrid/>
              <w:ind w:firstLine="0"/>
              <w:textAlignment w:val="auto"/>
              <w:rPr>
                <w:rFonts w:hint="default" w:ascii="Times New Roman" w:cs="Times New Roman"/>
                <w:color w:val="auto"/>
                <w:highlight w:val="none"/>
                <w:u w:val="single"/>
                <w:vertAlign w:val="baseline"/>
                <w:lang w:val="en-US" w:eastAsia="zh-CN"/>
              </w:rPr>
            </w:pPr>
            <w:r>
              <w:rPr>
                <w:rFonts w:hint="eastAsia" w:ascii="Times New Roman" w:cs="Times New Roman"/>
                <w:color w:val="auto"/>
                <w:highlight w:val="none"/>
                <w:u w:val="single"/>
                <w:vertAlign w:val="baseline"/>
                <w:lang w:val="en-US" w:eastAsia="zh-CN"/>
              </w:rPr>
              <w:t>＜20，≥10</w:t>
            </w:r>
          </w:p>
        </w:tc>
      </w:tr>
      <w:tr w14:paraId="76DF1D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36" w:type="dxa"/>
          </w:tcPr>
          <w:p w14:paraId="7058167E">
            <w:pPr>
              <w:pStyle w:val="20"/>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highlight w:val="none"/>
                <w:u w:val="single"/>
                <w:vertAlign w:val="baseline"/>
                <w:lang w:val="en-US" w:eastAsia="zh-CN"/>
              </w:rPr>
            </w:pPr>
            <w:r>
              <w:rPr>
                <w:rFonts w:hint="eastAsia" w:ascii="Times New Roman" w:cs="Times New Roman"/>
                <w:color w:val="auto"/>
                <w:highlight w:val="none"/>
                <w:u w:val="single"/>
                <w:vertAlign w:val="baseline"/>
                <w:lang w:val="en-US" w:eastAsia="zh-CN"/>
              </w:rPr>
              <w:t>堤防级别</w:t>
            </w:r>
          </w:p>
        </w:tc>
        <w:tc>
          <w:tcPr>
            <w:tcW w:w="906" w:type="dxa"/>
          </w:tcPr>
          <w:p w14:paraId="02D5EE1E">
            <w:pPr>
              <w:pStyle w:val="20"/>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highlight w:val="none"/>
                <w:u w:val="single"/>
                <w:vertAlign w:val="baseline"/>
                <w:lang w:val="en-US" w:eastAsia="zh-CN"/>
              </w:rPr>
            </w:pPr>
            <w:r>
              <w:rPr>
                <w:rFonts w:hint="eastAsia" w:ascii="Times New Roman" w:cs="Times New Roman"/>
                <w:color w:val="auto"/>
                <w:highlight w:val="none"/>
                <w:u w:val="single"/>
                <w:vertAlign w:val="baseline"/>
                <w:lang w:val="en-US" w:eastAsia="zh-CN"/>
              </w:rPr>
              <w:t>1</w:t>
            </w:r>
          </w:p>
        </w:tc>
        <w:tc>
          <w:tcPr>
            <w:tcW w:w="1471" w:type="dxa"/>
          </w:tcPr>
          <w:p w14:paraId="3C7D485B">
            <w:pPr>
              <w:pStyle w:val="20"/>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bCs/>
                <w:color w:val="auto"/>
                <w:highlight w:val="none"/>
                <w:u w:val="single"/>
                <w:vertAlign w:val="baseline"/>
                <w:lang w:val="en-US" w:eastAsia="zh-CN"/>
              </w:rPr>
            </w:pPr>
            <w:r>
              <w:rPr>
                <w:rFonts w:hint="eastAsia" w:ascii="Times New Roman" w:cs="Times New Roman"/>
                <w:b/>
                <w:bCs/>
                <w:color w:val="auto"/>
                <w:highlight w:val="none"/>
                <w:u w:val="single"/>
                <w:vertAlign w:val="baseline"/>
                <w:lang w:val="en-US" w:eastAsia="zh-CN"/>
              </w:rPr>
              <w:t>2</w:t>
            </w:r>
          </w:p>
        </w:tc>
        <w:tc>
          <w:tcPr>
            <w:tcW w:w="1471" w:type="dxa"/>
          </w:tcPr>
          <w:p w14:paraId="5C33A8C3">
            <w:pPr>
              <w:pStyle w:val="20"/>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highlight w:val="none"/>
                <w:u w:val="single"/>
                <w:vertAlign w:val="baseline"/>
                <w:lang w:val="en-US" w:eastAsia="zh-CN"/>
              </w:rPr>
            </w:pPr>
            <w:r>
              <w:rPr>
                <w:rFonts w:hint="eastAsia" w:ascii="Times New Roman" w:cs="Times New Roman"/>
                <w:color w:val="auto"/>
                <w:highlight w:val="none"/>
                <w:u w:val="single"/>
                <w:vertAlign w:val="baseline"/>
                <w:lang w:val="en-US" w:eastAsia="zh-CN"/>
              </w:rPr>
              <w:t>3</w:t>
            </w:r>
          </w:p>
        </w:tc>
        <w:tc>
          <w:tcPr>
            <w:tcW w:w="1471" w:type="dxa"/>
          </w:tcPr>
          <w:p w14:paraId="65243B64">
            <w:pPr>
              <w:pStyle w:val="20"/>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highlight w:val="none"/>
                <w:u w:val="single"/>
                <w:vertAlign w:val="baseline"/>
                <w:lang w:val="en-US" w:eastAsia="zh-CN"/>
              </w:rPr>
            </w:pPr>
            <w:r>
              <w:rPr>
                <w:rFonts w:hint="eastAsia" w:ascii="Times New Roman" w:cs="Times New Roman"/>
                <w:color w:val="auto"/>
                <w:highlight w:val="none"/>
                <w:u w:val="single"/>
                <w:vertAlign w:val="baseline"/>
                <w:lang w:val="en-US" w:eastAsia="zh-CN"/>
              </w:rPr>
              <w:t>4</w:t>
            </w:r>
          </w:p>
        </w:tc>
        <w:tc>
          <w:tcPr>
            <w:tcW w:w="1471" w:type="dxa"/>
          </w:tcPr>
          <w:p w14:paraId="6E40D094">
            <w:pPr>
              <w:pStyle w:val="20"/>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highlight w:val="none"/>
                <w:u w:val="single"/>
                <w:vertAlign w:val="baseline"/>
                <w:lang w:val="en-US" w:eastAsia="zh-CN"/>
              </w:rPr>
            </w:pPr>
            <w:r>
              <w:rPr>
                <w:rFonts w:hint="eastAsia" w:ascii="Times New Roman" w:cs="Times New Roman"/>
                <w:color w:val="auto"/>
                <w:highlight w:val="none"/>
                <w:u w:val="single"/>
                <w:vertAlign w:val="baseline"/>
                <w:lang w:val="en-US" w:eastAsia="zh-CN"/>
              </w:rPr>
              <w:t>5</w:t>
            </w:r>
          </w:p>
        </w:tc>
      </w:tr>
    </w:tbl>
    <w:p w14:paraId="3109E232">
      <w:pPr>
        <w:pStyle w:val="5"/>
        <w:bidi w:val="0"/>
        <w:ind w:left="452" w:leftChars="0" w:firstLine="0" w:firstLineChars="0"/>
        <w:rPr>
          <w:rFonts w:hint="default"/>
          <w:color w:val="auto"/>
          <w:highlight w:val="none"/>
        </w:rPr>
      </w:pPr>
      <w:r>
        <w:rPr>
          <w:rFonts w:hint="default"/>
          <w:color w:val="auto"/>
          <w:highlight w:val="none"/>
          <w:lang w:eastAsia="zh-CN"/>
        </w:rPr>
        <w:t>防洪、排涝标准</w:t>
      </w:r>
    </w:p>
    <w:p w14:paraId="4F5CD5CD">
      <w:pPr>
        <w:ind w:firstLine="454"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根据《钦州市</w:t>
      </w:r>
      <w:r>
        <w:rPr>
          <w:rFonts w:hint="eastAsia" w:ascii="Times New Roman" w:cs="Times New Roman"/>
          <w:color w:val="auto"/>
          <w:highlight w:val="none"/>
          <w:lang w:val="en-US" w:eastAsia="zh-CN"/>
        </w:rPr>
        <w:t>城市</w:t>
      </w:r>
      <w:r>
        <w:rPr>
          <w:rFonts w:hint="default" w:ascii="Times New Roman" w:hAnsi="Times New Roman" w:eastAsia="宋体" w:cs="Times New Roman"/>
          <w:color w:val="auto"/>
          <w:highlight w:val="none"/>
          <w:lang w:val="en-US" w:eastAsia="zh-CN"/>
        </w:rPr>
        <w:t>总体规划</w:t>
      </w:r>
      <w:r>
        <w:rPr>
          <w:rFonts w:hint="eastAsia" w:ascii="Times New Roman" w:cs="Times New Roman"/>
          <w:color w:val="auto"/>
          <w:highlight w:val="none"/>
          <w:lang w:val="en-US" w:eastAsia="zh-CN"/>
        </w:rPr>
        <w:t>修改</w:t>
      </w:r>
      <w:r>
        <w:rPr>
          <w:rFonts w:hint="default" w:ascii="Times New Roman" w:hAnsi="Times New Roman" w:eastAsia="宋体" w:cs="Times New Roman"/>
          <w:color w:val="auto"/>
          <w:highlight w:val="none"/>
          <w:lang w:val="en-US" w:eastAsia="zh-CN"/>
        </w:rPr>
        <w:t>》（2012-2030）相关要求、标准，本工程所在区域防洪、防风暴潮标准以及排涝标准按下列要求设计及核准。</w:t>
      </w:r>
    </w:p>
    <w:p w14:paraId="57700F5A">
      <w:pPr>
        <w:ind w:firstLine="454"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（1）防洪、防风暴潮标准</w:t>
      </w:r>
    </w:p>
    <w:p w14:paraId="5275D8EF">
      <w:pPr>
        <w:ind w:firstLine="454"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城市防洪标准为100年一遇，防风暴潮标准100年一遇，山洪防治标准达到20年一遇。</w:t>
      </w:r>
    </w:p>
    <w:p w14:paraId="157F3255">
      <w:pPr>
        <w:ind w:firstLine="454"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（2）排涝标准</w:t>
      </w:r>
    </w:p>
    <w:p w14:paraId="2F610226">
      <w:pPr>
        <w:ind w:firstLine="454"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城区排涝标准按20年一遇最大24小时暴雨一天排除。</w:t>
      </w:r>
    </w:p>
    <w:p w14:paraId="6F0A6EE3">
      <w:pPr>
        <w:ind w:firstLine="454"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自排：排涝标准按50年一遇最大24小时降雨产生的洪水不成灾。</w:t>
      </w:r>
    </w:p>
    <w:p w14:paraId="1D188746">
      <w:pPr>
        <w:ind w:firstLine="454"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（3）本工程城市更新项目建设服务于金窝水库的排水水系改造段：主要用于企山水库50年一遇泄洪，根据企山水库相关资料，企山水库50年一遇泄洪量为：15230（L/s/ha）。</w:t>
      </w:r>
    </w:p>
    <w:p w14:paraId="02037909">
      <w:pPr>
        <w:pStyle w:val="5"/>
        <w:bidi w:val="0"/>
        <w:ind w:left="452" w:leftChars="0" w:firstLine="0" w:firstLineChars="0"/>
        <w:rPr>
          <w:rFonts w:hint="default"/>
          <w:color w:val="auto"/>
          <w:highlight w:val="none"/>
        </w:rPr>
      </w:pPr>
      <w:r>
        <w:rPr>
          <w:rFonts w:hint="default"/>
          <w:color w:val="auto"/>
          <w:highlight w:val="none"/>
        </w:rPr>
        <w:t>工程总平布置</w:t>
      </w:r>
    </w:p>
    <w:p w14:paraId="154D4A98">
      <w:pPr>
        <w:ind w:firstLine="454"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钦州港新型城乡融合发展示范区(自贸新城)排水改造工程主要分为锦绣大道排水改造段、城市更新项目建设服务于金窝水库的排水水系改造段、钦州港路雨水排水工程。锦绣大道排水改造段位于广西自贸区钦州港片区新型城乡融合发展示范区锦绣大道（和谐大街至乐业大街段）的西侧，区域排水大体走向为由友谊大道与和谐大街路口向东南排至锦绣大道与乐业大街路口。城市更新项目建设服务于金窝水库的排水水系改造段，路线设计起点与和谐大街相交，终点至乐业大街相交，道路呈南北走向，道路红线宽24m。钦州港路路线设计起点与锦绣大道相交，终点接至曲秀大道相交，道路呈东西走向。</w:t>
      </w:r>
    </w:p>
    <w:p w14:paraId="1C6DF328">
      <w:pPr>
        <w:pStyle w:val="693"/>
        <w:keepNext w:val="0"/>
        <w:keepLines w:val="0"/>
        <w:pageBreakBefore w:val="0"/>
        <w:widowControl w:val="0"/>
        <w:numPr>
          <w:ilvl w:val="0"/>
          <w:numId w:val="0"/>
        </w:numPr>
        <w:kinsoku/>
        <w:wordWrap/>
        <w:overflowPunct/>
        <w:topLinePunct w:val="0"/>
        <w:autoSpaceDE w:val="0"/>
        <w:autoSpaceDN w:val="0"/>
        <w:bidi w:val="0"/>
        <w:adjustRightInd w:val="0"/>
        <w:snapToGrid/>
        <w:jc w:val="both"/>
        <w:textAlignment w:val="baseline"/>
        <w:rPr>
          <w:rFonts w:hint="default" w:ascii="Times New Roman" w:hAnsi="Times New Roman" w:eastAsia="宋体" w:cs="Times New Roman"/>
          <w:b w:val="0"/>
          <w:bCs w:val="0"/>
          <w:color w:val="auto"/>
          <w:highlight w:val="none"/>
          <w:lang w:val="en-US" w:eastAsia="zh-CN"/>
        </w:rPr>
      </w:pPr>
      <w:r>
        <w:rPr>
          <w:color w:val="auto"/>
          <w:highlight w:val="none"/>
        </w:rPr>
        <w:drawing>
          <wp:inline distT="0" distB="0" distL="114300" distR="114300">
            <wp:extent cx="5467350" cy="3569335"/>
            <wp:effectExtent l="0" t="0" r="0" b="12065"/>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27"/>
                    <a:stretch>
                      <a:fillRect/>
                    </a:stretch>
                  </pic:blipFill>
                  <pic:spPr>
                    <a:xfrm>
                      <a:off x="0" y="0"/>
                      <a:ext cx="5467350" cy="3569335"/>
                    </a:xfrm>
                    <a:prstGeom prst="rect">
                      <a:avLst/>
                    </a:prstGeom>
                    <a:noFill/>
                    <a:ln>
                      <a:noFill/>
                    </a:ln>
                  </pic:spPr>
                </pic:pic>
              </a:graphicData>
            </a:graphic>
          </wp:inline>
        </w:drawing>
      </w:r>
    </w:p>
    <w:p w14:paraId="1D5D6450">
      <w:pPr>
        <w:pStyle w:val="588"/>
        <w:bidi w:val="0"/>
        <w:ind w:left="0" w:leftChars="0" w:firstLine="0" w:firstLineChars="0"/>
        <w:rPr>
          <w:rFonts w:hint="default" w:ascii="Times New Roman" w:hAnsi="Times New Roman" w:eastAsia="宋体" w:cs="Times New Roman"/>
          <w:b/>
          <w:bCs/>
          <w:color w:val="auto"/>
          <w:highlight w:val="none"/>
          <w:u w:val="single"/>
          <w:lang w:val="en-US" w:eastAsia="zh-CN"/>
        </w:rPr>
      </w:pPr>
      <w:r>
        <w:rPr>
          <w:rFonts w:hint="eastAsia" w:cs="Times New Roman"/>
          <w:b/>
          <w:bCs/>
          <w:color w:val="auto"/>
          <w:highlight w:val="none"/>
          <w:u w:val="single"/>
          <w:lang w:val="en-US" w:eastAsia="zh-CN"/>
        </w:rPr>
        <w:t>项目总平面布置图</w:t>
      </w:r>
    </w:p>
    <w:p w14:paraId="4282DAB8">
      <w:pPr>
        <w:pStyle w:val="5"/>
        <w:bidi w:val="0"/>
        <w:ind w:left="452" w:leftChars="0" w:firstLine="0" w:firstLineChars="0"/>
        <w:rPr>
          <w:rFonts w:hint="default"/>
          <w:color w:val="auto"/>
          <w:highlight w:val="none"/>
        </w:rPr>
      </w:pPr>
      <w:r>
        <w:rPr>
          <w:rFonts w:hint="default"/>
          <w:color w:val="auto"/>
          <w:highlight w:val="none"/>
          <w:lang w:eastAsia="zh-CN"/>
        </w:rPr>
        <w:t>锦绣大道排水改造段</w:t>
      </w:r>
    </w:p>
    <w:p w14:paraId="65E7F050">
      <w:pPr>
        <w:pStyle w:val="6"/>
        <w:bidi w:val="0"/>
        <w:ind w:left="0" w:leftChars="0" w:firstLine="0" w:firstLineChars="0"/>
        <w:rPr>
          <w:rFonts w:hint="default"/>
          <w:color w:val="auto"/>
          <w:highlight w:val="none"/>
        </w:rPr>
      </w:pPr>
      <w:r>
        <w:rPr>
          <w:rFonts w:hint="default"/>
          <w:color w:val="auto"/>
          <w:highlight w:val="none"/>
          <w:lang w:eastAsia="zh-CN"/>
        </w:rPr>
        <w:t>排水沟一</w:t>
      </w:r>
    </w:p>
    <w:p w14:paraId="3EF579B7">
      <w:pPr>
        <w:ind w:firstLine="454"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排水沟一路线设计起点位于锦绣大道与和谐大街路口西南角，终点接至细垌环村东北角处的排水沟二，路线全长127.675m。沟底起点设计标高7.8m，终点设计标高7.41m，排水纵坡为0.3%。</w:t>
      </w:r>
    </w:p>
    <w:p w14:paraId="5ECC951E">
      <w:pPr>
        <w:pStyle w:val="6"/>
        <w:bidi w:val="0"/>
        <w:ind w:left="0" w:leftChars="0" w:firstLine="0" w:firstLineChars="0"/>
        <w:rPr>
          <w:rFonts w:hint="default"/>
          <w:color w:val="auto"/>
          <w:highlight w:val="none"/>
        </w:rPr>
      </w:pPr>
      <w:r>
        <w:rPr>
          <w:rFonts w:hint="default"/>
          <w:color w:val="auto"/>
          <w:highlight w:val="none"/>
          <w:lang w:eastAsia="zh-CN"/>
        </w:rPr>
        <w:t>排水沟二</w:t>
      </w:r>
    </w:p>
    <w:p w14:paraId="177A285B">
      <w:pPr>
        <w:ind w:firstLine="454"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排水沟二起点位于细垌环村东北角，与排水沟一相接，沿锦绣大道西侧坡脚线由北往南穿越锦绣大道与乐业大街路口后向东排至下游水系，</w:t>
      </w:r>
      <w:r>
        <w:rPr>
          <w:rFonts w:hint="eastAsia"/>
          <w:color w:val="auto"/>
          <w:highlight w:val="none"/>
          <w:lang w:eastAsia="zh-CN"/>
        </w:rPr>
        <w:t>土质</w:t>
      </w:r>
      <w:r>
        <w:rPr>
          <w:rFonts w:hint="eastAsia" w:ascii="Times New Roman" w:cs="Times New Roman"/>
          <w:color w:val="auto"/>
          <w:highlight w:val="none"/>
          <w:lang w:val="en-US" w:eastAsia="zh-CN"/>
        </w:rPr>
        <w:t>明沟段445.905m</w:t>
      </w:r>
      <w:r>
        <w:rPr>
          <w:rFonts w:ascii="宋体" w:hAnsi="宋体" w:eastAsia="宋体" w:cs="宋体"/>
          <w:color w:val="auto"/>
          <w:spacing w:val="-8"/>
          <w:sz w:val="24"/>
          <w:szCs w:val="24"/>
          <w:highlight w:val="none"/>
        </w:rPr>
        <w:t>，为防止冲刷，锦绣大道西</w:t>
      </w:r>
      <w:r>
        <w:rPr>
          <w:rFonts w:ascii="宋体" w:hAnsi="宋体" w:eastAsia="宋体" w:cs="宋体"/>
          <w:color w:val="auto"/>
          <w:spacing w:val="-9"/>
          <w:sz w:val="24"/>
          <w:szCs w:val="24"/>
          <w:highlight w:val="none"/>
        </w:rPr>
        <w:t>侧边坡采用将砌</w:t>
      </w:r>
      <w:r>
        <w:rPr>
          <w:rFonts w:hint="eastAsia" w:ascii="宋体" w:hAnsi="宋体" w:eastAsia="宋体" w:cs="宋体"/>
          <w:color w:val="auto"/>
          <w:spacing w:val="-9"/>
          <w:sz w:val="24"/>
          <w:szCs w:val="24"/>
          <w:highlight w:val="none"/>
          <w:lang w:eastAsia="zh-CN"/>
        </w:rPr>
        <w:t>石护坡</w:t>
      </w:r>
      <w:r>
        <w:rPr>
          <w:rFonts w:ascii="宋体" w:hAnsi="宋体" w:eastAsia="宋体" w:cs="宋体"/>
          <w:color w:val="auto"/>
          <w:spacing w:val="-45"/>
          <w:sz w:val="24"/>
          <w:szCs w:val="24"/>
          <w:highlight w:val="none"/>
        </w:rPr>
        <w:t xml:space="preserve"> </w:t>
      </w:r>
      <w:r>
        <w:rPr>
          <w:rFonts w:ascii="宋体" w:hAnsi="宋体" w:eastAsia="宋体" w:cs="宋体"/>
          <w:color w:val="auto"/>
          <w:spacing w:val="-9"/>
          <w:sz w:val="24"/>
          <w:szCs w:val="24"/>
          <w:highlight w:val="none"/>
        </w:rPr>
        <w:t>；</w:t>
      </w:r>
      <w:r>
        <w:rPr>
          <w:rFonts w:hint="default" w:ascii="Times New Roman" w:hAnsi="Times New Roman" w:eastAsia="宋体" w:cs="Times New Roman"/>
          <w:color w:val="auto"/>
          <w:highlight w:val="none"/>
          <w:lang w:val="en-US" w:eastAsia="zh-CN"/>
        </w:rPr>
        <w:t>排水沟二的沟底高程需小于沿线周边地块的地面高程。</w:t>
      </w:r>
    </w:p>
    <w:p w14:paraId="35C82B04">
      <w:pPr>
        <w:ind w:firstLine="454"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本次设计的排水沟二沟底起点设计标高为1.0m，终点设计标高为0.311m，排水纵坡为0.1%。</w:t>
      </w:r>
    </w:p>
    <w:p w14:paraId="42D3D2A8">
      <w:pPr>
        <w:pStyle w:val="151"/>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b w:val="0"/>
          <w:bCs/>
          <w:color w:val="auto"/>
          <w:highlight w:val="none"/>
        </w:rPr>
        <w:drawing>
          <wp:inline distT="0" distB="0" distL="114300" distR="114300">
            <wp:extent cx="5450205" cy="1708150"/>
            <wp:effectExtent l="0" t="0" r="17145" b="6350"/>
            <wp:docPr id="37"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1"/>
                    <pic:cNvPicPr>
                      <a:picLocks noChangeAspect="1"/>
                    </pic:cNvPicPr>
                  </pic:nvPicPr>
                  <pic:blipFill>
                    <a:blip r:embed="rId28"/>
                    <a:stretch>
                      <a:fillRect/>
                    </a:stretch>
                  </pic:blipFill>
                  <pic:spPr>
                    <a:xfrm>
                      <a:off x="0" y="0"/>
                      <a:ext cx="5450205" cy="1708150"/>
                    </a:xfrm>
                    <a:prstGeom prst="rect">
                      <a:avLst/>
                    </a:prstGeom>
                    <a:noFill/>
                    <a:ln>
                      <a:noFill/>
                    </a:ln>
                  </pic:spPr>
                </pic:pic>
              </a:graphicData>
            </a:graphic>
          </wp:inline>
        </w:drawing>
      </w:r>
    </w:p>
    <w:p w14:paraId="4E9A6268">
      <w:pPr>
        <w:pStyle w:val="588"/>
        <w:bidi w:val="0"/>
        <w:ind w:left="0" w:leftChars="0" w:firstLine="0" w:firstLineChars="0"/>
        <w:rPr>
          <w:rFonts w:hint="default"/>
          <w:color w:val="auto"/>
          <w:highlight w:val="none"/>
          <w:lang w:val="en-US" w:eastAsia="zh-CN"/>
        </w:rPr>
      </w:pPr>
      <w:r>
        <w:rPr>
          <w:rFonts w:hint="default"/>
          <w:color w:val="auto"/>
          <w:highlight w:val="none"/>
          <w:lang w:val="en-US" w:eastAsia="zh-CN"/>
        </w:rPr>
        <w:t>排水沟二断面大样图（锦绣大道排水改造段）</w:t>
      </w:r>
    </w:p>
    <w:p w14:paraId="16B3AE59">
      <w:pPr>
        <w:pStyle w:val="6"/>
        <w:bidi w:val="0"/>
        <w:ind w:left="0" w:leftChars="0" w:firstLine="0" w:firstLineChars="0"/>
        <w:rPr>
          <w:rFonts w:hint="default"/>
          <w:color w:val="auto"/>
          <w:highlight w:val="none"/>
          <w:lang w:val="en-US" w:eastAsia="zh-CN"/>
        </w:rPr>
      </w:pPr>
      <w:r>
        <w:rPr>
          <w:rFonts w:hint="default"/>
          <w:color w:val="auto"/>
          <w:highlight w:val="none"/>
          <w:lang w:val="en-US" w:eastAsia="zh-CN"/>
        </w:rPr>
        <w:t>锦绣大道西侧非机动车道雨水管连接工程</w:t>
      </w:r>
    </w:p>
    <w:p w14:paraId="71CB35A2">
      <w:pPr>
        <w:ind w:firstLine="454"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锦绣大道西侧非机动车道雨水管连接工程主要位于细垌环村东面段，该段上下游两端均已敷设有雨水管。本次设计根据现状连通上下游排水已敷设的上下游雨水管，采用一根d1800的聚乙烯（HDPE）塑钢缠绕排水管进行连接，管线长度146m，设置雨水检查井5座</w:t>
      </w:r>
      <w:r>
        <w:rPr>
          <w:rFonts w:hint="eastAsia" w:ascii="Times New Roman" w:cs="Times New Roman"/>
          <w:color w:val="auto"/>
          <w:highlight w:val="none"/>
          <w:lang w:val="en-US" w:eastAsia="zh-CN"/>
        </w:rPr>
        <w:t>，管线敷设完成后分层回填土压实至现状路面。</w:t>
      </w:r>
    </w:p>
    <w:p w14:paraId="034FB9EB">
      <w:pPr>
        <w:ind w:firstLine="454"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雨水管连接工程的起终点管底设计高程均按现状已敷设的雨水管管底标高进行控制，雨水管起点标高为4.2m，终点标高为3.762m，排水纵坡为0.3%。</w:t>
      </w:r>
    </w:p>
    <w:p w14:paraId="67DE6435">
      <w:pPr>
        <w:pStyle w:val="6"/>
        <w:bidi w:val="0"/>
        <w:ind w:left="0" w:leftChars="0" w:firstLine="0" w:firstLineChars="0"/>
        <w:rPr>
          <w:rFonts w:hint="default"/>
          <w:color w:val="auto"/>
          <w:highlight w:val="none"/>
          <w:lang w:val="en-US" w:eastAsia="zh-CN"/>
        </w:rPr>
      </w:pPr>
      <w:r>
        <w:rPr>
          <w:rFonts w:hint="default"/>
          <w:color w:val="auto"/>
          <w:highlight w:val="none"/>
          <w:lang w:val="en-US" w:eastAsia="zh-CN"/>
        </w:rPr>
        <w:t>锦绣大道（乐业大街南面）东侧、西侧非机动车道雨水管工程</w:t>
      </w:r>
    </w:p>
    <w:p w14:paraId="3A70039A">
      <w:pPr>
        <w:ind w:firstLine="454"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本段设计承接上游锦绣大道已建设雨水管道，东、西侧距离道路人行道路边边线4米设计与非机动车道下方，设计管线双侧长度共计347m，雨水检查井8座、两座排出口。</w:t>
      </w:r>
    </w:p>
    <w:p w14:paraId="64287A01">
      <w:pPr>
        <w:ind w:firstLine="454"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承接上游锦绣大道已建设雨水管道，西侧现状管道d2000、井底标高2.59m、东侧现状管道d2200、井底标高2.39m，接入本次设计排水箱涵1孔3m*3m后，继续按现状管径、坡度敷设排至下游现状水域，终点西侧标高为2.057m、东侧标高为1.854m，排水纵坡为0.3%。</w:t>
      </w:r>
    </w:p>
    <w:p w14:paraId="408D6C77">
      <w:pPr>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drawing>
          <wp:inline distT="0" distB="0" distL="114300" distR="114300">
            <wp:extent cx="5579745" cy="3359785"/>
            <wp:effectExtent l="0" t="0" r="1905" b="12065"/>
            <wp:docPr id="38"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83"/>
                    <pic:cNvPicPr>
                      <a:picLocks noChangeAspect="1"/>
                    </pic:cNvPicPr>
                  </pic:nvPicPr>
                  <pic:blipFill>
                    <a:blip r:embed="rId29"/>
                    <a:stretch>
                      <a:fillRect/>
                    </a:stretch>
                  </pic:blipFill>
                  <pic:spPr>
                    <a:xfrm>
                      <a:off x="0" y="0"/>
                      <a:ext cx="5579745" cy="3359785"/>
                    </a:xfrm>
                    <a:prstGeom prst="rect">
                      <a:avLst/>
                    </a:prstGeom>
                    <a:noFill/>
                    <a:ln>
                      <a:noFill/>
                    </a:ln>
                  </pic:spPr>
                </pic:pic>
              </a:graphicData>
            </a:graphic>
          </wp:inline>
        </w:drawing>
      </w:r>
    </w:p>
    <w:p w14:paraId="47B1E1C2">
      <w:pPr>
        <w:pStyle w:val="588"/>
        <w:bidi w:val="0"/>
        <w:ind w:left="0" w:leftChars="0" w:firstLine="0" w:firstLineChars="0"/>
        <w:rPr>
          <w:rFonts w:hint="default"/>
          <w:color w:val="auto"/>
          <w:highlight w:val="none"/>
          <w:lang w:val="en-US" w:eastAsia="zh-CN"/>
        </w:rPr>
      </w:pPr>
      <w:r>
        <w:rPr>
          <w:rFonts w:hint="default"/>
          <w:color w:val="auto"/>
          <w:highlight w:val="none"/>
          <w:lang w:val="en-US" w:eastAsia="zh-CN"/>
        </w:rPr>
        <w:t>管线横断面设计图（锦绣大道排水改造段）</w:t>
      </w:r>
    </w:p>
    <w:p w14:paraId="4B84A6D7">
      <w:pPr>
        <w:pStyle w:val="5"/>
        <w:bidi w:val="0"/>
        <w:ind w:left="452" w:leftChars="0" w:firstLine="0" w:firstLineChars="0"/>
        <w:rPr>
          <w:rFonts w:hint="default"/>
          <w:color w:val="auto"/>
          <w:highlight w:val="none"/>
          <w:lang w:eastAsia="zh-CN"/>
        </w:rPr>
      </w:pPr>
      <w:r>
        <w:rPr>
          <w:rFonts w:hint="default"/>
          <w:color w:val="auto"/>
          <w:highlight w:val="none"/>
          <w:lang w:val="en-US" w:eastAsia="zh-CN"/>
        </w:rPr>
        <w:t>城市更新项目建设服务于金窝水库的排水水系改造段</w:t>
      </w:r>
    </w:p>
    <w:p w14:paraId="52FD38D3">
      <w:pPr>
        <w:pStyle w:val="6"/>
        <w:bidi w:val="0"/>
        <w:ind w:left="0" w:leftChars="0" w:firstLine="0" w:firstLineChars="0"/>
        <w:rPr>
          <w:rFonts w:hint="default"/>
          <w:color w:val="auto"/>
          <w:highlight w:val="none"/>
        </w:rPr>
      </w:pPr>
      <w:r>
        <w:rPr>
          <w:rFonts w:hint="eastAsia"/>
          <w:color w:val="auto"/>
          <w:highlight w:val="none"/>
          <w:lang w:eastAsia="zh-CN"/>
        </w:rPr>
        <w:t>曲绣路</w:t>
      </w:r>
      <w:r>
        <w:rPr>
          <w:rFonts w:hint="default"/>
          <w:color w:val="auto"/>
          <w:highlight w:val="none"/>
        </w:rPr>
        <w:t>段雨水管</w:t>
      </w:r>
    </w:p>
    <w:p w14:paraId="4E94F79E">
      <w:pPr>
        <w:ind w:firstLine="454" w:firstLineChars="200"/>
        <w:rPr>
          <w:rFonts w:hint="default" w:ascii="Times New Roman" w:hAnsi="Times New Roman" w:eastAsia="宋体" w:cs="Times New Roman"/>
          <w:color w:val="auto"/>
          <w:highlight w:val="none"/>
          <w:lang w:val="en-US" w:eastAsia="zh-CN" w:bidi="en-US"/>
        </w:rPr>
      </w:pPr>
      <w:r>
        <w:rPr>
          <w:rFonts w:hint="default" w:ascii="Times New Roman" w:hAnsi="Times New Roman" w:eastAsia="宋体" w:cs="Times New Roman"/>
          <w:color w:val="auto"/>
          <w:highlight w:val="none"/>
          <w:lang w:val="en-US" w:eastAsia="zh-CN" w:bidi="en-US"/>
        </w:rPr>
        <w:t>本次设计沿线道路回填至规划路面标高后，敷设雨水排水管道，设于</w:t>
      </w:r>
      <w:r>
        <w:rPr>
          <w:rFonts w:hint="eastAsia" w:ascii="Times New Roman" w:cs="Times New Roman"/>
          <w:color w:val="auto"/>
          <w:highlight w:val="none"/>
          <w:lang w:val="en-US" w:eastAsia="zh-CN" w:bidi="en-US"/>
        </w:rPr>
        <w:t>曲绣路</w:t>
      </w:r>
      <w:r>
        <w:rPr>
          <w:rFonts w:hint="default" w:ascii="Times New Roman" w:hAnsi="Times New Roman" w:eastAsia="宋体" w:cs="Times New Roman"/>
          <w:color w:val="auto"/>
          <w:highlight w:val="none"/>
          <w:lang w:val="en-US" w:eastAsia="zh-CN" w:bidi="en-US"/>
        </w:rPr>
        <w:t>东侧机动车道下方，距离路边边线2m。（和谐大街～钦州港管段）沿线雨水主干管管径为：d800~d1200；起点标高：6.562m、终点排出标高：4.34m，排至同步设计排水水渠，水渠设计水位标高1.30m，渠底标高1.12~-1.82m，满足本工程排入要求。</w:t>
      </w:r>
    </w:p>
    <w:p w14:paraId="2BB5EFB7">
      <w:pPr>
        <w:ind w:firstLine="454" w:firstLineChars="200"/>
        <w:rPr>
          <w:rFonts w:hint="default" w:ascii="Times New Roman" w:hAnsi="Times New Roman" w:eastAsia="宋体" w:cs="Times New Roman"/>
          <w:color w:val="auto"/>
          <w:highlight w:val="none"/>
          <w:lang w:val="en-US" w:eastAsia="zh-CN" w:bidi="en-US"/>
        </w:rPr>
      </w:pPr>
      <w:r>
        <w:rPr>
          <w:rFonts w:hint="default" w:ascii="Times New Roman" w:hAnsi="Times New Roman" w:eastAsia="宋体" w:cs="Times New Roman"/>
          <w:color w:val="auto"/>
          <w:highlight w:val="none"/>
          <w:lang w:val="en-US" w:eastAsia="zh-CN" w:bidi="en-US"/>
        </w:rPr>
        <w:t>（钦州港管段～乐业大街段）沿线雨水主干管管径为：d800~d1000；起点标高：5.4662m、终点排出标高：4.126m，排至同步设计排水水渠，水渠设计水位标高1.30m，渠底标高-1.12~-1.82m，满足本工程排入要求。工程沿线约按40米设置一座检查井并按80～100m左右设置一座雨水井预留相邻地块排水接入，预留雨水支管为d800。</w:t>
      </w:r>
    </w:p>
    <w:p w14:paraId="0488062A">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507990" cy="2425700"/>
            <wp:effectExtent l="0" t="0" r="16510" b="12700"/>
            <wp:docPr id="39"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84"/>
                    <pic:cNvPicPr>
                      <a:picLocks noChangeAspect="1"/>
                    </pic:cNvPicPr>
                  </pic:nvPicPr>
                  <pic:blipFill>
                    <a:blip r:embed="rId30"/>
                    <a:stretch>
                      <a:fillRect/>
                    </a:stretch>
                  </pic:blipFill>
                  <pic:spPr>
                    <a:xfrm>
                      <a:off x="0" y="0"/>
                      <a:ext cx="5507990" cy="2425700"/>
                    </a:xfrm>
                    <a:prstGeom prst="rect">
                      <a:avLst/>
                    </a:prstGeom>
                    <a:noFill/>
                    <a:ln>
                      <a:noFill/>
                    </a:ln>
                  </pic:spPr>
                </pic:pic>
              </a:graphicData>
            </a:graphic>
          </wp:inline>
        </w:drawing>
      </w:r>
    </w:p>
    <w:p w14:paraId="123DD9AF">
      <w:pPr>
        <w:pStyle w:val="588"/>
        <w:bidi w:val="0"/>
        <w:ind w:left="0" w:leftChars="0" w:firstLine="0" w:firstLineChars="0"/>
        <w:rPr>
          <w:rFonts w:hint="default"/>
          <w:color w:val="auto"/>
          <w:highlight w:val="none"/>
          <w:lang w:val="en-US" w:eastAsia="zh-CN"/>
        </w:rPr>
      </w:pPr>
      <w:r>
        <w:rPr>
          <w:rFonts w:hint="eastAsia"/>
          <w:color w:val="auto"/>
          <w:highlight w:val="none"/>
          <w:lang w:val="en-US" w:eastAsia="zh-CN"/>
        </w:rPr>
        <w:t>曲绣路</w:t>
      </w:r>
      <w:r>
        <w:rPr>
          <w:rFonts w:hint="default"/>
          <w:color w:val="auto"/>
          <w:highlight w:val="none"/>
          <w:lang w:val="en-US" w:eastAsia="zh-CN"/>
        </w:rPr>
        <w:t>回填及软基处理图（城市更新项目建设服务于金窝水库的排水水系改造段）</w:t>
      </w:r>
    </w:p>
    <w:p w14:paraId="6E375A67">
      <w:pPr>
        <w:pStyle w:val="32"/>
        <w:rPr>
          <w:rFonts w:hint="default" w:ascii="Times New Roman" w:hAnsi="Times New Roman" w:cs="Times New Roman"/>
          <w:b w:val="0"/>
          <w:bCs/>
          <w:color w:val="auto"/>
          <w:highlight w:val="none"/>
        </w:rPr>
      </w:pPr>
      <w:r>
        <w:rPr>
          <w:rFonts w:hint="default" w:ascii="Times New Roman" w:hAnsi="Times New Roman" w:eastAsia="仿宋_GB2312" w:cs="Times New Roman"/>
          <w:color w:val="auto"/>
          <w:highlight w:val="none"/>
        </w:rPr>
        <w:drawing>
          <wp:inline distT="0" distB="0" distL="114300" distR="114300">
            <wp:extent cx="5512435" cy="2721610"/>
            <wp:effectExtent l="0" t="0" r="12065" b="2540"/>
            <wp:docPr id="40"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38"/>
                    <pic:cNvPicPr>
                      <a:picLocks noChangeAspect="1"/>
                    </pic:cNvPicPr>
                  </pic:nvPicPr>
                  <pic:blipFill>
                    <a:blip r:embed="rId31"/>
                    <a:stretch>
                      <a:fillRect/>
                    </a:stretch>
                  </pic:blipFill>
                  <pic:spPr>
                    <a:xfrm>
                      <a:off x="0" y="0"/>
                      <a:ext cx="5512435" cy="2721610"/>
                    </a:xfrm>
                    <a:prstGeom prst="rect">
                      <a:avLst/>
                    </a:prstGeom>
                    <a:noFill/>
                    <a:ln>
                      <a:noFill/>
                    </a:ln>
                  </pic:spPr>
                </pic:pic>
              </a:graphicData>
            </a:graphic>
          </wp:inline>
        </w:drawing>
      </w:r>
    </w:p>
    <w:p w14:paraId="0E6907C6">
      <w:pPr>
        <w:pStyle w:val="588"/>
        <w:bidi w:val="0"/>
        <w:ind w:left="0" w:leftChars="0" w:firstLine="0" w:firstLineChars="0"/>
        <w:rPr>
          <w:rFonts w:hint="default"/>
          <w:color w:val="auto"/>
          <w:highlight w:val="none"/>
          <w:lang w:val="en-US" w:eastAsia="zh-CN"/>
        </w:rPr>
      </w:pPr>
      <w:r>
        <w:rPr>
          <w:rFonts w:hint="eastAsia"/>
          <w:color w:val="auto"/>
          <w:highlight w:val="none"/>
          <w:lang w:val="en-US" w:eastAsia="zh-CN"/>
        </w:rPr>
        <w:t>曲绣路</w:t>
      </w:r>
      <w:r>
        <w:rPr>
          <w:rFonts w:hint="default"/>
          <w:color w:val="auto"/>
          <w:highlight w:val="none"/>
          <w:lang w:val="en-US" w:eastAsia="zh-CN"/>
        </w:rPr>
        <w:t>管线位置横断面图（城市更新项目建设服务于金窝水库的排水水系改造段）</w:t>
      </w:r>
    </w:p>
    <w:p w14:paraId="7D3A3A3E">
      <w:pPr>
        <w:pStyle w:val="6"/>
        <w:bidi w:val="0"/>
        <w:ind w:left="0" w:leftChars="0" w:firstLine="0" w:firstLineChars="0"/>
        <w:rPr>
          <w:rFonts w:hint="default"/>
          <w:color w:val="auto"/>
          <w:highlight w:val="none"/>
          <w:lang w:val="en-US" w:eastAsia="zh-CN"/>
        </w:rPr>
      </w:pPr>
      <w:r>
        <w:rPr>
          <w:rFonts w:hint="default"/>
          <w:color w:val="auto"/>
          <w:highlight w:val="none"/>
          <w:lang w:val="en-US" w:eastAsia="zh-CN"/>
        </w:rPr>
        <w:t>城市更新项目建设服务于金窝水库的排水水系改造段</w:t>
      </w:r>
    </w:p>
    <w:p w14:paraId="14C521FD">
      <w:pPr>
        <w:ind w:firstLine="454" w:firstLineChars="200"/>
        <w:rPr>
          <w:rFonts w:hint="default"/>
          <w:color w:val="auto"/>
          <w:highlight w:val="none"/>
          <w:lang w:val="en-US" w:eastAsia="zh-CN"/>
        </w:rPr>
      </w:pPr>
      <w:r>
        <w:rPr>
          <w:rFonts w:hint="default" w:ascii="Times New Roman" w:hAnsi="Times New Roman" w:eastAsia="宋体" w:cs="Times New Roman"/>
          <w:color w:val="auto"/>
          <w:highlight w:val="none"/>
          <w:lang w:val="en-US" w:eastAsia="zh-CN" w:bidi="en-US"/>
        </w:rPr>
        <w:t>水系经过和谐大街现状圆管涵后（圆管涵为4-d2200混凝土管，管底标高-1.1m），沿规划于</w:t>
      </w:r>
      <w:r>
        <w:rPr>
          <w:rFonts w:hint="eastAsia" w:ascii="Times New Roman" w:cs="Times New Roman"/>
          <w:color w:val="auto"/>
          <w:highlight w:val="none"/>
          <w:lang w:val="en-US" w:eastAsia="zh-CN" w:bidi="en-US"/>
        </w:rPr>
        <w:t>曲绣路</w:t>
      </w:r>
      <w:r>
        <w:rPr>
          <w:rFonts w:hint="default" w:ascii="Times New Roman" w:hAnsi="Times New Roman" w:eastAsia="宋体" w:cs="Times New Roman"/>
          <w:color w:val="auto"/>
          <w:highlight w:val="none"/>
          <w:lang w:val="en-US" w:eastAsia="zh-CN" w:bidi="en-US"/>
        </w:rPr>
        <w:t>东侧设置水系，水系经过城市更新项目及</w:t>
      </w:r>
      <w:r>
        <w:rPr>
          <w:rFonts w:hint="eastAsia" w:ascii="Times New Roman" w:hAnsi="Times New Roman" w:eastAsia="宋体" w:cs="Times New Roman"/>
          <w:color w:val="auto"/>
          <w:highlight w:val="none"/>
          <w:lang w:val="en-US" w:eastAsia="zh-CN" w:bidi="en-US"/>
        </w:rPr>
        <w:t>拟建</w:t>
      </w:r>
      <w:r>
        <w:rPr>
          <w:rFonts w:hint="default" w:ascii="Times New Roman" w:hAnsi="Times New Roman" w:eastAsia="宋体" w:cs="Times New Roman"/>
          <w:color w:val="auto"/>
          <w:highlight w:val="none"/>
          <w:lang w:val="en-US" w:eastAsia="zh-CN" w:bidi="en-US"/>
        </w:rPr>
        <w:t>钦州港第三小学地块后，设置临时排水沟向东排入现状水系。</w:t>
      </w:r>
    </w:p>
    <w:p w14:paraId="5EAEFDA6">
      <w:pPr>
        <w:ind w:firstLine="454" w:firstLineChars="200"/>
        <w:rPr>
          <w:rFonts w:hint="default" w:ascii="Times New Roman" w:hAnsi="Times New Roman" w:eastAsia="宋体" w:cs="Times New Roman"/>
          <w:color w:val="auto"/>
          <w:highlight w:val="none"/>
          <w:lang w:val="en-US" w:eastAsia="zh-CN" w:bidi="en-US"/>
        </w:rPr>
      </w:pPr>
      <w:r>
        <w:rPr>
          <w:rFonts w:hint="default" w:ascii="Times New Roman" w:hAnsi="Times New Roman" w:eastAsia="宋体" w:cs="Times New Roman"/>
          <w:color w:val="auto"/>
          <w:highlight w:val="none"/>
          <w:lang w:val="en-US" w:eastAsia="zh-CN" w:bidi="en-US"/>
        </w:rPr>
        <w:t>起点接现状圆管涵4-d2200混凝土管，设置检查井后设置4-d2200混凝土管长54m，经</w:t>
      </w:r>
      <w:r>
        <w:rPr>
          <w:rFonts w:hint="eastAsia" w:ascii="Times New Roman" w:cs="Times New Roman"/>
          <w:color w:val="auto"/>
          <w:highlight w:val="none"/>
          <w:lang w:val="en-US" w:eastAsia="zh-CN" w:bidi="en-US"/>
        </w:rPr>
        <w:t>曲绣路</w:t>
      </w:r>
      <w:r>
        <w:rPr>
          <w:rFonts w:hint="default" w:ascii="Times New Roman" w:hAnsi="Times New Roman" w:eastAsia="宋体" w:cs="Times New Roman"/>
          <w:color w:val="auto"/>
          <w:highlight w:val="none"/>
          <w:lang w:val="en-US" w:eastAsia="zh-CN" w:bidi="en-US"/>
        </w:rPr>
        <w:t>后接入排水渠，水渠沿</w:t>
      </w:r>
      <w:r>
        <w:rPr>
          <w:rFonts w:hint="eastAsia" w:ascii="Times New Roman" w:cs="Times New Roman"/>
          <w:color w:val="auto"/>
          <w:highlight w:val="none"/>
          <w:lang w:val="en-US" w:eastAsia="zh-CN" w:bidi="en-US"/>
        </w:rPr>
        <w:t>曲绣路</w:t>
      </w:r>
      <w:r>
        <w:rPr>
          <w:rFonts w:hint="default" w:ascii="Times New Roman" w:hAnsi="Times New Roman" w:eastAsia="宋体" w:cs="Times New Roman"/>
          <w:color w:val="auto"/>
          <w:highlight w:val="none"/>
          <w:lang w:val="en-US" w:eastAsia="zh-CN" w:bidi="en-US"/>
        </w:rPr>
        <w:t>东侧向南（K0+000~K0+640）段采用扶壁式，至乐业大街后采用临时水沟排入现状水系中，渠底标高-1.58~-1.81m。</w:t>
      </w:r>
    </w:p>
    <w:p w14:paraId="6DA6E1C2">
      <w:pPr>
        <w:rPr>
          <w:rFonts w:hint="default" w:ascii="Times New Roman" w:hAnsi="Times New Roman" w:eastAsia="宋体" w:cs="Times New Roman"/>
          <w:color w:val="auto"/>
          <w:highlight w:val="none"/>
          <w:lang w:val="en-US" w:eastAsia="zh-CN" w:bidi="en-US"/>
        </w:rPr>
      </w:pPr>
      <w:r>
        <w:rPr>
          <w:rFonts w:hint="default" w:ascii="Times New Roman" w:hAnsi="Times New Roman" w:eastAsia="仿宋_GB2312" w:cs="Times New Roman"/>
          <w:color w:val="auto"/>
          <w:highlight w:val="none"/>
        </w:rPr>
        <w:drawing>
          <wp:inline distT="0" distB="0" distL="114300" distR="114300">
            <wp:extent cx="5439410" cy="2637790"/>
            <wp:effectExtent l="0" t="0" r="8890" b="10160"/>
            <wp:docPr id="41"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39"/>
                    <pic:cNvPicPr>
                      <a:picLocks noChangeAspect="1"/>
                    </pic:cNvPicPr>
                  </pic:nvPicPr>
                  <pic:blipFill>
                    <a:blip r:embed="rId32"/>
                    <a:stretch>
                      <a:fillRect/>
                    </a:stretch>
                  </pic:blipFill>
                  <pic:spPr>
                    <a:xfrm>
                      <a:off x="0" y="0"/>
                      <a:ext cx="5439410" cy="2637790"/>
                    </a:xfrm>
                    <a:prstGeom prst="rect">
                      <a:avLst/>
                    </a:prstGeom>
                    <a:noFill/>
                    <a:ln>
                      <a:noFill/>
                    </a:ln>
                  </pic:spPr>
                </pic:pic>
              </a:graphicData>
            </a:graphic>
          </wp:inline>
        </w:drawing>
      </w:r>
    </w:p>
    <w:p w14:paraId="5E0A03F6">
      <w:pPr>
        <w:pStyle w:val="588"/>
        <w:bidi w:val="0"/>
        <w:ind w:left="0" w:leftChars="0" w:firstLine="0" w:firstLineChars="0"/>
        <w:rPr>
          <w:rFonts w:hint="default"/>
          <w:color w:val="auto"/>
          <w:highlight w:val="none"/>
          <w:lang w:val="en-US" w:eastAsia="zh-CN"/>
        </w:rPr>
      </w:pPr>
      <w:r>
        <w:rPr>
          <w:rFonts w:hint="default"/>
          <w:color w:val="auto"/>
          <w:highlight w:val="none"/>
          <w:lang w:val="en-US" w:eastAsia="zh-CN"/>
        </w:rPr>
        <w:t xml:space="preserve"> 4-d2200混凝土管断面</w:t>
      </w:r>
    </w:p>
    <w:p w14:paraId="0DF367DB">
      <w:pPr>
        <w:pStyle w:val="6"/>
        <w:bidi w:val="0"/>
        <w:ind w:left="0" w:leftChars="0" w:firstLine="0" w:firstLineChars="0"/>
        <w:rPr>
          <w:rFonts w:hint="default"/>
          <w:color w:val="auto"/>
          <w:highlight w:val="none"/>
          <w:u w:val="single"/>
          <w:lang w:eastAsia="zh-CN"/>
        </w:rPr>
      </w:pPr>
      <w:r>
        <w:rPr>
          <w:rFonts w:hint="eastAsia"/>
          <w:color w:val="auto"/>
          <w:highlight w:val="none"/>
          <w:u w:val="single"/>
          <w:lang w:val="en-US" w:eastAsia="zh-CN"/>
        </w:rPr>
        <w:t>水系改造段扶壁式挡土墙</w:t>
      </w:r>
    </w:p>
    <w:p w14:paraId="6042EA9F">
      <w:pPr>
        <w:ind w:firstLine="454" w:firstLineChars="200"/>
        <w:rPr>
          <w:rFonts w:hint="default" w:ascii="Times New Roman" w:cs="Times New Roman"/>
          <w:color w:val="auto"/>
          <w:highlight w:val="none"/>
          <w:u w:val="single"/>
          <w:lang w:val="en-US" w:eastAsia="zh-CN" w:bidi="en-US"/>
        </w:rPr>
      </w:pPr>
      <w:r>
        <w:rPr>
          <w:rFonts w:hint="eastAsia" w:ascii="Times New Roman" w:cs="Times New Roman"/>
          <w:color w:val="auto"/>
          <w:highlight w:val="none"/>
          <w:u w:val="single"/>
          <w:lang w:val="en-US" w:eastAsia="zh-CN" w:bidi="en-US"/>
        </w:rPr>
        <w:t>本项目水系改造段设置扶壁式挡土墙892.16m，</w:t>
      </w:r>
      <w:r>
        <w:rPr>
          <w:rFonts w:hint="eastAsia" w:ascii="Times New Roman" w:hAnsi="Times New Roman" w:eastAsia="宋体" w:cs="Times New Roman"/>
          <w:color w:val="auto"/>
          <w:highlight w:val="none"/>
          <w:u w:val="single"/>
          <w:lang w:val="en-US" w:eastAsia="zh-CN" w:bidi="en-US"/>
        </w:rPr>
        <w:t>项目</w:t>
      </w:r>
      <w:r>
        <w:rPr>
          <w:rFonts w:hint="eastAsia" w:ascii="Times New Roman" w:cs="Times New Roman"/>
          <w:color w:val="auto"/>
          <w:highlight w:val="none"/>
          <w:u w:val="single"/>
          <w:lang w:val="en-US" w:eastAsia="zh-CN" w:bidi="en-US"/>
        </w:rPr>
        <w:t>水系改造段河床底标高为-1.68~-1.77m，对应修建墙面高度为5.5~7.5m，墙顶标高在3.0~4.92m。扶壁式挡土墙每间隔10~15cm设置纵向伸缩缝，在不同地质单元处和地层性状变化处设置沉降缝，且沉降缝与伸缩缝宜合并设置。沉降缝、伸缩缝的缝宽宜为20mm~30mm，缝中应填塞沥青麻筋或其他有弹性的防水材料，填塞深度不小于150mm。墙面设置坡度在5%的泄水孔，泄水孔采用PVC排水管DN110，背面设置土工布包裹碎石过滤。扶壁式挡墙顶部设置焊接钢管成品栏杆，成品栏杆高度1.26m。</w:t>
      </w:r>
    </w:p>
    <w:p w14:paraId="78DBD984">
      <w:pPr>
        <w:pStyle w:val="151"/>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drawing>
          <wp:inline distT="0" distB="0" distL="114300" distR="114300">
            <wp:extent cx="5492750" cy="2268855"/>
            <wp:effectExtent l="0" t="0" r="12700" b="17145"/>
            <wp:docPr id="42"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86"/>
                    <pic:cNvPicPr>
                      <a:picLocks noChangeAspect="1"/>
                    </pic:cNvPicPr>
                  </pic:nvPicPr>
                  <pic:blipFill>
                    <a:blip r:embed="rId33"/>
                    <a:srcRect r="276"/>
                    <a:stretch>
                      <a:fillRect/>
                    </a:stretch>
                  </pic:blipFill>
                  <pic:spPr>
                    <a:xfrm>
                      <a:off x="0" y="0"/>
                      <a:ext cx="5492750" cy="2268855"/>
                    </a:xfrm>
                    <a:prstGeom prst="rect">
                      <a:avLst/>
                    </a:prstGeom>
                    <a:noFill/>
                    <a:ln>
                      <a:noFill/>
                    </a:ln>
                  </pic:spPr>
                </pic:pic>
              </a:graphicData>
            </a:graphic>
          </wp:inline>
        </w:drawing>
      </w:r>
    </w:p>
    <w:p w14:paraId="77CD1032">
      <w:pPr>
        <w:pStyle w:val="588"/>
        <w:bidi w:val="0"/>
        <w:ind w:left="0" w:leftChars="0" w:firstLine="0" w:firstLineChars="0"/>
        <w:rPr>
          <w:rFonts w:hint="default"/>
          <w:color w:val="auto"/>
          <w:highlight w:val="none"/>
          <w:lang w:val="en-US" w:eastAsia="zh-CN"/>
        </w:rPr>
      </w:pPr>
      <w:r>
        <w:rPr>
          <w:rFonts w:hint="default"/>
          <w:color w:val="auto"/>
          <w:highlight w:val="none"/>
          <w:lang w:val="en-US" w:eastAsia="zh-CN"/>
        </w:rPr>
        <w:t>水沟断面图（城市更新项目建设服务于金窝水库的排水水系改造段）</w:t>
      </w:r>
    </w:p>
    <w:p w14:paraId="58A324E0">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auto"/>
          <w:highlight w:val="none"/>
          <w:u w:val="single"/>
          <w:lang w:val="en-US" w:eastAsia="zh-CN"/>
        </w:rPr>
      </w:pPr>
      <w:r>
        <w:rPr>
          <w:color w:val="auto"/>
          <w:highlight w:val="none"/>
        </w:rPr>
        <w:drawing>
          <wp:inline distT="0" distB="0" distL="114300" distR="114300">
            <wp:extent cx="5464175" cy="2705100"/>
            <wp:effectExtent l="0" t="0" r="3175" b="0"/>
            <wp:docPr id="5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7"/>
                    <pic:cNvPicPr>
                      <a:picLocks noChangeAspect="1"/>
                    </pic:cNvPicPr>
                  </pic:nvPicPr>
                  <pic:blipFill>
                    <a:blip r:embed="rId34"/>
                    <a:stretch>
                      <a:fillRect/>
                    </a:stretch>
                  </pic:blipFill>
                  <pic:spPr>
                    <a:xfrm>
                      <a:off x="0" y="0"/>
                      <a:ext cx="5464175" cy="2705100"/>
                    </a:xfrm>
                    <a:prstGeom prst="rect">
                      <a:avLst/>
                    </a:prstGeom>
                    <a:noFill/>
                    <a:ln>
                      <a:noFill/>
                    </a:ln>
                  </pic:spPr>
                </pic:pic>
              </a:graphicData>
            </a:graphic>
          </wp:inline>
        </w:drawing>
      </w:r>
    </w:p>
    <w:p w14:paraId="4663E7E8">
      <w:pPr>
        <w:pStyle w:val="588"/>
        <w:bidi w:val="0"/>
        <w:ind w:left="0" w:leftChars="0" w:firstLine="0" w:firstLineChars="0"/>
        <w:jc w:val="center"/>
        <w:rPr>
          <w:rFonts w:hint="default"/>
          <w:color w:val="auto"/>
          <w:highlight w:val="none"/>
          <w:u w:val="single"/>
          <w:lang w:val="en-US" w:eastAsia="zh-CN"/>
        </w:rPr>
      </w:pPr>
      <w:r>
        <w:rPr>
          <w:rFonts w:hint="eastAsia"/>
          <w:color w:val="auto"/>
          <w:highlight w:val="none"/>
          <w:u w:val="single"/>
          <w:lang w:val="en-US" w:eastAsia="zh-CN"/>
        </w:rPr>
        <w:t>扶壁式挡土墙泄水孔立面布置图、泄水孔大样图</w:t>
      </w:r>
    </w:p>
    <w:p w14:paraId="10BB13EF">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auto"/>
          <w:highlight w:val="none"/>
          <w:lang w:val="en-US" w:eastAsia="zh-CN"/>
        </w:rPr>
      </w:pPr>
      <w:r>
        <w:rPr>
          <w:color w:val="auto"/>
          <w:highlight w:val="none"/>
        </w:rPr>
        <w:drawing>
          <wp:inline distT="0" distB="0" distL="114300" distR="114300">
            <wp:extent cx="5463540" cy="2635250"/>
            <wp:effectExtent l="0" t="0" r="3810" b="12700"/>
            <wp:docPr id="5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8"/>
                    <pic:cNvPicPr>
                      <a:picLocks noChangeAspect="1"/>
                    </pic:cNvPicPr>
                  </pic:nvPicPr>
                  <pic:blipFill>
                    <a:blip r:embed="rId35"/>
                    <a:stretch>
                      <a:fillRect/>
                    </a:stretch>
                  </pic:blipFill>
                  <pic:spPr>
                    <a:xfrm>
                      <a:off x="0" y="0"/>
                      <a:ext cx="5463540" cy="2635250"/>
                    </a:xfrm>
                    <a:prstGeom prst="rect">
                      <a:avLst/>
                    </a:prstGeom>
                    <a:noFill/>
                    <a:ln>
                      <a:noFill/>
                    </a:ln>
                  </pic:spPr>
                </pic:pic>
              </a:graphicData>
            </a:graphic>
          </wp:inline>
        </w:drawing>
      </w:r>
    </w:p>
    <w:p w14:paraId="3E75AD77">
      <w:pPr>
        <w:pStyle w:val="588"/>
        <w:bidi w:val="0"/>
        <w:ind w:left="0" w:leftChars="0" w:firstLine="0" w:firstLineChars="0"/>
        <w:jc w:val="center"/>
        <w:rPr>
          <w:rFonts w:hint="default"/>
          <w:color w:val="auto"/>
          <w:highlight w:val="none"/>
          <w:u w:val="single"/>
          <w:lang w:val="en-US" w:eastAsia="zh-CN"/>
        </w:rPr>
      </w:pPr>
      <w:r>
        <w:rPr>
          <w:rFonts w:hint="eastAsia"/>
          <w:color w:val="auto"/>
          <w:highlight w:val="none"/>
          <w:u w:val="single"/>
          <w:lang w:val="en-US" w:eastAsia="zh-CN"/>
        </w:rPr>
        <w:t xml:space="preserve"> 成品栏杆里面布置图</w:t>
      </w:r>
    </w:p>
    <w:p w14:paraId="3CD073E9">
      <w:pPr>
        <w:pStyle w:val="6"/>
        <w:bidi w:val="0"/>
        <w:ind w:left="0" w:leftChars="0" w:firstLine="0" w:firstLineChars="0"/>
        <w:rPr>
          <w:rFonts w:hint="default"/>
          <w:color w:val="auto"/>
          <w:highlight w:val="none"/>
          <w:u w:val="single"/>
          <w:lang w:eastAsia="zh-CN"/>
        </w:rPr>
      </w:pPr>
      <w:r>
        <w:rPr>
          <w:rFonts w:hint="eastAsia"/>
          <w:color w:val="auto"/>
          <w:highlight w:val="none"/>
          <w:u w:val="single"/>
          <w:lang w:val="en-US" w:eastAsia="zh-CN"/>
        </w:rPr>
        <w:t>水系改造段土护岸</w:t>
      </w:r>
    </w:p>
    <w:p w14:paraId="11EB7000">
      <w:pPr>
        <w:ind w:firstLine="454" w:firstLineChars="200"/>
        <w:rPr>
          <w:rFonts w:hint="eastAsia"/>
          <w:color w:val="auto"/>
          <w:highlight w:val="none"/>
          <w:u w:val="single"/>
          <w:lang w:val="en-US" w:eastAsia="zh-CN"/>
        </w:rPr>
      </w:pPr>
      <w:r>
        <w:rPr>
          <w:rFonts w:hint="eastAsia"/>
          <w:color w:val="auto"/>
          <w:highlight w:val="none"/>
          <w:u w:val="single"/>
          <w:lang w:val="en-US" w:eastAsia="zh-CN"/>
        </w:rPr>
        <w:t>项目水系改造段设置土堤护岸长度238.54m，土堤标高2.0m~3.0m，外侧采用1:2放坡，土堤底部清淤后换填开山石后回填开山石，内侧设置10cmC15混凝土覆层。项目水系改造段主要用于企山水库50年一遇泄洪，相应土堤护岸设计防洪标准为50年一遇。</w:t>
      </w:r>
    </w:p>
    <w:p w14:paraId="059E0F93">
      <w:pPr>
        <w:pStyle w:val="32"/>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drawing>
          <wp:inline distT="0" distB="0" distL="114300" distR="114300">
            <wp:extent cx="5507990" cy="1997710"/>
            <wp:effectExtent l="0" t="0" r="16510" b="2540"/>
            <wp:docPr id="43"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87"/>
                    <pic:cNvPicPr>
                      <a:picLocks noChangeAspect="1"/>
                    </pic:cNvPicPr>
                  </pic:nvPicPr>
                  <pic:blipFill>
                    <a:blip r:embed="rId36"/>
                    <a:stretch>
                      <a:fillRect/>
                    </a:stretch>
                  </pic:blipFill>
                  <pic:spPr>
                    <a:xfrm>
                      <a:off x="0" y="0"/>
                      <a:ext cx="5507990" cy="1997710"/>
                    </a:xfrm>
                    <a:prstGeom prst="rect">
                      <a:avLst/>
                    </a:prstGeom>
                    <a:noFill/>
                    <a:ln>
                      <a:noFill/>
                    </a:ln>
                  </pic:spPr>
                </pic:pic>
              </a:graphicData>
            </a:graphic>
          </wp:inline>
        </w:drawing>
      </w:r>
    </w:p>
    <w:p w14:paraId="7C5CFD40">
      <w:pPr>
        <w:pStyle w:val="588"/>
        <w:bidi w:val="0"/>
        <w:ind w:left="0" w:leftChars="0" w:firstLine="0" w:firstLineChars="0"/>
        <w:rPr>
          <w:rFonts w:hint="default"/>
          <w:color w:val="auto"/>
          <w:highlight w:val="none"/>
          <w:lang w:val="en-US" w:eastAsia="zh-CN"/>
        </w:rPr>
      </w:pPr>
      <w:r>
        <w:rPr>
          <w:rFonts w:hint="default"/>
          <w:color w:val="auto"/>
          <w:highlight w:val="none"/>
          <w:lang w:val="en-US" w:eastAsia="zh-CN"/>
        </w:rPr>
        <w:t>临时出水沟断面图（城市更新项目建设服务于金窝水库的排水水系改造段）</w:t>
      </w:r>
    </w:p>
    <w:p w14:paraId="1C7E59A5">
      <w:pPr>
        <w:pStyle w:val="5"/>
        <w:bidi w:val="0"/>
        <w:ind w:left="452" w:leftChars="0" w:firstLine="0" w:firstLineChars="0"/>
        <w:rPr>
          <w:rFonts w:hint="default"/>
          <w:color w:val="auto"/>
          <w:highlight w:val="none"/>
          <w:lang w:eastAsia="zh-CN"/>
        </w:rPr>
      </w:pPr>
      <w:r>
        <w:rPr>
          <w:rFonts w:hint="default"/>
          <w:color w:val="auto"/>
          <w:highlight w:val="none"/>
          <w:lang w:eastAsia="zh-CN"/>
        </w:rPr>
        <w:t>钦州港路排水工程</w:t>
      </w:r>
    </w:p>
    <w:p w14:paraId="79F662A4">
      <w:pPr>
        <w:ind w:firstLine="454" w:firstLineChars="200"/>
        <w:rPr>
          <w:rFonts w:hint="default" w:ascii="Times New Roman" w:hAnsi="Times New Roman" w:eastAsia="宋体" w:cs="Times New Roman"/>
          <w:color w:val="auto"/>
          <w:highlight w:val="none"/>
          <w:lang w:val="en-US" w:eastAsia="zh-CN" w:bidi="en-US"/>
        </w:rPr>
      </w:pPr>
      <w:r>
        <w:rPr>
          <w:rFonts w:hint="default" w:ascii="Times New Roman" w:hAnsi="Times New Roman" w:eastAsia="宋体" w:cs="Times New Roman"/>
          <w:color w:val="auto"/>
          <w:highlight w:val="none"/>
          <w:lang w:val="en-US" w:eastAsia="zh-CN" w:bidi="en-US"/>
        </w:rPr>
        <w:t>本次沿线道路回填至规划路面标高后，敷设雨水排水管道，设于钦州港路北侧机动车道下方，距离路边边线2m。沿线雨水主干管管径为：d600~d800；起点标高：6.191m、终点排出标高：5.30m，排至现状锦绣大道预留检查井，现状井底标高为5.30、排出管径d900，坡度0.3%，满足钦州港段排水工程所需。</w:t>
      </w:r>
    </w:p>
    <w:p w14:paraId="11238EF7">
      <w:pPr>
        <w:ind w:firstLine="454" w:firstLineChars="200"/>
        <w:rPr>
          <w:rFonts w:hint="default" w:ascii="Times New Roman" w:hAnsi="Times New Roman" w:eastAsia="宋体" w:cs="Times New Roman"/>
          <w:color w:val="auto"/>
          <w:highlight w:val="none"/>
          <w:lang w:val="en-US" w:eastAsia="zh-CN" w:bidi="en-US"/>
        </w:rPr>
      </w:pPr>
      <w:r>
        <w:rPr>
          <w:rFonts w:hint="default" w:ascii="Times New Roman" w:hAnsi="Times New Roman" w:eastAsia="宋体" w:cs="Times New Roman"/>
          <w:color w:val="auto"/>
          <w:highlight w:val="none"/>
          <w:lang w:val="en-US" w:eastAsia="zh-CN" w:bidi="en-US"/>
        </w:rPr>
        <w:t>工程沿线约按40米设置一座检查井并按80~100m左右设有一座雨水井预留相邻地块排水接入，预留雨水支管为d800。</w:t>
      </w:r>
    </w:p>
    <w:p w14:paraId="7582D4DC">
      <w:pPr>
        <w:rPr>
          <w:rFonts w:hint="default" w:ascii="Times New Roman" w:hAnsi="Times New Roman" w:eastAsia="宋体" w:cs="Times New Roman"/>
          <w:b/>
          <w:bCs/>
          <w:color w:val="auto"/>
          <w:highlight w:val="none"/>
          <w:lang w:eastAsia="zh-CN"/>
        </w:rPr>
      </w:pPr>
      <w:r>
        <w:rPr>
          <w:rFonts w:hint="default" w:ascii="Times New Roman" w:hAnsi="Times New Roman" w:cs="Times New Roman"/>
          <w:color w:val="auto"/>
          <w:highlight w:val="none"/>
        </w:rPr>
        <w:drawing>
          <wp:inline distT="0" distB="0" distL="114300" distR="114300">
            <wp:extent cx="5507990" cy="1887220"/>
            <wp:effectExtent l="0" t="0" r="16510" b="17780"/>
            <wp:docPr id="44"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88"/>
                    <pic:cNvPicPr>
                      <a:picLocks noChangeAspect="1"/>
                    </pic:cNvPicPr>
                  </pic:nvPicPr>
                  <pic:blipFill>
                    <a:blip r:embed="rId37"/>
                    <a:stretch>
                      <a:fillRect/>
                    </a:stretch>
                  </pic:blipFill>
                  <pic:spPr>
                    <a:xfrm>
                      <a:off x="0" y="0"/>
                      <a:ext cx="5507990" cy="1887220"/>
                    </a:xfrm>
                    <a:prstGeom prst="rect">
                      <a:avLst/>
                    </a:prstGeom>
                    <a:noFill/>
                    <a:ln>
                      <a:noFill/>
                    </a:ln>
                  </pic:spPr>
                </pic:pic>
              </a:graphicData>
            </a:graphic>
          </wp:inline>
        </w:drawing>
      </w:r>
    </w:p>
    <w:p w14:paraId="62A21CAC">
      <w:pPr>
        <w:pStyle w:val="588"/>
        <w:bidi w:val="0"/>
        <w:ind w:left="0" w:leftChars="0" w:firstLine="0" w:firstLineChars="0"/>
        <w:rPr>
          <w:rFonts w:hint="default"/>
          <w:color w:val="auto"/>
          <w:highlight w:val="none"/>
          <w:lang w:val="en-US" w:eastAsia="zh-CN"/>
        </w:rPr>
      </w:pPr>
      <w:r>
        <w:rPr>
          <w:rFonts w:hint="default"/>
          <w:color w:val="auto"/>
          <w:highlight w:val="none"/>
          <w:lang w:val="en-US" w:eastAsia="zh-CN"/>
        </w:rPr>
        <w:t>钦州港路回填及软基处理图（钦州港路排水工程）</w:t>
      </w:r>
    </w:p>
    <w:p w14:paraId="11C59EDC">
      <w:pPr>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drawing>
          <wp:inline distT="0" distB="0" distL="114300" distR="114300">
            <wp:extent cx="5507990" cy="3141980"/>
            <wp:effectExtent l="0" t="0" r="16510" b="1270"/>
            <wp:docPr id="45"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89"/>
                    <pic:cNvPicPr>
                      <a:picLocks noChangeAspect="1"/>
                    </pic:cNvPicPr>
                  </pic:nvPicPr>
                  <pic:blipFill>
                    <a:blip r:embed="rId38"/>
                    <a:stretch>
                      <a:fillRect/>
                    </a:stretch>
                  </pic:blipFill>
                  <pic:spPr>
                    <a:xfrm>
                      <a:off x="0" y="0"/>
                      <a:ext cx="5507990" cy="3141980"/>
                    </a:xfrm>
                    <a:prstGeom prst="rect">
                      <a:avLst/>
                    </a:prstGeom>
                    <a:noFill/>
                    <a:ln>
                      <a:noFill/>
                    </a:ln>
                  </pic:spPr>
                </pic:pic>
              </a:graphicData>
            </a:graphic>
          </wp:inline>
        </w:drawing>
      </w:r>
    </w:p>
    <w:p w14:paraId="181AABA0">
      <w:pPr>
        <w:pStyle w:val="588"/>
        <w:bidi w:val="0"/>
        <w:ind w:left="0" w:leftChars="0" w:firstLine="0" w:firstLineChars="0"/>
        <w:rPr>
          <w:rFonts w:hint="default"/>
          <w:color w:val="auto"/>
          <w:highlight w:val="none"/>
          <w:lang w:val="en-US" w:eastAsia="zh-CN"/>
        </w:rPr>
      </w:pPr>
      <w:r>
        <w:rPr>
          <w:rFonts w:hint="default"/>
          <w:color w:val="auto"/>
          <w:highlight w:val="none"/>
          <w:lang w:val="en-US" w:eastAsia="zh-CN"/>
        </w:rPr>
        <w:t>钦州港路管线位置横断面图（钦州港路排水工程）</w:t>
      </w:r>
    </w:p>
    <w:p w14:paraId="44FB9A39">
      <w:pPr>
        <w:pStyle w:val="5"/>
        <w:bidi w:val="0"/>
        <w:ind w:left="452" w:leftChars="0" w:firstLine="0" w:firstLineChars="0"/>
        <w:rPr>
          <w:rFonts w:hint="default"/>
          <w:color w:val="auto"/>
          <w:highlight w:val="none"/>
        </w:rPr>
      </w:pPr>
      <w:r>
        <w:rPr>
          <w:rFonts w:hint="default"/>
          <w:color w:val="auto"/>
          <w:highlight w:val="none"/>
          <w:lang w:eastAsia="zh-CN"/>
        </w:rPr>
        <w:t>工程占地</w:t>
      </w:r>
    </w:p>
    <w:p w14:paraId="3CC0D0CA">
      <w:pPr>
        <w:pStyle w:val="913"/>
        <w:numPr>
          <w:ilvl w:val="0"/>
          <w:numId w:val="0"/>
        </w:numPr>
        <w:spacing w:line="360" w:lineRule="auto"/>
        <w:ind w:firstLine="454"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工程占地包括锦绣大道排水改造区、城市更新排水改造区、钦州港路排水工程区、临时中转场区，总占地面积</w:t>
      </w:r>
      <w:r>
        <w:rPr>
          <w:rFonts w:hint="default" w:ascii="Times New Roman" w:hAnsi="Times New Roman" w:eastAsia="宋体" w:cs="Times New Roman"/>
          <w:color w:val="auto"/>
          <w:sz w:val="24"/>
          <w:szCs w:val="24"/>
          <w:highlight w:val="none"/>
          <w:lang w:val="en-US" w:eastAsia="zh-CN"/>
        </w:rPr>
        <w:t>5.71hm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，其中永久占地1.34hm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，临时占地4.37hm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。项目占地类型为城镇乡村道路用地、水域及水利设施用地、耕地、空闲地等。工程占地面积、占地性质及占地类型详见</w:t>
      </w: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REF _Ref1967 \r \h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表2.2-2</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w:t>
      </w:r>
    </w:p>
    <w:p w14:paraId="03C545E4">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lang w:val="en-US" w:eastAsia="zh-CN"/>
        </w:rPr>
      </w:pPr>
      <w:r>
        <w:rPr>
          <w:rFonts w:hint="default"/>
          <w:color w:val="auto"/>
          <w:highlight w:val="none"/>
          <w:lang w:val="en-US" w:eastAsia="zh-CN"/>
        </w:rPr>
        <w:t>项目区占地面积统计表   单位：hm</w:t>
      </w:r>
      <w:r>
        <w:rPr>
          <w:rFonts w:hint="default"/>
          <w:color w:val="auto"/>
          <w:highlight w:val="none"/>
          <w:vertAlign w:val="superscript"/>
          <w:lang w:val="en-US" w:eastAsia="zh-CN"/>
        </w:rPr>
        <w:t>2</w:t>
      </w:r>
    </w:p>
    <w:tbl>
      <w:tblPr>
        <w:tblStyle w:val="87"/>
        <w:tblW w:w="0" w:type="auto"/>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2041"/>
        <w:gridCol w:w="622"/>
        <w:gridCol w:w="1754"/>
        <w:gridCol w:w="2028"/>
        <w:gridCol w:w="719"/>
        <w:gridCol w:w="863"/>
        <w:gridCol w:w="801"/>
      </w:tblGrid>
      <w:tr w14:paraId="69B9333E">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041" w:type="dxa"/>
            <w:vMerge w:val="restart"/>
            <w:tcBorders>
              <w:bottom w:val="single" w:color="000000" w:sz="4" w:space="0"/>
              <w:right w:val="single" w:color="000000" w:sz="4" w:space="0"/>
            </w:tcBorders>
            <w:noWrap w:val="0"/>
            <w:vAlign w:val="center"/>
          </w:tcPr>
          <w:p w14:paraId="009C8C6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项目分区</w:t>
            </w:r>
          </w:p>
        </w:tc>
        <w:tc>
          <w:tcPr>
            <w:tcW w:w="622" w:type="dxa"/>
            <w:vMerge w:val="restart"/>
            <w:tcBorders>
              <w:left w:val="single" w:color="000000" w:sz="4" w:space="0"/>
              <w:bottom w:val="single" w:color="000000" w:sz="4" w:space="0"/>
              <w:right w:val="single" w:color="000000" w:sz="4" w:space="0"/>
            </w:tcBorders>
            <w:noWrap w:val="0"/>
            <w:vAlign w:val="center"/>
          </w:tcPr>
          <w:p w14:paraId="2DC74A6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占地</w:t>
            </w:r>
          </w:p>
        </w:tc>
        <w:tc>
          <w:tcPr>
            <w:tcW w:w="5364" w:type="dxa"/>
            <w:gridSpan w:val="4"/>
            <w:tcBorders>
              <w:left w:val="single" w:color="000000" w:sz="4" w:space="0"/>
              <w:bottom w:val="single" w:color="000000" w:sz="4" w:space="0"/>
              <w:right w:val="single" w:color="000000" w:sz="4" w:space="0"/>
            </w:tcBorders>
            <w:noWrap w:val="0"/>
            <w:vAlign w:val="center"/>
          </w:tcPr>
          <w:p w14:paraId="2983187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土地类别及数量</w:t>
            </w:r>
          </w:p>
        </w:tc>
        <w:tc>
          <w:tcPr>
            <w:tcW w:w="801" w:type="dxa"/>
            <w:vMerge w:val="restart"/>
            <w:tcBorders>
              <w:left w:val="single" w:color="000000" w:sz="4" w:space="0"/>
              <w:bottom w:val="single" w:color="000000" w:sz="4" w:space="0"/>
            </w:tcBorders>
            <w:noWrap w:val="0"/>
            <w:vAlign w:val="center"/>
          </w:tcPr>
          <w:p w14:paraId="2330344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合计</w:t>
            </w:r>
          </w:p>
        </w:tc>
      </w:tr>
      <w:tr w14:paraId="276DDC14">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2041" w:type="dxa"/>
            <w:vMerge w:val="continue"/>
            <w:tcBorders>
              <w:top w:val="single" w:color="000000" w:sz="4" w:space="0"/>
              <w:bottom w:val="single" w:color="000000" w:sz="4" w:space="0"/>
              <w:right w:val="single" w:color="000000" w:sz="4" w:space="0"/>
            </w:tcBorders>
            <w:noWrap w:val="0"/>
            <w:vAlign w:val="center"/>
          </w:tcPr>
          <w:p w14:paraId="6995D49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2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B62C2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754" w:type="dxa"/>
            <w:tcBorders>
              <w:top w:val="single" w:color="000000" w:sz="4" w:space="0"/>
              <w:left w:val="single" w:color="000000" w:sz="4" w:space="0"/>
              <w:bottom w:val="single" w:color="000000" w:sz="4" w:space="0"/>
              <w:right w:val="single" w:color="000000" w:sz="4" w:space="0"/>
            </w:tcBorders>
            <w:noWrap/>
            <w:vAlign w:val="center"/>
          </w:tcPr>
          <w:p w14:paraId="18F42B7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城镇村道路用地</w:t>
            </w:r>
          </w:p>
        </w:tc>
        <w:tc>
          <w:tcPr>
            <w:tcW w:w="2028" w:type="dxa"/>
            <w:tcBorders>
              <w:top w:val="single" w:color="000000" w:sz="4" w:space="0"/>
              <w:left w:val="single" w:color="000000" w:sz="4" w:space="0"/>
              <w:bottom w:val="single" w:color="000000" w:sz="4" w:space="0"/>
              <w:right w:val="single" w:color="000000" w:sz="4" w:space="0"/>
            </w:tcBorders>
            <w:noWrap/>
            <w:vAlign w:val="center"/>
          </w:tcPr>
          <w:p w14:paraId="52CC9F5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水域及水利设施用地</w:t>
            </w:r>
          </w:p>
        </w:tc>
        <w:tc>
          <w:tcPr>
            <w:tcW w:w="719" w:type="dxa"/>
            <w:tcBorders>
              <w:top w:val="single" w:color="000000" w:sz="4" w:space="0"/>
              <w:left w:val="single" w:color="000000" w:sz="4" w:space="0"/>
              <w:bottom w:val="single" w:color="000000" w:sz="4" w:space="0"/>
              <w:right w:val="single" w:color="000000" w:sz="4" w:space="0"/>
            </w:tcBorders>
            <w:noWrap/>
            <w:vAlign w:val="center"/>
          </w:tcPr>
          <w:p w14:paraId="47FF6B3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耕地</w:t>
            </w:r>
          </w:p>
        </w:tc>
        <w:tc>
          <w:tcPr>
            <w:tcW w:w="863" w:type="dxa"/>
            <w:tcBorders>
              <w:top w:val="single" w:color="000000" w:sz="4" w:space="0"/>
              <w:left w:val="single" w:color="000000" w:sz="4" w:space="0"/>
              <w:bottom w:val="single" w:color="000000" w:sz="4" w:space="0"/>
              <w:right w:val="single" w:color="000000" w:sz="4" w:space="0"/>
            </w:tcBorders>
            <w:noWrap w:val="0"/>
            <w:vAlign w:val="center"/>
          </w:tcPr>
          <w:p w14:paraId="1F34063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空闲地</w:t>
            </w:r>
          </w:p>
        </w:tc>
        <w:tc>
          <w:tcPr>
            <w:tcW w:w="801" w:type="dxa"/>
            <w:vMerge w:val="continue"/>
            <w:tcBorders>
              <w:top w:val="single" w:color="000000" w:sz="4" w:space="0"/>
              <w:left w:val="single" w:color="000000" w:sz="4" w:space="0"/>
              <w:bottom w:val="single" w:color="000000" w:sz="4" w:space="0"/>
            </w:tcBorders>
            <w:noWrap w:val="0"/>
            <w:vAlign w:val="center"/>
          </w:tcPr>
          <w:p w14:paraId="30F102C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42CF206">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041" w:type="dxa"/>
            <w:vMerge w:val="restart"/>
            <w:tcBorders>
              <w:top w:val="single" w:color="000000" w:sz="4" w:space="0"/>
              <w:right w:val="single" w:color="000000" w:sz="4" w:space="0"/>
            </w:tcBorders>
            <w:noWrap/>
            <w:vAlign w:val="center"/>
          </w:tcPr>
          <w:p w14:paraId="2FC7FE9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锦绣大道排水改造区</w:t>
            </w: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3480AF8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永久</w:t>
            </w:r>
          </w:p>
        </w:tc>
        <w:tc>
          <w:tcPr>
            <w:tcW w:w="1754" w:type="dxa"/>
            <w:tcBorders>
              <w:top w:val="single" w:color="000000" w:sz="4" w:space="0"/>
              <w:left w:val="single" w:color="000000" w:sz="4" w:space="0"/>
              <w:bottom w:val="single" w:color="000000" w:sz="4" w:space="0"/>
              <w:right w:val="single" w:color="000000" w:sz="4" w:space="0"/>
            </w:tcBorders>
            <w:noWrap/>
            <w:vAlign w:val="center"/>
          </w:tcPr>
          <w:p w14:paraId="7944E41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028" w:type="dxa"/>
            <w:tcBorders>
              <w:top w:val="single" w:color="000000" w:sz="4" w:space="0"/>
              <w:left w:val="single" w:color="000000" w:sz="4" w:space="0"/>
              <w:bottom w:val="single" w:color="000000" w:sz="4" w:space="0"/>
              <w:right w:val="single" w:color="000000" w:sz="4" w:space="0"/>
            </w:tcBorders>
            <w:noWrap/>
            <w:vAlign w:val="center"/>
          </w:tcPr>
          <w:p w14:paraId="4D4024F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19" w:type="dxa"/>
            <w:tcBorders>
              <w:top w:val="single" w:color="000000" w:sz="4" w:space="0"/>
              <w:left w:val="single" w:color="000000" w:sz="4" w:space="0"/>
              <w:bottom w:val="single" w:color="000000" w:sz="4" w:space="0"/>
              <w:right w:val="single" w:color="000000" w:sz="4" w:space="0"/>
            </w:tcBorders>
            <w:noWrap/>
            <w:vAlign w:val="center"/>
          </w:tcPr>
          <w:p w14:paraId="529D740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63" w:type="dxa"/>
            <w:tcBorders>
              <w:top w:val="single" w:color="000000" w:sz="4" w:space="0"/>
              <w:left w:val="single" w:color="000000" w:sz="4" w:space="0"/>
              <w:bottom w:val="single" w:color="000000" w:sz="4" w:space="0"/>
              <w:right w:val="single" w:color="000000" w:sz="4" w:space="0"/>
            </w:tcBorders>
            <w:noWrap/>
            <w:vAlign w:val="center"/>
          </w:tcPr>
          <w:p w14:paraId="36C9E56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0.21 </w:t>
            </w:r>
          </w:p>
        </w:tc>
        <w:tc>
          <w:tcPr>
            <w:tcW w:w="801" w:type="dxa"/>
            <w:tcBorders>
              <w:top w:val="single" w:color="000000" w:sz="4" w:space="0"/>
              <w:left w:val="single" w:color="000000" w:sz="4" w:space="0"/>
              <w:bottom w:val="single" w:color="000000" w:sz="4" w:space="0"/>
            </w:tcBorders>
            <w:noWrap/>
            <w:vAlign w:val="center"/>
          </w:tcPr>
          <w:p w14:paraId="0196543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0.21</w:t>
            </w:r>
          </w:p>
        </w:tc>
      </w:tr>
      <w:tr w14:paraId="12D5E4AF">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041" w:type="dxa"/>
            <w:vMerge w:val="continue"/>
            <w:tcBorders>
              <w:right w:val="single" w:color="000000" w:sz="4" w:space="0"/>
            </w:tcBorders>
            <w:noWrap/>
            <w:vAlign w:val="center"/>
          </w:tcPr>
          <w:p w14:paraId="1D27D6F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3929D02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临时</w:t>
            </w:r>
          </w:p>
        </w:tc>
        <w:tc>
          <w:tcPr>
            <w:tcW w:w="1754" w:type="dxa"/>
            <w:tcBorders>
              <w:top w:val="single" w:color="000000" w:sz="4" w:space="0"/>
              <w:left w:val="single" w:color="000000" w:sz="4" w:space="0"/>
              <w:bottom w:val="single" w:color="000000" w:sz="4" w:space="0"/>
              <w:right w:val="single" w:color="000000" w:sz="4" w:space="0"/>
            </w:tcBorders>
            <w:noWrap/>
            <w:vAlign w:val="center"/>
          </w:tcPr>
          <w:p w14:paraId="0100547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0.43</w:t>
            </w:r>
          </w:p>
        </w:tc>
        <w:tc>
          <w:tcPr>
            <w:tcW w:w="2028" w:type="dxa"/>
            <w:tcBorders>
              <w:top w:val="single" w:color="000000" w:sz="4" w:space="0"/>
              <w:left w:val="single" w:color="000000" w:sz="4" w:space="0"/>
              <w:bottom w:val="single" w:color="000000" w:sz="4" w:space="0"/>
              <w:right w:val="single" w:color="000000" w:sz="4" w:space="0"/>
            </w:tcBorders>
            <w:noWrap/>
            <w:vAlign w:val="center"/>
          </w:tcPr>
          <w:p w14:paraId="2D58186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19" w:type="dxa"/>
            <w:tcBorders>
              <w:top w:val="single" w:color="000000" w:sz="4" w:space="0"/>
              <w:left w:val="single" w:color="000000" w:sz="4" w:space="0"/>
              <w:bottom w:val="single" w:color="000000" w:sz="4" w:space="0"/>
              <w:right w:val="single" w:color="000000" w:sz="4" w:space="0"/>
            </w:tcBorders>
            <w:noWrap/>
            <w:vAlign w:val="center"/>
          </w:tcPr>
          <w:p w14:paraId="5EE697E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63" w:type="dxa"/>
            <w:tcBorders>
              <w:top w:val="single" w:color="000000" w:sz="4" w:space="0"/>
              <w:left w:val="single" w:color="000000" w:sz="4" w:space="0"/>
              <w:bottom w:val="single" w:color="000000" w:sz="4" w:space="0"/>
              <w:right w:val="single" w:color="000000" w:sz="4" w:space="0"/>
            </w:tcBorders>
            <w:noWrap/>
            <w:vAlign w:val="center"/>
          </w:tcPr>
          <w:p w14:paraId="423D0C0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0.24</w:t>
            </w:r>
          </w:p>
        </w:tc>
        <w:tc>
          <w:tcPr>
            <w:tcW w:w="801" w:type="dxa"/>
            <w:tcBorders>
              <w:top w:val="single" w:color="000000" w:sz="4" w:space="0"/>
              <w:left w:val="single" w:color="000000" w:sz="4" w:space="0"/>
              <w:bottom w:val="single" w:color="000000" w:sz="4" w:space="0"/>
            </w:tcBorders>
            <w:noWrap/>
            <w:vAlign w:val="center"/>
          </w:tcPr>
          <w:p w14:paraId="066D44C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0.67</w:t>
            </w:r>
          </w:p>
        </w:tc>
      </w:tr>
      <w:tr w14:paraId="0F4E0976">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041" w:type="dxa"/>
            <w:vMerge w:val="continue"/>
            <w:tcBorders>
              <w:bottom w:val="single" w:color="000000" w:sz="4" w:space="0"/>
              <w:right w:val="single" w:color="000000" w:sz="4" w:space="0"/>
            </w:tcBorders>
            <w:noWrap/>
            <w:vAlign w:val="center"/>
          </w:tcPr>
          <w:p w14:paraId="6CC1DCD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298CC4D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小计</w:t>
            </w:r>
          </w:p>
        </w:tc>
        <w:tc>
          <w:tcPr>
            <w:tcW w:w="1754" w:type="dxa"/>
            <w:tcBorders>
              <w:top w:val="single" w:color="000000" w:sz="4" w:space="0"/>
              <w:left w:val="single" w:color="000000" w:sz="4" w:space="0"/>
              <w:bottom w:val="single" w:color="000000" w:sz="4" w:space="0"/>
              <w:right w:val="single" w:color="000000" w:sz="4" w:space="0"/>
            </w:tcBorders>
            <w:noWrap/>
            <w:vAlign w:val="center"/>
          </w:tcPr>
          <w:p w14:paraId="6D4E656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0.43</w:t>
            </w:r>
          </w:p>
        </w:tc>
        <w:tc>
          <w:tcPr>
            <w:tcW w:w="2028" w:type="dxa"/>
            <w:tcBorders>
              <w:top w:val="single" w:color="000000" w:sz="4" w:space="0"/>
              <w:left w:val="single" w:color="000000" w:sz="4" w:space="0"/>
              <w:bottom w:val="single" w:color="000000" w:sz="4" w:space="0"/>
              <w:right w:val="single" w:color="000000" w:sz="4" w:space="0"/>
            </w:tcBorders>
            <w:noWrap/>
            <w:vAlign w:val="center"/>
          </w:tcPr>
          <w:p w14:paraId="76205BB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19" w:type="dxa"/>
            <w:tcBorders>
              <w:top w:val="single" w:color="000000" w:sz="4" w:space="0"/>
              <w:left w:val="single" w:color="000000" w:sz="4" w:space="0"/>
              <w:bottom w:val="single" w:color="000000" w:sz="4" w:space="0"/>
              <w:right w:val="single" w:color="000000" w:sz="4" w:space="0"/>
            </w:tcBorders>
            <w:noWrap/>
            <w:vAlign w:val="center"/>
          </w:tcPr>
          <w:p w14:paraId="3EBF163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63" w:type="dxa"/>
            <w:tcBorders>
              <w:top w:val="single" w:color="000000" w:sz="4" w:space="0"/>
              <w:left w:val="single" w:color="000000" w:sz="4" w:space="0"/>
              <w:bottom w:val="single" w:color="000000" w:sz="4" w:space="0"/>
              <w:right w:val="single" w:color="000000" w:sz="4" w:space="0"/>
            </w:tcBorders>
            <w:noWrap/>
            <w:vAlign w:val="center"/>
          </w:tcPr>
          <w:p w14:paraId="7C72941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0.45</w:t>
            </w:r>
          </w:p>
        </w:tc>
        <w:tc>
          <w:tcPr>
            <w:tcW w:w="801" w:type="dxa"/>
            <w:tcBorders>
              <w:top w:val="single" w:color="000000" w:sz="4" w:space="0"/>
              <w:left w:val="single" w:color="000000" w:sz="4" w:space="0"/>
              <w:bottom w:val="single" w:color="000000" w:sz="4" w:space="0"/>
            </w:tcBorders>
            <w:noWrap/>
            <w:vAlign w:val="center"/>
          </w:tcPr>
          <w:p w14:paraId="0A5547E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0.88</w:t>
            </w:r>
          </w:p>
        </w:tc>
      </w:tr>
      <w:tr w14:paraId="66B6B28C">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08" w:hRule="atLeast"/>
        </w:trPr>
        <w:tc>
          <w:tcPr>
            <w:tcW w:w="2041" w:type="dxa"/>
            <w:vMerge w:val="restart"/>
            <w:tcBorders>
              <w:top w:val="single" w:color="000000" w:sz="4" w:space="0"/>
              <w:bottom w:val="single" w:color="000000" w:sz="4" w:space="0"/>
              <w:right w:val="single" w:color="000000" w:sz="4" w:space="0"/>
            </w:tcBorders>
            <w:noWrap/>
            <w:vAlign w:val="center"/>
          </w:tcPr>
          <w:p w14:paraId="7D8E385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城市更新排水改造区</w:t>
            </w: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0CD30D0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永久</w:t>
            </w:r>
          </w:p>
        </w:tc>
        <w:tc>
          <w:tcPr>
            <w:tcW w:w="1754" w:type="dxa"/>
            <w:tcBorders>
              <w:top w:val="single" w:color="000000" w:sz="4" w:space="0"/>
              <w:left w:val="single" w:color="000000" w:sz="4" w:space="0"/>
              <w:bottom w:val="single" w:color="000000" w:sz="4" w:space="0"/>
              <w:right w:val="single" w:color="000000" w:sz="4" w:space="0"/>
            </w:tcBorders>
            <w:noWrap/>
            <w:vAlign w:val="center"/>
          </w:tcPr>
          <w:p w14:paraId="2C7D07E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028" w:type="dxa"/>
            <w:tcBorders>
              <w:top w:val="single" w:color="000000" w:sz="4" w:space="0"/>
              <w:left w:val="single" w:color="000000" w:sz="4" w:space="0"/>
              <w:bottom w:val="single" w:color="000000" w:sz="4" w:space="0"/>
              <w:right w:val="single" w:color="000000" w:sz="4" w:space="0"/>
            </w:tcBorders>
            <w:noWrap/>
            <w:vAlign w:val="center"/>
          </w:tcPr>
          <w:p w14:paraId="244723C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1.13</w:t>
            </w:r>
          </w:p>
        </w:tc>
        <w:tc>
          <w:tcPr>
            <w:tcW w:w="719" w:type="dxa"/>
            <w:tcBorders>
              <w:top w:val="single" w:color="000000" w:sz="4" w:space="0"/>
              <w:left w:val="single" w:color="000000" w:sz="4" w:space="0"/>
              <w:bottom w:val="single" w:color="000000" w:sz="4" w:space="0"/>
              <w:right w:val="single" w:color="000000" w:sz="4" w:space="0"/>
            </w:tcBorders>
            <w:noWrap/>
            <w:vAlign w:val="center"/>
          </w:tcPr>
          <w:p w14:paraId="046FC9C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63" w:type="dxa"/>
            <w:tcBorders>
              <w:top w:val="single" w:color="000000" w:sz="4" w:space="0"/>
              <w:left w:val="single" w:color="000000" w:sz="4" w:space="0"/>
              <w:bottom w:val="single" w:color="000000" w:sz="4" w:space="0"/>
              <w:right w:val="single" w:color="000000" w:sz="4" w:space="0"/>
            </w:tcBorders>
            <w:noWrap/>
            <w:vAlign w:val="center"/>
          </w:tcPr>
          <w:p w14:paraId="41700FB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01" w:type="dxa"/>
            <w:tcBorders>
              <w:top w:val="single" w:color="000000" w:sz="4" w:space="0"/>
              <w:left w:val="single" w:color="000000" w:sz="4" w:space="0"/>
              <w:bottom w:val="single" w:color="000000" w:sz="4" w:space="0"/>
            </w:tcBorders>
            <w:noWrap/>
            <w:vAlign w:val="center"/>
          </w:tcPr>
          <w:p w14:paraId="3DBAF8B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1.13</w:t>
            </w:r>
          </w:p>
        </w:tc>
      </w:tr>
      <w:tr w14:paraId="18D8A356">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2041" w:type="dxa"/>
            <w:vMerge w:val="continue"/>
            <w:tcBorders>
              <w:top w:val="single" w:color="000000" w:sz="4" w:space="0"/>
              <w:bottom w:val="single" w:color="000000" w:sz="4" w:space="0"/>
              <w:right w:val="single" w:color="000000" w:sz="4" w:space="0"/>
            </w:tcBorders>
            <w:noWrap/>
            <w:vAlign w:val="center"/>
          </w:tcPr>
          <w:p w14:paraId="33C1EA5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392190E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临时</w:t>
            </w:r>
          </w:p>
        </w:tc>
        <w:tc>
          <w:tcPr>
            <w:tcW w:w="1754" w:type="dxa"/>
            <w:tcBorders>
              <w:top w:val="single" w:color="000000" w:sz="4" w:space="0"/>
              <w:left w:val="single" w:color="000000" w:sz="4" w:space="0"/>
              <w:bottom w:val="single" w:color="000000" w:sz="4" w:space="0"/>
              <w:right w:val="single" w:color="000000" w:sz="4" w:space="0"/>
            </w:tcBorders>
            <w:noWrap/>
            <w:vAlign w:val="center"/>
          </w:tcPr>
          <w:p w14:paraId="539B02B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028" w:type="dxa"/>
            <w:tcBorders>
              <w:top w:val="single" w:color="000000" w:sz="4" w:space="0"/>
              <w:left w:val="single" w:color="000000" w:sz="4" w:space="0"/>
              <w:bottom w:val="single" w:color="000000" w:sz="4" w:space="0"/>
              <w:right w:val="single" w:color="000000" w:sz="4" w:space="0"/>
            </w:tcBorders>
            <w:noWrap/>
            <w:vAlign w:val="center"/>
          </w:tcPr>
          <w:p w14:paraId="11A03CA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19" w:type="dxa"/>
            <w:tcBorders>
              <w:top w:val="single" w:color="000000" w:sz="4" w:space="0"/>
              <w:left w:val="single" w:color="000000" w:sz="4" w:space="0"/>
              <w:bottom w:val="single" w:color="000000" w:sz="4" w:space="0"/>
              <w:right w:val="single" w:color="000000" w:sz="4" w:space="0"/>
            </w:tcBorders>
            <w:noWrap/>
            <w:vAlign w:val="center"/>
          </w:tcPr>
          <w:p w14:paraId="57CC8E8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1.93</w:t>
            </w:r>
          </w:p>
        </w:tc>
        <w:tc>
          <w:tcPr>
            <w:tcW w:w="863" w:type="dxa"/>
            <w:tcBorders>
              <w:top w:val="single" w:color="000000" w:sz="4" w:space="0"/>
              <w:left w:val="single" w:color="000000" w:sz="4" w:space="0"/>
              <w:bottom w:val="single" w:color="000000" w:sz="4" w:space="0"/>
              <w:right w:val="single" w:color="000000" w:sz="4" w:space="0"/>
            </w:tcBorders>
            <w:noWrap/>
            <w:vAlign w:val="center"/>
          </w:tcPr>
          <w:p w14:paraId="0D7EFA1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01" w:type="dxa"/>
            <w:tcBorders>
              <w:top w:val="single" w:color="000000" w:sz="4" w:space="0"/>
              <w:left w:val="single" w:color="000000" w:sz="4" w:space="0"/>
              <w:bottom w:val="single" w:color="000000" w:sz="4" w:space="0"/>
            </w:tcBorders>
            <w:noWrap/>
            <w:vAlign w:val="center"/>
          </w:tcPr>
          <w:p w14:paraId="3631AD1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1.93</w:t>
            </w:r>
          </w:p>
        </w:tc>
      </w:tr>
      <w:tr w14:paraId="39EC3D74">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041" w:type="dxa"/>
            <w:vMerge w:val="continue"/>
            <w:tcBorders>
              <w:top w:val="single" w:color="000000" w:sz="4" w:space="0"/>
              <w:bottom w:val="single" w:color="000000" w:sz="4" w:space="0"/>
              <w:right w:val="single" w:color="000000" w:sz="4" w:space="0"/>
            </w:tcBorders>
            <w:noWrap/>
            <w:vAlign w:val="center"/>
          </w:tcPr>
          <w:p w14:paraId="2E11D44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1E42661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小计</w:t>
            </w:r>
          </w:p>
        </w:tc>
        <w:tc>
          <w:tcPr>
            <w:tcW w:w="1754" w:type="dxa"/>
            <w:tcBorders>
              <w:top w:val="single" w:color="000000" w:sz="4" w:space="0"/>
              <w:left w:val="single" w:color="000000" w:sz="4" w:space="0"/>
              <w:bottom w:val="single" w:color="000000" w:sz="4" w:space="0"/>
              <w:right w:val="single" w:color="000000" w:sz="4" w:space="0"/>
            </w:tcBorders>
            <w:noWrap/>
            <w:vAlign w:val="center"/>
          </w:tcPr>
          <w:p w14:paraId="48CA388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028" w:type="dxa"/>
            <w:tcBorders>
              <w:top w:val="single" w:color="000000" w:sz="4" w:space="0"/>
              <w:left w:val="single" w:color="000000" w:sz="4" w:space="0"/>
              <w:bottom w:val="single" w:color="000000" w:sz="4" w:space="0"/>
              <w:right w:val="single" w:color="000000" w:sz="4" w:space="0"/>
            </w:tcBorders>
            <w:noWrap/>
            <w:vAlign w:val="center"/>
          </w:tcPr>
          <w:p w14:paraId="777B25D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1.13</w:t>
            </w:r>
          </w:p>
        </w:tc>
        <w:tc>
          <w:tcPr>
            <w:tcW w:w="719" w:type="dxa"/>
            <w:tcBorders>
              <w:top w:val="single" w:color="000000" w:sz="4" w:space="0"/>
              <w:left w:val="single" w:color="000000" w:sz="4" w:space="0"/>
              <w:bottom w:val="single" w:color="000000" w:sz="4" w:space="0"/>
              <w:right w:val="single" w:color="000000" w:sz="4" w:space="0"/>
            </w:tcBorders>
            <w:noWrap/>
            <w:vAlign w:val="center"/>
          </w:tcPr>
          <w:p w14:paraId="35A7533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1.93</w:t>
            </w:r>
          </w:p>
        </w:tc>
        <w:tc>
          <w:tcPr>
            <w:tcW w:w="863" w:type="dxa"/>
            <w:tcBorders>
              <w:top w:val="single" w:color="000000" w:sz="4" w:space="0"/>
              <w:left w:val="single" w:color="000000" w:sz="4" w:space="0"/>
              <w:bottom w:val="single" w:color="000000" w:sz="4" w:space="0"/>
              <w:right w:val="single" w:color="000000" w:sz="4" w:space="0"/>
            </w:tcBorders>
            <w:noWrap/>
            <w:vAlign w:val="center"/>
          </w:tcPr>
          <w:p w14:paraId="7ACF048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01" w:type="dxa"/>
            <w:tcBorders>
              <w:top w:val="single" w:color="000000" w:sz="4" w:space="0"/>
              <w:left w:val="single" w:color="000000" w:sz="4" w:space="0"/>
              <w:bottom w:val="single" w:color="000000" w:sz="4" w:space="0"/>
            </w:tcBorders>
            <w:noWrap/>
            <w:vAlign w:val="center"/>
          </w:tcPr>
          <w:p w14:paraId="52DAC73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3.06</w:t>
            </w:r>
          </w:p>
        </w:tc>
      </w:tr>
      <w:tr w14:paraId="1D0FF9FE">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041" w:type="dxa"/>
            <w:tcBorders>
              <w:top w:val="single" w:color="000000" w:sz="4" w:space="0"/>
              <w:bottom w:val="single" w:color="000000" w:sz="4" w:space="0"/>
              <w:right w:val="single" w:color="000000" w:sz="4" w:space="0"/>
            </w:tcBorders>
            <w:noWrap/>
            <w:vAlign w:val="center"/>
          </w:tcPr>
          <w:p w14:paraId="35FFE0E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钦州港路排水工程区</w:t>
            </w: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63F87D8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临时</w:t>
            </w:r>
          </w:p>
        </w:tc>
        <w:tc>
          <w:tcPr>
            <w:tcW w:w="1754" w:type="dxa"/>
            <w:tcBorders>
              <w:top w:val="single" w:color="000000" w:sz="4" w:space="0"/>
              <w:left w:val="single" w:color="000000" w:sz="4" w:space="0"/>
              <w:bottom w:val="single" w:color="000000" w:sz="4" w:space="0"/>
              <w:right w:val="single" w:color="000000" w:sz="4" w:space="0"/>
            </w:tcBorders>
            <w:noWrap/>
            <w:vAlign w:val="center"/>
          </w:tcPr>
          <w:p w14:paraId="77F2627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028" w:type="dxa"/>
            <w:tcBorders>
              <w:top w:val="single" w:color="000000" w:sz="4" w:space="0"/>
              <w:left w:val="single" w:color="000000" w:sz="4" w:space="0"/>
              <w:bottom w:val="single" w:color="000000" w:sz="4" w:space="0"/>
              <w:right w:val="single" w:color="000000" w:sz="4" w:space="0"/>
            </w:tcBorders>
            <w:noWrap/>
            <w:vAlign w:val="center"/>
          </w:tcPr>
          <w:p w14:paraId="1850EE4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19" w:type="dxa"/>
            <w:tcBorders>
              <w:top w:val="single" w:color="000000" w:sz="4" w:space="0"/>
              <w:left w:val="single" w:color="000000" w:sz="4" w:space="0"/>
              <w:bottom w:val="single" w:color="000000" w:sz="4" w:space="0"/>
              <w:right w:val="single" w:color="000000" w:sz="4" w:space="0"/>
            </w:tcBorders>
            <w:noWrap/>
            <w:vAlign w:val="center"/>
          </w:tcPr>
          <w:p w14:paraId="58C378B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0.77</w:t>
            </w:r>
          </w:p>
        </w:tc>
        <w:tc>
          <w:tcPr>
            <w:tcW w:w="863" w:type="dxa"/>
            <w:tcBorders>
              <w:top w:val="single" w:color="000000" w:sz="4" w:space="0"/>
              <w:left w:val="single" w:color="000000" w:sz="4" w:space="0"/>
              <w:bottom w:val="single" w:color="000000" w:sz="4" w:space="0"/>
              <w:right w:val="single" w:color="000000" w:sz="4" w:space="0"/>
            </w:tcBorders>
            <w:noWrap/>
            <w:vAlign w:val="center"/>
          </w:tcPr>
          <w:p w14:paraId="710643D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01" w:type="dxa"/>
            <w:tcBorders>
              <w:top w:val="single" w:color="000000" w:sz="4" w:space="0"/>
              <w:left w:val="single" w:color="000000" w:sz="4" w:space="0"/>
              <w:bottom w:val="single" w:color="000000" w:sz="4" w:space="0"/>
            </w:tcBorders>
            <w:noWrap/>
            <w:vAlign w:val="center"/>
          </w:tcPr>
          <w:p w14:paraId="6A3B2A8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0.77</w:t>
            </w:r>
          </w:p>
        </w:tc>
      </w:tr>
      <w:tr w14:paraId="1D432953">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041" w:type="dxa"/>
            <w:tcBorders>
              <w:top w:val="single" w:color="000000" w:sz="4" w:space="0"/>
              <w:bottom w:val="single" w:color="000000" w:sz="4" w:space="0"/>
              <w:right w:val="single" w:color="000000" w:sz="4" w:space="0"/>
            </w:tcBorders>
            <w:noWrap/>
            <w:vAlign w:val="center"/>
          </w:tcPr>
          <w:p w14:paraId="1755342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临时中转场区</w:t>
            </w: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4F2420E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临时</w:t>
            </w:r>
          </w:p>
        </w:tc>
        <w:tc>
          <w:tcPr>
            <w:tcW w:w="1754" w:type="dxa"/>
            <w:tcBorders>
              <w:top w:val="single" w:color="000000" w:sz="4" w:space="0"/>
              <w:left w:val="single" w:color="000000" w:sz="4" w:space="0"/>
              <w:bottom w:val="single" w:color="000000" w:sz="4" w:space="0"/>
              <w:right w:val="single" w:color="000000" w:sz="4" w:space="0"/>
            </w:tcBorders>
            <w:noWrap/>
            <w:vAlign w:val="center"/>
          </w:tcPr>
          <w:p w14:paraId="786EF7E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p>
        </w:tc>
        <w:tc>
          <w:tcPr>
            <w:tcW w:w="2028" w:type="dxa"/>
            <w:tcBorders>
              <w:top w:val="single" w:color="000000" w:sz="4" w:space="0"/>
              <w:left w:val="single" w:color="000000" w:sz="4" w:space="0"/>
              <w:bottom w:val="single" w:color="000000" w:sz="4" w:space="0"/>
              <w:right w:val="single" w:color="000000" w:sz="4" w:space="0"/>
            </w:tcBorders>
            <w:noWrap/>
            <w:vAlign w:val="center"/>
          </w:tcPr>
          <w:p w14:paraId="2E7E594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p>
        </w:tc>
        <w:tc>
          <w:tcPr>
            <w:tcW w:w="719" w:type="dxa"/>
            <w:tcBorders>
              <w:top w:val="single" w:color="000000" w:sz="4" w:space="0"/>
              <w:left w:val="single" w:color="000000" w:sz="4" w:space="0"/>
              <w:bottom w:val="single" w:color="000000" w:sz="4" w:space="0"/>
              <w:right w:val="single" w:color="000000" w:sz="4" w:space="0"/>
            </w:tcBorders>
            <w:noWrap/>
            <w:vAlign w:val="center"/>
          </w:tcPr>
          <w:p w14:paraId="0644E50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eastAsia" w:ascii="Times New Roman" w:cs="Times New Roman"/>
                <w:i w:val="0"/>
                <w:iCs w:val="0"/>
                <w:color w:val="auto"/>
                <w:kern w:val="0"/>
                <w:sz w:val="21"/>
                <w:szCs w:val="21"/>
                <w:highlight w:val="none"/>
                <w:u w:val="single"/>
                <w:lang w:val="en-US" w:eastAsia="zh-CN" w:bidi="ar"/>
              </w:rPr>
              <w:t>0.85</w:t>
            </w:r>
          </w:p>
        </w:tc>
        <w:tc>
          <w:tcPr>
            <w:tcW w:w="863" w:type="dxa"/>
            <w:tcBorders>
              <w:top w:val="single" w:color="000000" w:sz="4" w:space="0"/>
              <w:left w:val="single" w:color="000000" w:sz="4" w:space="0"/>
              <w:bottom w:val="single" w:color="000000" w:sz="4" w:space="0"/>
              <w:right w:val="single" w:color="000000" w:sz="4" w:space="0"/>
            </w:tcBorders>
            <w:noWrap/>
            <w:vAlign w:val="center"/>
          </w:tcPr>
          <w:p w14:paraId="0BE58C6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p>
        </w:tc>
        <w:tc>
          <w:tcPr>
            <w:tcW w:w="801" w:type="dxa"/>
            <w:tcBorders>
              <w:top w:val="single" w:color="000000" w:sz="4" w:space="0"/>
              <w:left w:val="single" w:color="000000" w:sz="4" w:space="0"/>
              <w:bottom w:val="single" w:color="000000" w:sz="4" w:space="0"/>
            </w:tcBorders>
            <w:noWrap/>
            <w:vAlign w:val="center"/>
          </w:tcPr>
          <w:p w14:paraId="78D8FD9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eastAsia" w:ascii="Times New Roman" w:cs="Times New Roman"/>
                <w:i w:val="0"/>
                <w:iCs w:val="0"/>
                <w:color w:val="auto"/>
                <w:kern w:val="0"/>
                <w:sz w:val="21"/>
                <w:szCs w:val="21"/>
                <w:highlight w:val="none"/>
                <w:u w:val="single"/>
                <w:lang w:val="en-US" w:eastAsia="zh-CN" w:bidi="ar"/>
              </w:rPr>
              <w:t>0.85</w:t>
            </w:r>
          </w:p>
        </w:tc>
      </w:tr>
      <w:tr w14:paraId="783F3441">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041" w:type="dxa"/>
            <w:tcBorders>
              <w:top w:val="single" w:color="000000" w:sz="4" w:space="0"/>
              <w:bottom w:val="single" w:color="000000" w:sz="4" w:space="0"/>
              <w:right w:val="single" w:color="000000" w:sz="4" w:space="0"/>
            </w:tcBorders>
            <w:noWrap/>
            <w:vAlign w:val="center"/>
          </w:tcPr>
          <w:p w14:paraId="627F8A2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eastAsia" w:ascii="Times New Roman" w:cs="Times New Roman"/>
                <w:i w:val="0"/>
                <w:iCs w:val="0"/>
                <w:color w:val="auto"/>
                <w:kern w:val="0"/>
                <w:sz w:val="21"/>
                <w:szCs w:val="21"/>
                <w:highlight w:val="none"/>
                <w:u w:val="single"/>
                <w:lang w:val="en-US" w:eastAsia="zh-CN" w:bidi="ar"/>
              </w:rPr>
              <w:t>钢筋材料加工厂</w:t>
            </w:r>
          </w:p>
        </w:tc>
        <w:tc>
          <w:tcPr>
            <w:tcW w:w="622" w:type="dxa"/>
            <w:tcBorders>
              <w:top w:val="single" w:color="000000" w:sz="4" w:space="0"/>
              <w:left w:val="single" w:color="000000" w:sz="4" w:space="0"/>
              <w:bottom w:val="single" w:color="000000" w:sz="4" w:space="0"/>
              <w:right w:val="single" w:color="000000" w:sz="4" w:space="0"/>
            </w:tcBorders>
            <w:noWrap/>
            <w:vAlign w:val="center"/>
          </w:tcPr>
          <w:p w14:paraId="0E830D5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eastAsia" w:ascii="Times New Roman" w:cs="Times New Roman"/>
                <w:i w:val="0"/>
                <w:iCs w:val="0"/>
                <w:color w:val="auto"/>
                <w:kern w:val="0"/>
                <w:sz w:val="21"/>
                <w:szCs w:val="21"/>
                <w:highlight w:val="none"/>
                <w:u w:val="single"/>
                <w:lang w:val="en-US" w:eastAsia="zh-CN" w:bidi="ar"/>
              </w:rPr>
              <w:t>临时</w:t>
            </w:r>
          </w:p>
        </w:tc>
        <w:tc>
          <w:tcPr>
            <w:tcW w:w="1754" w:type="dxa"/>
            <w:tcBorders>
              <w:top w:val="single" w:color="000000" w:sz="4" w:space="0"/>
              <w:left w:val="single" w:color="000000" w:sz="4" w:space="0"/>
              <w:bottom w:val="single" w:color="000000" w:sz="4" w:space="0"/>
              <w:right w:val="single" w:color="000000" w:sz="4" w:space="0"/>
            </w:tcBorders>
            <w:noWrap/>
            <w:vAlign w:val="center"/>
          </w:tcPr>
          <w:p w14:paraId="48FB10D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p>
        </w:tc>
        <w:tc>
          <w:tcPr>
            <w:tcW w:w="2028" w:type="dxa"/>
            <w:tcBorders>
              <w:top w:val="single" w:color="000000" w:sz="4" w:space="0"/>
              <w:left w:val="single" w:color="000000" w:sz="4" w:space="0"/>
              <w:bottom w:val="single" w:color="000000" w:sz="4" w:space="0"/>
              <w:right w:val="single" w:color="000000" w:sz="4" w:space="0"/>
            </w:tcBorders>
            <w:noWrap/>
            <w:vAlign w:val="center"/>
          </w:tcPr>
          <w:p w14:paraId="25ED70F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p>
        </w:tc>
        <w:tc>
          <w:tcPr>
            <w:tcW w:w="719" w:type="dxa"/>
            <w:tcBorders>
              <w:top w:val="single" w:color="000000" w:sz="4" w:space="0"/>
              <w:left w:val="single" w:color="000000" w:sz="4" w:space="0"/>
              <w:bottom w:val="single" w:color="000000" w:sz="4" w:space="0"/>
              <w:right w:val="single" w:color="000000" w:sz="4" w:space="0"/>
            </w:tcBorders>
            <w:noWrap/>
            <w:vAlign w:val="center"/>
          </w:tcPr>
          <w:p w14:paraId="03BD3AF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eastAsia" w:ascii="Times New Roman" w:cs="Times New Roman"/>
                <w:i w:val="0"/>
                <w:iCs w:val="0"/>
                <w:color w:val="auto"/>
                <w:kern w:val="0"/>
                <w:sz w:val="21"/>
                <w:szCs w:val="21"/>
                <w:highlight w:val="none"/>
                <w:u w:val="single"/>
                <w:lang w:val="en-US" w:eastAsia="zh-CN" w:bidi="ar"/>
              </w:rPr>
              <w:t>0.15</w:t>
            </w:r>
          </w:p>
        </w:tc>
        <w:tc>
          <w:tcPr>
            <w:tcW w:w="863" w:type="dxa"/>
            <w:tcBorders>
              <w:top w:val="single" w:color="000000" w:sz="4" w:space="0"/>
              <w:left w:val="single" w:color="000000" w:sz="4" w:space="0"/>
              <w:bottom w:val="single" w:color="000000" w:sz="4" w:space="0"/>
              <w:right w:val="single" w:color="000000" w:sz="4" w:space="0"/>
            </w:tcBorders>
            <w:noWrap/>
            <w:vAlign w:val="center"/>
          </w:tcPr>
          <w:p w14:paraId="24EE04C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p>
        </w:tc>
        <w:tc>
          <w:tcPr>
            <w:tcW w:w="801" w:type="dxa"/>
            <w:tcBorders>
              <w:top w:val="single" w:color="000000" w:sz="4" w:space="0"/>
              <w:left w:val="single" w:color="000000" w:sz="4" w:space="0"/>
              <w:bottom w:val="single" w:color="000000" w:sz="4" w:space="0"/>
            </w:tcBorders>
            <w:noWrap/>
            <w:vAlign w:val="center"/>
          </w:tcPr>
          <w:p w14:paraId="4AF1DDF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eastAsia" w:ascii="Times New Roman" w:cs="Times New Roman"/>
                <w:i w:val="0"/>
                <w:iCs w:val="0"/>
                <w:color w:val="auto"/>
                <w:kern w:val="0"/>
                <w:sz w:val="21"/>
                <w:szCs w:val="21"/>
                <w:highlight w:val="none"/>
                <w:u w:val="single"/>
                <w:lang w:val="en-US" w:eastAsia="zh-CN" w:bidi="ar"/>
              </w:rPr>
              <w:t>0.15</w:t>
            </w:r>
          </w:p>
        </w:tc>
      </w:tr>
      <w:tr w14:paraId="25C484FC">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041" w:type="dxa"/>
            <w:tcBorders>
              <w:top w:val="single" w:color="000000" w:sz="4" w:space="0"/>
              <w:right w:val="single" w:color="000000" w:sz="4" w:space="0"/>
            </w:tcBorders>
            <w:noWrap/>
            <w:vAlign w:val="center"/>
          </w:tcPr>
          <w:p w14:paraId="744B6B4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合计</w:t>
            </w:r>
          </w:p>
        </w:tc>
        <w:tc>
          <w:tcPr>
            <w:tcW w:w="622" w:type="dxa"/>
            <w:tcBorders>
              <w:top w:val="single" w:color="000000" w:sz="4" w:space="0"/>
              <w:left w:val="single" w:color="000000" w:sz="4" w:space="0"/>
              <w:right w:val="single" w:color="000000" w:sz="4" w:space="0"/>
            </w:tcBorders>
            <w:noWrap/>
            <w:vAlign w:val="center"/>
          </w:tcPr>
          <w:p w14:paraId="142317D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754" w:type="dxa"/>
            <w:tcBorders>
              <w:top w:val="single" w:color="000000" w:sz="4" w:space="0"/>
              <w:left w:val="single" w:color="000000" w:sz="4" w:space="0"/>
              <w:right w:val="single" w:color="000000" w:sz="4" w:space="0"/>
            </w:tcBorders>
            <w:noWrap/>
            <w:vAlign w:val="center"/>
          </w:tcPr>
          <w:p w14:paraId="5FBE922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0.43</w:t>
            </w:r>
          </w:p>
        </w:tc>
        <w:tc>
          <w:tcPr>
            <w:tcW w:w="2028" w:type="dxa"/>
            <w:tcBorders>
              <w:top w:val="single" w:color="000000" w:sz="4" w:space="0"/>
              <w:left w:val="single" w:color="000000" w:sz="4" w:space="0"/>
              <w:right w:val="single" w:color="000000" w:sz="4" w:space="0"/>
            </w:tcBorders>
            <w:noWrap/>
            <w:vAlign w:val="center"/>
          </w:tcPr>
          <w:p w14:paraId="21CC283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1.13</w:t>
            </w:r>
          </w:p>
        </w:tc>
        <w:tc>
          <w:tcPr>
            <w:tcW w:w="719" w:type="dxa"/>
            <w:tcBorders>
              <w:top w:val="single" w:color="000000" w:sz="4" w:space="0"/>
              <w:left w:val="single" w:color="000000" w:sz="4" w:space="0"/>
              <w:right w:val="single" w:color="000000" w:sz="4" w:space="0"/>
            </w:tcBorders>
            <w:noWrap/>
            <w:vAlign w:val="center"/>
          </w:tcPr>
          <w:p w14:paraId="0BBE274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3.70</w:t>
            </w:r>
          </w:p>
        </w:tc>
        <w:tc>
          <w:tcPr>
            <w:tcW w:w="863" w:type="dxa"/>
            <w:tcBorders>
              <w:top w:val="single" w:color="000000" w:sz="4" w:space="0"/>
              <w:left w:val="single" w:color="000000" w:sz="4" w:space="0"/>
              <w:right w:val="single" w:color="000000" w:sz="4" w:space="0"/>
            </w:tcBorders>
            <w:noWrap/>
            <w:vAlign w:val="center"/>
          </w:tcPr>
          <w:p w14:paraId="59664B1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0.45</w:t>
            </w:r>
          </w:p>
        </w:tc>
        <w:tc>
          <w:tcPr>
            <w:tcW w:w="801" w:type="dxa"/>
            <w:tcBorders>
              <w:top w:val="single" w:color="000000" w:sz="4" w:space="0"/>
              <w:left w:val="single" w:color="000000" w:sz="4" w:space="0"/>
            </w:tcBorders>
            <w:noWrap/>
            <w:vAlign w:val="center"/>
          </w:tcPr>
          <w:p w14:paraId="4AA67B0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5.71</w:t>
            </w:r>
          </w:p>
        </w:tc>
      </w:tr>
    </w:tbl>
    <w:p w14:paraId="11F6FB29">
      <w:pPr>
        <w:pStyle w:val="5"/>
        <w:bidi w:val="0"/>
        <w:ind w:left="452" w:leftChars="0" w:firstLine="0" w:firstLineChars="0"/>
        <w:rPr>
          <w:rFonts w:hint="default"/>
          <w:color w:val="auto"/>
          <w:highlight w:val="none"/>
        </w:rPr>
      </w:pPr>
      <w:r>
        <w:rPr>
          <w:rFonts w:hint="default"/>
          <w:color w:val="auto"/>
          <w:highlight w:val="none"/>
          <w:lang w:eastAsia="zh-CN"/>
        </w:rPr>
        <w:t>拆迁工程</w:t>
      </w:r>
    </w:p>
    <w:p w14:paraId="60FCCCCE">
      <w:pPr>
        <w:pStyle w:val="684"/>
        <w:ind w:firstLine="453"/>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根据设计资料，</w:t>
      </w:r>
      <w:r>
        <w:rPr>
          <w:rFonts w:hint="default" w:ascii="Times New Roman" w:hAnsi="Times New Roman" w:eastAsia="宋体" w:cs="Times New Roman"/>
          <w:color w:val="auto"/>
          <w:highlight w:val="none"/>
          <w:u w:val="none"/>
          <w:lang w:val="en-US" w:eastAsia="zh-CN"/>
        </w:rPr>
        <w:t>本项目不涉及</w:t>
      </w:r>
      <w:r>
        <w:rPr>
          <w:rFonts w:hint="default" w:ascii="Times New Roman" w:hAnsi="Times New Roman" w:eastAsia="宋体" w:cs="Times New Roman"/>
          <w:color w:val="auto"/>
          <w:highlight w:val="none"/>
          <w:u w:val="none"/>
        </w:rPr>
        <w:t>拆迁（移民）安置与专项设施改（迁）建。</w:t>
      </w:r>
    </w:p>
    <w:p w14:paraId="3C5B3290">
      <w:pPr>
        <w:pStyle w:val="5"/>
        <w:bidi w:val="0"/>
        <w:ind w:left="452" w:leftChars="0" w:firstLine="0" w:firstLineChars="0"/>
        <w:rPr>
          <w:rFonts w:hint="default"/>
          <w:color w:val="auto"/>
          <w:highlight w:val="none"/>
        </w:rPr>
      </w:pPr>
      <w:r>
        <w:rPr>
          <w:rFonts w:hint="default"/>
          <w:color w:val="auto"/>
          <w:highlight w:val="none"/>
          <w:lang w:eastAsia="zh-CN"/>
        </w:rPr>
        <w:t>施工安排</w:t>
      </w:r>
    </w:p>
    <w:p w14:paraId="12F968D3">
      <w:pPr>
        <w:pStyle w:val="684"/>
        <w:ind w:firstLine="453"/>
        <w:rPr>
          <w:rFonts w:hint="default" w:ascii="Times New Roman" w:hAnsi="Times New Roman" w:cs="Times New Roman"/>
          <w:color w:val="auto"/>
          <w:highlight w:val="none"/>
        </w:rPr>
      </w:pPr>
      <w:r>
        <w:rPr>
          <w:rFonts w:hint="default" w:ascii="Times New Roman" w:hAnsi="Times New Roman" w:cs="Times New Roman"/>
          <w:color w:val="auto"/>
          <w:highlight w:val="none"/>
        </w:rPr>
        <w:t>项目施工工期拟定</w:t>
      </w:r>
      <w:r>
        <w:rPr>
          <w:rFonts w:hint="default" w:ascii="Times New Roman" w:hAnsi="Times New Roman" w:cs="Times New Roman"/>
          <w:color w:val="auto"/>
          <w:highlight w:val="none"/>
          <w:lang w:val="en-US" w:eastAsia="zh-CN"/>
        </w:rPr>
        <w:t>12</w:t>
      </w:r>
      <w:r>
        <w:rPr>
          <w:rFonts w:hint="default" w:ascii="Times New Roman" w:hAnsi="Times New Roman" w:cs="Times New Roman"/>
          <w:color w:val="auto"/>
          <w:highlight w:val="none"/>
        </w:rPr>
        <w:t>个月</w:t>
      </w:r>
      <w:r>
        <w:rPr>
          <w:rFonts w:hint="default" w:ascii="Times New Roman" w:hAnsi="Times New Roman" w:cs="Times New Roman"/>
          <w:color w:val="auto"/>
          <w:highlight w:val="none"/>
          <w:lang w:eastAsia="zh-CN"/>
        </w:rPr>
        <w:t>，</w:t>
      </w:r>
      <w:r>
        <w:rPr>
          <w:rFonts w:hint="eastAsia" w:ascii="Times New Roman" w:cs="Times New Roman"/>
          <w:color w:val="auto"/>
          <w:highlight w:val="none"/>
          <w:u w:val="single"/>
          <w:lang w:eastAsia="zh-CN"/>
        </w:rPr>
        <w:t>本项目于</w:t>
      </w:r>
      <w:r>
        <w:rPr>
          <w:rFonts w:hint="eastAsia" w:ascii="Times New Roman" w:cs="Times New Roman"/>
          <w:color w:val="auto"/>
          <w:highlight w:val="none"/>
          <w:u w:val="single"/>
          <w:lang w:val="en-US" w:eastAsia="zh-CN"/>
        </w:rPr>
        <w:t>2024年12月26日正式开工，预计2025年12月完工，目前已完成锦绣大道部分雨水管铺设、</w:t>
      </w:r>
      <w:r>
        <w:rPr>
          <w:rFonts w:hint="default" w:ascii="Times New Roman" w:hAnsi="Times New Roman" w:cs="Times New Roman"/>
          <w:b w:val="0"/>
          <w:bCs w:val="0"/>
          <w:color w:val="auto"/>
          <w:highlight w:val="none"/>
          <w:u w:val="single"/>
        </w:rPr>
        <w:t>城市更新项目建设服务于金窝水库的排水水系改造段</w:t>
      </w:r>
      <w:r>
        <w:rPr>
          <w:rFonts w:hint="eastAsia" w:ascii="Times New Roman" w:cs="Times New Roman"/>
          <w:b w:val="0"/>
          <w:bCs w:val="0"/>
          <w:color w:val="auto"/>
          <w:highlight w:val="none"/>
          <w:u w:val="single"/>
          <w:lang w:eastAsia="zh-CN"/>
        </w:rPr>
        <w:t>起点处箱涵施工。</w:t>
      </w:r>
      <w:r>
        <w:rPr>
          <w:rFonts w:hint="default" w:ascii="Times New Roman" w:hAnsi="Times New Roman" w:cs="Times New Roman"/>
          <w:color w:val="auto"/>
          <w:highlight w:val="none"/>
          <w:lang w:val="en-US" w:eastAsia="zh-CN"/>
        </w:rPr>
        <w:t>施工高峰期施工人员为50人</w:t>
      </w:r>
      <w:r>
        <w:rPr>
          <w:rFonts w:hint="default" w:ascii="Times New Roman" w:hAnsi="Times New Roman" w:cs="Times New Roman"/>
          <w:color w:val="auto"/>
          <w:highlight w:val="none"/>
        </w:rPr>
        <w:t>。</w:t>
      </w:r>
    </w:p>
    <w:p w14:paraId="6BC91BB5">
      <w:pPr>
        <w:pStyle w:val="4"/>
        <w:bidi w:val="0"/>
        <w:ind w:left="678" w:leftChars="0" w:firstLine="0" w:firstLineChars="0"/>
        <w:rPr>
          <w:rFonts w:hint="default"/>
          <w:color w:val="auto"/>
          <w:highlight w:val="none"/>
        </w:rPr>
      </w:pPr>
      <w:bookmarkStart w:id="45" w:name="_Toc21305"/>
      <w:r>
        <w:rPr>
          <w:rFonts w:hint="default"/>
          <w:color w:val="auto"/>
          <w:highlight w:val="none"/>
          <w:lang w:eastAsia="zh-CN"/>
        </w:rPr>
        <w:t>施工组织设计</w:t>
      </w:r>
      <w:bookmarkEnd w:id="45"/>
    </w:p>
    <w:p w14:paraId="55D6F769">
      <w:pPr>
        <w:pStyle w:val="5"/>
        <w:bidi w:val="0"/>
        <w:ind w:left="452" w:leftChars="0" w:firstLine="0" w:firstLineChars="0"/>
        <w:rPr>
          <w:rFonts w:hint="default"/>
          <w:color w:val="auto"/>
          <w:highlight w:val="none"/>
          <w:lang w:val="en-US" w:eastAsia="zh-CN"/>
        </w:rPr>
      </w:pPr>
      <w:r>
        <w:rPr>
          <w:rFonts w:hint="default"/>
          <w:color w:val="auto"/>
          <w:highlight w:val="none"/>
          <w:lang w:val="en-US" w:eastAsia="zh-CN"/>
        </w:rPr>
        <w:t>施工条件</w:t>
      </w:r>
    </w:p>
    <w:p w14:paraId="71150E51">
      <w:pPr>
        <w:keepNext w:val="0"/>
        <w:keepLines w:val="0"/>
        <w:pageBreakBefore w:val="0"/>
        <w:widowControl w:val="0"/>
        <w:numPr>
          <w:ilvl w:val="0"/>
          <w:numId w:val="27"/>
        </w:numPr>
        <w:kinsoku/>
        <w:wordWrap/>
        <w:overflowPunct/>
        <w:topLinePunct w:val="0"/>
        <w:autoSpaceDE/>
        <w:autoSpaceDN/>
        <w:bidi w:val="0"/>
        <w:adjustRightInd/>
        <w:snapToGrid/>
        <w:ind w:firstLine="454" w:firstLineChars="200"/>
        <w:textAlignment w:val="auto"/>
        <w:rPr>
          <w:rFonts w:hint="default" w:ascii="Times New Roman" w:hAnsi="Times New Roman" w:eastAsia="宋体" w:cs="Times New Roman"/>
          <w:b w:val="0"/>
          <w:bCs w:val="0"/>
          <w:color w:val="auto"/>
          <w:highlight w:val="none"/>
          <w:u w:val="single"/>
          <w:lang w:val="en-US" w:eastAsia="zh-CN"/>
        </w:rPr>
      </w:pPr>
      <w:r>
        <w:rPr>
          <w:rFonts w:hint="default" w:ascii="Times New Roman" w:hAnsi="Times New Roman" w:eastAsia="宋体" w:cs="Times New Roman"/>
          <w:b w:val="0"/>
          <w:bCs w:val="0"/>
          <w:color w:val="auto"/>
          <w:highlight w:val="none"/>
          <w:u w:val="single"/>
          <w:lang w:val="en-US" w:eastAsia="zh-CN"/>
        </w:rPr>
        <w:t>地形地质条件</w:t>
      </w:r>
    </w:p>
    <w:p w14:paraId="6F727C80">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lang w:val="en-US" w:eastAsia="zh-CN"/>
        </w:rPr>
        <w:t>钦州市</w:t>
      </w:r>
      <w:r>
        <w:rPr>
          <w:rFonts w:hint="eastAsia" w:ascii="Times New Roman" w:cs="Times New Roman"/>
          <w:color w:val="auto"/>
          <w:sz w:val="24"/>
          <w:szCs w:val="24"/>
          <w:highlight w:val="none"/>
          <w:lang w:val="en-US" w:eastAsia="zh-CN"/>
        </w:rPr>
        <w:t>地处广西壮族自治区南部沿海，北部湾北部，</w:t>
      </w:r>
      <w:r>
        <w:rPr>
          <w:rFonts w:hint="default" w:ascii="Times New Roman" w:hAnsi="Times New Roman" w:eastAsia="宋体" w:cs="Times New Roman"/>
          <w:color w:val="auto"/>
          <w:sz w:val="24"/>
          <w:szCs w:val="24"/>
          <w:highlight w:val="none"/>
          <w:lang w:val="en-US" w:eastAsia="zh-CN"/>
        </w:rPr>
        <w:t>主要属丘陵地貌类型</w:t>
      </w:r>
      <w:r>
        <w:rPr>
          <w:rFonts w:hint="eastAsia"/>
          <w:color w:val="auto"/>
          <w:highlight w:val="none"/>
          <w:lang w:eastAsia="zh-CN"/>
        </w:rPr>
        <w:t>。</w:t>
      </w:r>
      <w:r>
        <w:rPr>
          <w:rFonts w:hint="default" w:ascii="Times New Roman" w:hAnsi="Times New Roman" w:eastAsia="宋体" w:cs="Times New Roman"/>
          <w:color w:val="auto"/>
          <w:sz w:val="24"/>
          <w:szCs w:val="24"/>
          <w:highlight w:val="none"/>
          <w:lang w:val="en-US" w:eastAsia="zh-CN"/>
        </w:rPr>
        <w:t>项目所在区域位于城镇建设区，地形平坦开阔，施工场地布置较为方便</w:t>
      </w:r>
      <w:r>
        <w:rPr>
          <w:rFonts w:hint="eastAsia" w:ascii="Times New Roman" w:cs="Times New Roman"/>
          <w:color w:val="auto"/>
          <w:sz w:val="24"/>
          <w:szCs w:val="24"/>
          <w:highlight w:val="none"/>
          <w:lang w:val="en-US" w:eastAsia="zh-CN"/>
        </w:rPr>
        <w:t>。根据</w:t>
      </w:r>
      <w:r>
        <w:rPr>
          <w:rFonts w:hint="eastAsia" w:ascii="Times New Roman" w:cs="Times New Roman"/>
          <w:color w:val="auto"/>
          <w:sz w:val="24"/>
          <w:szCs w:val="24"/>
          <w:highlight w:val="none"/>
          <w:u w:val="single"/>
          <w:lang w:val="en-US" w:eastAsia="zh-CN"/>
        </w:rPr>
        <w:t>《钦州港新型城乡融合发展示范区（自贸新城）排水改造工程岩土工程详细勘察报告》</w:t>
      </w:r>
      <w:r>
        <w:rPr>
          <w:rFonts w:hint="default" w:ascii="Times New Roman" w:hAnsi="Times New Roman" w:eastAsia="宋体" w:cs="Times New Roman"/>
          <w:color w:val="auto"/>
          <w:sz w:val="24"/>
          <w:szCs w:val="24"/>
          <w:highlight w:val="none"/>
          <w:u w:val="single"/>
          <w:lang w:val="en-US" w:eastAsia="zh-CN"/>
        </w:rPr>
        <w:t>工程区通过</w:t>
      </w:r>
      <w:r>
        <w:rPr>
          <w:rFonts w:hint="eastAsia" w:ascii="Times New Roman" w:cs="Times New Roman"/>
          <w:color w:val="auto"/>
          <w:sz w:val="24"/>
          <w:szCs w:val="24"/>
          <w:highlight w:val="none"/>
          <w:u w:val="single"/>
          <w:lang w:val="en-US" w:eastAsia="zh-CN"/>
        </w:rPr>
        <w:t>地质调查</w:t>
      </w:r>
      <w:r>
        <w:rPr>
          <w:rFonts w:hint="default" w:ascii="Times New Roman" w:hAnsi="Times New Roman" w:eastAsia="宋体" w:cs="Times New Roman"/>
          <w:color w:val="auto"/>
          <w:sz w:val="24"/>
          <w:szCs w:val="24"/>
          <w:highlight w:val="none"/>
          <w:u w:val="single"/>
          <w:lang w:val="en-US" w:eastAsia="zh-CN"/>
        </w:rPr>
        <w:t>及钻探揭露，拟建场地范围内未发现采空区、岩溶、滑坡、崩塌、泥石流、地面沉降、塌陷、地裂缝、活动断裂等不良地质作用。</w:t>
      </w:r>
    </w:p>
    <w:p w14:paraId="2C78EAB9">
      <w:pPr>
        <w:keepNext w:val="0"/>
        <w:keepLines w:val="0"/>
        <w:pageBreakBefore w:val="0"/>
        <w:widowControl w:val="0"/>
        <w:numPr>
          <w:ilvl w:val="0"/>
          <w:numId w:val="27"/>
        </w:numPr>
        <w:kinsoku/>
        <w:wordWrap/>
        <w:overflowPunct/>
        <w:topLinePunct w:val="0"/>
        <w:autoSpaceDE/>
        <w:autoSpaceDN/>
        <w:bidi w:val="0"/>
        <w:adjustRightInd/>
        <w:snapToGrid/>
        <w:ind w:firstLine="454" w:firstLineChars="200"/>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施工水、电供应</w:t>
      </w:r>
    </w:p>
    <w:p w14:paraId="0FECED9A">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本工程地处钦州市区，钦州港供水网可提供本工程的主要水源，供水接入点拟在周边市政路网接入。</w:t>
      </w:r>
    </w:p>
    <w:p w14:paraId="4CF92EEC">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施工期间，本工程用电负荷较大，本项目拟采用钦州港电网供电，供电接入点拟在周边的市政路网接入。供电具体意向及解决措施需与钦州港供电局等有关部门协商签订供电协议书，确保工程施工进度。</w:t>
      </w:r>
    </w:p>
    <w:p w14:paraId="7C757816">
      <w:pPr>
        <w:keepNext w:val="0"/>
        <w:keepLines w:val="0"/>
        <w:pageBreakBefore w:val="0"/>
        <w:widowControl w:val="0"/>
        <w:numPr>
          <w:ilvl w:val="0"/>
          <w:numId w:val="27"/>
        </w:numPr>
        <w:kinsoku/>
        <w:wordWrap/>
        <w:overflowPunct/>
        <w:topLinePunct w:val="0"/>
        <w:autoSpaceDE/>
        <w:autoSpaceDN/>
        <w:bidi w:val="0"/>
        <w:adjustRightInd/>
        <w:snapToGrid/>
        <w:ind w:firstLine="454" w:firstLineChars="200"/>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施工材料及交通运输条件</w:t>
      </w:r>
    </w:p>
    <w:p w14:paraId="75027B8D">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本工程所需材料主要为水泥、砂、石、钢材、沥青等，大部分可在当地购买。项目位于钦州港自贸新型城乡融合发展示范区内，临近锦绣大道和谐大街，交通便利。</w:t>
      </w:r>
    </w:p>
    <w:p w14:paraId="70874E7E">
      <w:pPr>
        <w:pStyle w:val="5"/>
        <w:bidi w:val="0"/>
        <w:ind w:left="452" w:leftChars="0" w:firstLine="0" w:firstLineChars="0"/>
        <w:rPr>
          <w:rFonts w:hint="default"/>
          <w:color w:val="auto"/>
          <w:highlight w:val="none"/>
          <w:lang w:val="en-US" w:eastAsia="zh-CN"/>
        </w:rPr>
      </w:pPr>
      <w:r>
        <w:rPr>
          <w:rFonts w:hint="default"/>
          <w:color w:val="auto"/>
          <w:highlight w:val="none"/>
          <w:lang w:val="en-US" w:eastAsia="zh-CN"/>
        </w:rPr>
        <w:t>施工临时设施</w:t>
      </w:r>
    </w:p>
    <w:p w14:paraId="331A2A80">
      <w:pPr>
        <w:numPr>
          <w:ilvl w:val="0"/>
          <w:numId w:val="28"/>
        </w:num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施工生活区</w:t>
      </w:r>
    </w:p>
    <w:p w14:paraId="1E3AD88E">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本工程施工生活区租用周边民房，无需布置施工生活区。</w:t>
      </w:r>
    </w:p>
    <w:p w14:paraId="45302818">
      <w:pPr>
        <w:numPr>
          <w:ilvl w:val="0"/>
          <w:numId w:val="28"/>
        </w:numPr>
        <w:rPr>
          <w:rFonts w:hint="default" w:ascii="Times New Roman" w:hAnsi="Times New Roman" w:cs="Times New Roman"/>
          <w:color w:val="auto"/>
          <w:highlight w:val="none"/>
          <w:lang w:val="en-US" w:eastAsia="zh-CN"/>
        </w:rPr>
      </w:pPr>
      <w:r>
        <w:rPr>
          <w:rFonts w:hint="eastAsia" w:ascii="Times New Roman" w:cs="Times New Roman"/>
          <w:color w:val="auto"/>
          <w:highlight w:val="none"/>
          <w:lang w:val="en-US" w:eastAsia="zh-CN"/>
        </w:rPr>
        <w:t>管道铺设施工区</w:t>
      </w:r>
    </w:p>
    <w:p w14:paraId="200F5D3A">
      <w:pPr>
        <w:pStyle w:val="684"/>
        <w:ind w:firstLine="453"/>
        <w:rPr>
          <w:rFonts w:hint="default" w:ascii="Times New Roman" w:hAnsi="Times New Roman" w:cs="Times New Roman"/>
          <w:color w:val="auto"/>
          <w:highlight w:val="none"/>
          <w:lang w:val="en-US" w:eastAsia="zh-CN"/>
        </w:rPr>
      </w:pPr>
      <w:r>
        <w:rPr>
          <w:rFonts w:hint="eastAsia" w:ascii="Times New Roman" w:cs="Times New Roman"/>
          <w:color w:val="auto"/>
          <w:highlight w:val="none"/>
          <w:lang w:val="en-US" w:eastAsia="zh-CN"/>
        </w:rPr>
        <w:t>本项目管道沟槽两侧5m范围内属于管道铺设施工区，管道铺设施工区为临时占地，管道铺设位于道路红线内，施工完成后对管道铺设施工区进行植被恢复，将工程临时占地恢复为原地类。</w:t>
      </w:r>
    </w:p>
    <w:p w14:paraId="489EB8EC">
      <w:pPr>
        <w:numPr>
          <w:ilvl w:val="0"/>
          <w:numId w:val="28"/>
        </w:numPr>
        <w:rPr>
          <w:rFonts w:hint="default" w:ascii="Times New Roman" w:hAnsi="Times New Roman" w:cs="Times New Roman"/>
          <w:color w:val="auto"/>
          <w:highlight w:val="none"/>
          <w:lang w:val="en-US" w:eastAsia="zh-CN"/>
        </w:rPr>
      </w:pPr>
      <w:r>
        <w:rPr>
          <w:rFonts w:hint="eastAsia" w:ascii="Times New Roman" w:cs="Times New Roman"/>
          <w:color w:val="auto"/>
          <w:highlight w:val="none"/>
          <w:lang w:val="en-US" w:eastAsia="zh-CN"/>
        </w:rPr>
        <w:t>钦州港路、曲绣路回填区</w:t>
      </w:r>
    </w:p>
    <w:p w14:paraId="324ECE92">
      <w:pPr>
        <w:pStyle w:val="684"/>
        <w:ind w:firstLine="453"/>
        <w:rPr>
          <w:rFonts w:hint="eastAsia" w:ascii="Times New Roman" w:cs="Times New Roman"/>
          <w:color w:val="auto"/>
          <w:highlight w:val="none"/>
          <w:u w:val="single"/>
          <w:lang w:val="en-US" w:eastAsia="zh-CN"/>
        </w:rPr>
      </w:pPr>
      <w:r>
        <w:rPr>
          <w:rFonts w:hint="eastAsia" w:ascii="Times New Roman" w:cs="Times New Roman"/>
          <w:color w:val="auto"/>
          <w:highlight w:val="none"/>
          <w:u w:val="single"/>
          <w:lang w:val="en-US" w:eastAsia="zh-CN"/>
        </w:rPr>
        <w:t>结合项目建设内容及施工需求，项目钦州港路、曲绣路回填后兼顾项目临时施工道路、施工临时围堰。</w:t>
      </w:r>
    </w:p>
    <w:p w14:paraId="46862934">
      <w:pPr>
        <w:pStyle w:val="684"/>
        <w:ind w:firstLine="453"/>
        <w:rPr>
          <w:rFonts w:hint="default" w:ascii="Times New Roman" w:eastAsia="宋体" w:cs="Times New Roman"/>
          <w:color w:val="auto"/>
          <w:highlight w:val="none"/>
          <w:lang w:val="en-US" w:eastAsia="zh-CN" w:bidi="en-US"/>
        </w:rPr>
      </w:pPr>
      <w:r>
        <w:rPr>
          <w:rFonts w:hint="eastAsia" w:ascii="Times New Roman" w:cs="Times New Roman"/>
          <w:color w:val="auto"/>
          <w:highlight w:val="none"/>
          <w:u w:val="single"/>
          <w:lang w:val="en-US" w:eastAsia="zh-CN"/>
        </w:rPr>
        <w:t>项目</w:t>
      </w:r>
      <w:r>
        <w:rPr>
          <w:rFonts w:hint="default" w:ascii="Times New Roman" w:cs="Times New Roman"/>
          <w:color w:val="auto"/>
          <w:highlight w:val="none"/>
          <w:lang w:val="en-US" w:eastAsia="zh-CN"/>
        </w:rPr>
        <w:t>钦州港路排水工程</w:t>
      </w:r>
      <w:r>
        <w:rPr>
          <w:rFonts w:hint="eastAsia" w:ascii="Times New Roman" w:cs="Times New Roman"/>
          <w:color w:val="auto"/>
          <w:highlight w:val="none"/>
          <w:lang w:val="en-US" w:eastAsia="zh-CN"/>
        </w:rPr>
        <w:t>和</w:t>
      </w:r>
      <w:r>
        <w:rPr>
          <w:rFonts w:hint="default" w:ascii="Times New Roman" w:cs="Times New Roman"/>
          <w:color w:val="auto"/>
          <w:highlight w:val="none"/>
          <w:lang w:val="en-US" w:eastAsia="zh-CN"/>
        </w:rPr>
        <w:t>城市更新项目建设服务于金窝水库的排水水系</w:t>
      </w:r>
      <w:r>
        <w:rPr>
          <w:rFonts w:hint="eastAsia" w:ascii="Times New Roman" w:cs="Times New Roman"/>
          <w:color w:val="auto"/>
          <w:highlight w:val="none"/>
          <w:lang w:val="en-US" w:eastAsia="zh-CN"/>
        </w:rPr>
        <w:t>改造段</w:t>
      </w:r>
      <w:r>
        <w:rPr>
          <w:rFonts w:hint="eastAsia" w:ascii="Times New Roman" w:cs="Times New Roman"/>
          <w:color w:val="auto"/>
          <w:highlight w:val="none"/>
          <w:u w:val="single"/>
          <w:lang w:val="en-US" w:eastAsia="zh-CN"/>
        </w:rPr>
        <w:t>拟对</w:t>
      </w:r>
      <w:r>
        <w:rPr>
          <w:rFonts w:hint="eastAsia" w:ascii="Times New Roman" w:cs="Times New Roman"/>
          <w:color w:val="auto"/>
          <w:highlight w:val="none"/>
          <w:lang w:val="en-US" w:eastAsia="zh-CN"/>
        </w:rPr>
        <w:t>钦州港路、曲绣路进行回填至规划标高后</w:t>
      </w:r>
      <w:r>
        <w:rPr>
          <w:rFonts w:hint="default" w:ascii="Times New Roman" w:hAnsi="Times New Roman" w:eastAsia="宋体" w:cs="Times New Roman"/>
          <w:color w:val="auto"/>
          <w:highlight w:val="none"/>
          <w:lang w:val="en-US" w:eastAsia="zh-CN" w:bidi="en-US"/>
        </w:rPr>
        <w:t>，敷设雨水排水管道，设于</w:t>
      </w:r>
      <w:r>
        <w:rPr>
          <w:rFonts w:hint="eastAsia" w:ascii="Times New Roman" w:cs="Times New Roman"/>
          <w:color w:val="auto"/>
          <w:highlight w:val="none"/>
          <w:lang w:val="en-US" w:eastAsia="zh-CN" w:bidi="en-US"/>
        </w:rPr>
        <w:t>曲绣路</w:t>
      </w:r>
      <w:r>
        <w:rPr>
          <w:rFonts w:hint="default" w:ascii="Times New Roman" w:hAnsi="Times New Roman" w:eastAsia="宋体" w:cs="Times New Roman"/>
          <w:color w:val="auto"/>
          <w:highlight w:val="none"/>
          <w:lang w:val="en-US" w:eastAsia="zh-CN" w:bidi="en-US"/>
        </w:rPr>
        <w:t>东侧机动车道下方，距离路边边线2m。</w:t>
      </w:r>
      <w:r>
        <w:rPr>
          <w:rFonts w:hint="eastAsia" w:ascii="Times New Roman" w:cs="Times New Roman"/>
          <w:color w:val="auto"/>
          <w:highlight w:val="none"/>
          <w:lang w:val="en-US" w:eastAsia="zh-CN"/>
        </w:rPr>
        <w:t>钦州港路、曲绣路回填区临时占地面积为2.36hm</w:t>
      </w:r>
      <w:r>
        <w:rPr>
          <w:rFonts w:hint="eastAsia" w:ascii="Times New Roman" w:cs="Times New Roman"/>
          <w:color w:val="auto"/>
          <w:highlight w:val="none"/>
          <w:vertAlign w:val="superscript"/>
          <w:lang w:val="en-US" w:eastAsia="zh-CN"/>
        </w:rPr>
        <w:t>2</w:t>
      </w:r>
      <w:r>
        <w:rPr>
          <w:rFonts w:hint="eastAsia" w:ascii="Times New Roman" w:hAnsi="Times New Roman" w:eastAsia="宋体" w:cs="Times New Roman"/>
          <w:color w:val="auto"/>
          <w:highlight w:val="none"/>
          <w:lang w:val="en-US" w:eastAsia="zh-CN" w:bidi="en-US"/>
        </w:rPr>
        <w:t>，</w:t>
      </w:r>
      <w:r>
        <w:rPr>
          <w:rFonts w:hint="default" w:ascii="Times New Roman" w:eastAsia="宋体" w:cs="Times New Roman"/>
          <w:color w:val="auto"/>
          <w:highlight w:val="none"/>
          <w:lang w:val="en-US" w:eastAsia="zh-CN" w:bidi="en-US"/>
        </w:rPr>
        <w:t>为避免道路长时间裸露，铺设管网后对路基及路基边坡绿化覆土后撒播草籽植被覆盖。</w:t>
      </w:r>
    </w:p>
    <w:p w14:paraId="6BDC8FEC">
      <w:pPr>
        <w:pStyle w:val="684"/>
        <w:ind w:firstLine="453"/>
        <w:rPr>
          <w:rFonts w:hint="eastAsia" w:ascii="Times New Roman" w:cs="Times New Roman"/>
          <w:color w:val="auto"/>
          <w:highlight w:val="none"/>
          <w:lang w:val="en-US" w:eastAsia="zh-CN" w:bidi="en-US"/>
        </w:rPr>
      </w:pPr>
      <w:r>
        <w:rPr>
          <w:rFonts w:hint="eastAsia" w:ascii="Times New Roman" w:cs="Times New Roman"/>
          <w:color w:val="auto"/>
          <w:highlight w:val="none"/>
          <w:lang w:val="en-US" w:eastAsia="zh-CN" w:bidi="en-US"/>
        </w:rPr>
        <w:t>根据项目初步设计方案，钦州港路、曲绣路回填区自然地面标高在0.760~5.286m，回填后地面标高在7.76~9.276m。钦州港路回填路基宽度为24m（顶部）边坡比例1:2；曲绣路回填路基宽度24m（顶部），东侧边坡比例1:2，西侧为水系改造段新建挡土墙。</w:t>
      </w:r>
    </w:p>
    <w:p w14:paraId="1E379B66">
      <w:pPr>
        <w:pStyle w:val="684"/>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502910" cy="1587500"/>
            <wp:effectExtent l="0" t="0" r="2540" b="12700"/>
            <wp:docPr id="25"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88"/>
                    <pic:cNvPicPr>
                      <a:picLocks noChangeAspect="1"/>
                    </pic:cNvPicPr>
                  </pic:nvPicPr>
                  <pic:blipFill>
                    <a:blip r:embed="rId37"/>
                    <a:srcRect l="92" b="15882"/>
                    <a:stretch>
                      <a:fillRect/>
                    </a:stretch>
                  </pic:blipFill>
                  <pic:spPr>
                    <a:xfrm>
                      <a:off x="0" y="0"/>
                      <a:ext cx="5502910" cy="1587500"/>
                    </a:xfrm>
                    <a:prstGeom prst="rect">
                      <a:avLst/>
                    </a:prstGeom>
                    <a:noFill/>
                    <a:ln>
                      <a:noFill/>
                    </a:ln>
                  </pic:spPr>
                </pic:pic>
              </a:graphicData>
            </a:graphic>
          </wp:inline>
        </w:drawing>
      </w:r>
    </w:p>
    <w:p w14:paraId="3CC78285">
      <w:pPr>
        <w:pStyle w:val="588"/>
        <w:bidi w:val="0"/>
        <w:ind w:left="0" w:leftChars="0" w:firstLine="0" w:firstLineChars="0"/>
        <w:rPr>
          <w:rFonts w:hint="default" w:ascii="Times New Roman" w:cs="Times New Roman"/>
          <w:color w:val="auto"/>
          <w:highlight w:val="none"/>
          <w:lang w:val="en-US" w:eastAsia="zh-CN" w:bidi="en-US"/>
        </w:rPr>
      </w:pPr>
      <w:r>
        <w:rPr>
          <w:rFonts w:hint="eastAsia" w:ascii="Times New Roman" w:cs="Times New Roman"/>
          <w:color w:val="auto"/>
          <w:highlight w:val="none"/>
          <w:lang w:val="en-US" w:eastAsia="zh-CN" w:bidi="en-US"/>
        </w:rPr>
        <w:t>钦州港路回填平面图</w:t>
      </w:r>
    </w:p>
    <w:p w14:paraId="37482AF3">
      <w:pPr>
        <w:pStyle w:val="684"/>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color w:val="auto"/>
          <w:highlight w:val="none"/>
          <w:lang w:val="en-US" w:eastAsia="zh-CN"/>
        </w:rPr>
      </w:pPr>
      <w:r>
        <w:rPr>
          <w:rFonts w:hint="default" w:ascii="Times New Roman" w:hAnsi="Times New Roman" w:cs="Times New Roman"/>
          <w:color w:val="auto"/>
          <w:highlight w:val="none"/>
        </w:rPr>
        <w:drawing>
          <wp:inline distT="0" distB="0" distL="114300" distR="114300">
            <wp:extent cx="5568950" cy="2291715"/>
            <wp:effectExtent l="0" t="0" r="12700" b="13335"/>
            <wp:docPr id="26"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84"/>
                    <pic:cNvPicPr>
                      <a:picLocks noChangeAspect="1"/>
                    </pic:cNvPicPr>
                  </pic:nvPicPr>
                  <pic:blipFill>
                    <a:blip r:embed="rId30"/>
                    <a:srcRect l="-427" r="-680" b="5524"/>
                    <a:stretch>
                      <a:fillRect/>
                    </a:stretch>
                  </pic:blipFill>
                  <pic:spPr>
                    <a:xfrm>
                      <a:off x="0" y="0"/>
                      <a:ext cx="5568950" cy="2291715"/>
                    </a:xfrm>
                    <a:prstGeom prst="rect">
                      <a:avLst/>
                    </a:prstGeom>
                    <a:noFill/>
                    <a:ln>
                      <a:noFill/>
                    </a:ln>
                  </pic:spPr>
                </pic:pic>
              </a:graphicData>
            </a:graphic>
          </wp:inline>
        </w:drawing>
      </w:r>
    </w:p>
    <w:p w14:paraId="2A219068">
      <w:pPr>
        <w:pStyle w:val="588"/>
        <w:bidi w:val="0"/>
        <w:ind w:left="0" w:leftChars="0" w:firstLine="0" w:firstLineChars="0"/>
        <w:rPr>
          <w:rFonts w:hint="default" w:ascii="Times New Roman" w:cs="Times New Roman"/>
          <w:color w:val="auto"/>
          <w:highlight w:val="none"/>
          <w:lang w:val="en-US" w:eastAsia="zh-CN" w:bidi="en-US"/>
        </w:rPr>
      </w:pPr>
      <w:r>
        <w:rPr>
          <w:rFonts w:hint="eastAsia" w:cs="Times New Roman"/>
          <w:color w:val="auto"/>
          <w:highlight w:val="none"/>
          <w:lang w:val="en-US" w:eastAsia="zh-CN" w:bidi="en-US"/>
        </w:rPr>
        <w:t>曲绣路</w:t>
      </w:r>
      <w:r>
        <w:rPr>
          <w:rFonts w:hint="eastAsia" w:ascii="Times New Roman" w:cs="Times New Roman"/>
          <w:color w:val="auto"/>
          <w:highlight w:val="none"/>
          <w:lang w:val="en-US" w:eastAsia="zh-CN" w:bidi="en-US"/>
        </w:rPr>
        <w:t>回填平面图</w:t>
      </w:r>
    </w:p>
    <w:p w14:paraId="45BE41C2">
      <w:pPr>
        <w:pStyle w:val="684"/>
        <w:ind w:firstLine="453"/>
        <w:rPr>
          <w:rFonts w:hint="default" w:ascii="Times New Roman" w:cs="Times New Roman"/>
          <w:color w:val="auto"/>
          <w:highlight w:val="none"/>
          <w:lang w:val="en-US" w:eastAsia="zh-CN" w:bidi="en-US"/>
        </w:rPr>
      </w:pPr>
      <w:r>
        <w:rPr>
          <w:rFonts w:hint="eastAsia" w:ascii="Times New Roman" w:cs="Times New Roman"/>
          <w:color w:val="auto"/>
          <w:highlight w:val="none"/>
          <w:lang w:val="en-US" w:eastAsia="zh-CN" w:bidi="en-US"/>
        </w:rPr>
        <w:t>钦州港路和曲绣路路面及其他工程不属于本项目建设内容，回填后交由钦州港新型城乡融合发展示范区（自贸新城）内淡水湾及鸡墩头土项目继续推进钦州港路和曲绣路建设。</w:t>
      </w:r>
    </w:p>
    <w:p w14:paraId="7045922C">
      <w:pPr>
        <w:numPr>
          <w:ilvl w:val="0"/>
          <w:numId w:val="28"/>
        </w:numPr>
        <w:rPr>
          <w:rFonts w:hint="default" w:ascii="Times New Roman" w:hAnsi="Times New Roman" w:cs="Times New Roman"/>
          <w:color w:val="auto"/>
          <w:highlight w:val="none"/>
          <w:lang w:val="en-US" w:eastAsia="zh-CN"/>
        </w:rPr>
      </w:pPr>
      <w:r>
        <w:rPr>
          <w:rFonts w:hint="eastAsia" w:ascii="Times New Roman" w:cs="Times New Roman"/>
          <w:color w:val="auto"/>
          <w:highlight w:val="none"/>
          <w:lang w:val="en-US" w:eastAsia="zh-CN"/>
        </w:rPr>
        <w:t>车辆冲洗平台</w:t>
      </w:r>
    </w:p>
    <w:p w14:paraId="27CA81B6">
      <w:pPr>
        <w:pStyle w:val="684"/>
        <w:ind w:firstLine="453"/>
        <w:rPr>
          <w:rFonts w:hint="default" w:ascii="Times New Roman" w:hAnsi="Times New Roman" w:cs="Times New Roman"/>
          <w:color w:val="auto"/>
          <w:highlight w:val="none"/>
          <w:lang w:val="en-US" w:eastAsia="zh-CN"/>
        </w:rPr>
      </w:pPr>
      <w:r>
        <w:rPr>
          <w:rFonts w:hint="eastAsia" w:ascii="Times New Roman" w:cs="Times New Roman"/>
          <w:color w:val="auto"/>
          <w:highlight w:val="none"/>
          <w:lang w:val="en-US" w:eastAsia="zh-CN"/>
        </w:rPr>
        <w:t>本项目位于</w:t>
      </w:r>
      <w:r>
        <w:rPr>
          <w:rFonts w:hint="eastAsia" w:ascii="Times New Roman" w:cs="Times New Roman"/>
          <w:color w:val="auto"/>
          <w:highlight w:val="none"/>
          <w:u w:val="single"/>
          <w:lang w:val="en-US" w:eastAsia="zh-CN"/>
        </w:rPr>
        <w:t>锦绣大道与钦州港路交接处（工地大门处）</w:t>
      </w:r>
      <w:r>
        <w:rPr>
          <w:rFonts w:hint="eastAsia" w:ascii="Times New Roman" w:cs="Times New Roman"/>
          <w:color w:val="auto"/>
          <w:highlight w:val="none"/>
          <w:lang w:val="en-US" w:eastAsia="zh-CN"/>
        </w:rPr>
        <w:t>设置车辆停放区和车辆冲洗平台，并配套相应临时隔油沉淀池，车辆冲洗废水经隔油沉淀池沉淀后回用于洒水降尘。</w:t>
      </w:r>
    </w:p>
    <w:p w14:paraId="50D1A182">
      <w:pPr>
        <w:numPr>
          <w:ilvl w:val="0"/>
          <w:numId w:val="28"/>
        </w:numPr>
        <w:rPr>
          <w:rFonts w:hint="default" w:ascii="Times New Roman" w:hAnsi="Times New Roman" w:cs="Times New Roman"/>
          <w:color w:val="auto"/>
          <w:highlight w:val="none"/>
          <w:lang w:val="en-US" w:eastAsia="zh-CN"/>
        </w:rPr>
      </w:pPr>
      <w:r>
        <w:rPr>
          <w:rFonts w:hint="eastAsia" w:ascii="Times New Roman" w:cs="Times New Roman"/>
          <w:color w:val="auto"/>
          <w:highlight w:val="none"/>
          <w:lang w:val="en-US" w:eastAsia="zh-CN"/>
        </w:rPr>
        <w:t>材料堆放、加工区</w:t>
      </w:r>
    </w:p>
    <w:p w14:paraId="3B949FF1">
      <w:pPr>
        <w:pStyle w:val="684"/>
        <w:ind w:firstLine="453"/>
        <w:rPr>
          <w:rFonts w:hint="default" w:ascii="Times New Roman" w:cs="Times New Roman"/>
          <w:color w:val="auto"/>
          <w:highlight w:val="none"/>
          <w:lang w:val="en-US" w:eastAsia="zh-CN"/>
        </w:rPr>
      </w:pPr>
      <w:r>
        <w:rPr>
          <w:rFonts w:hint="eastAsia" w:ascii="Times New Roman" w:cs="Times New Roman"/>
          <w:color w:val="auto"/>
          <w:highlight w:val="none"/>
          <w:u w:val="single"/>
          <w:lang w:val="en-US" w:eastAsia="zh-CN"/>
        </w:rPr>
        <w:t>本项目位于钦州港路与曲绣路交接处以南设置材料堆放和材料加工区（位于临时中转场内），占地面积1500</w:t>
      </w:r>
      <w:r>
        <w:rPr>
          <w:rFonts w:hint="default" w:ascii="Times New Roman" w:hAnsi="Times New Roman" w:eastAsia="宋体" w:cs="Times New Roman"/>
          <w:color w:val="auto"/>
          <w:highlight w:val="none"/>
          <w:u w:val="single"/>
          <w:vertAlign w:val="baseline"/>
          <w:lang w:val="en-US" w:eastAsia="zh-CN"/>
        </w:rPr>
        <w:t>m</w:t>
      </w:r>
      <w:r>
        <w:rPr>
          <w:rFonts w:hint="default" w:ascii="Times New Roman" w:hAnsi="Times New Roman" w:eastAsia="宋体" w:cs="Times New Roman"/>
          <w:color w:val="auto"/>
          <w:highlight w:val="none"/>
          <w:u w:val="single"/>
          <w:vertAlign w:val="superscript"/>
          <w:lang w:val="en-US" w:eastAsia="zh-CN"/>
        </w:rPr>
        <w:t>2</w:t>
      </w:r>
      <w:r>
        <w:rPr>
          <w:rFonts w:hint="eastAsia" w:ascii="Times New Roman" w:cs="Times New Roman"/>
          <w:color w:val="auto"/>
          <w:highlight w:val="none"/>
          <w:u w:val="single"/>
          <w:lang w:val="en-US" w:eastAsia="zh-CN"/>
        </w:rPr>
        <w:t>。场地填高需与临时道路一致高程为2.5~3m。以避免雨季期间施工区域内地块水位升高，淹没材料场。</w:t>
      </w:r>
    </w:p>
    <w:p w14:paraId="542B1495">
      <w:pPr>
        <w:numPr>
          <w:ilvl w:val="0"/>
          <w:numId w:val="28"/>
        </w:num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临时中转场</w:t>
      </w:r>
    </w:p>
    <w:p w14:paraId="79EB0164">
      <w:pPr>
        <w:pStyle w:val="684"/>
        <w:ind w:firstLine="453"/>
        <w:rPr>
          <w:rFonts w:hint="default" w:ascii="Times New Roman" w:hAnsi="Times New Roman" w:eastAsia="宋体" w:cs="Times New Roman"/>
          <w:b w:val="0"/>
          <w:bCs/>
          <w:color w:val="auto"/>
          <w:kern w:val="2"/>
          <w:sz w:val="24"/>
          <w:szCs w:val="32"/>
          <w:highlight w:val="none"/>
          <w:lang w:val="en-US" w:eastAsia="zh-CN" w:bidi="ar-SA"/>
        </w:rPr>
      </w:pPr>
      <w:r>
        <w:rPr>
          <w:rFonts w:hint="default" w:ascii="Times New Roman" w:hAnsi="Times New Roman" w:eastAsia="宋体" w:cs="Times New Roman"/>
          <w:color w:val="auto"/>
          <w:highlight w:val="none"/>
          <w:lang w:val="en-US" w:eastAsia="zh-CN"/>
        </w:rPr>
        <w:t>本项目施工过程共产生耕植土及淤泥约1.48万m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，设计单位位于钦州港路与锦绣大道交叉口处的西南侧设置</w:t>
      </w:r>
      <w:r>
        <w:rPr>
          <w:rFonts w:hint="default" w:ascii="Times New Roman" w:hAnsi="Times New Roman" w:eastAsia="宋体" w:cs="Times New Roman"/>
          <w:color w:val="auto"/>
          <w:highlight w:val="none"/>
          <w:u w:val="single"/>
          <w:lang w:val="en-US" w:eastAsia="zh-CN"/>
        </w:rPr>
        <w:t>1处面积约</w:t>
      </w:r>
      <w:r>
        <w:rPr>
          <w:rFonts w:hint="eastAsia" w:ascii="Times New Roman" w:cs="Times New Roman"/>
          <w:color w:val="auto"/>
          <w:highlight w:val="none"/>
          <w:u w:val="single"/>
          <w:lang w:val="en-US" w:eastAsia="zh-CN"/>
        </w:rPr>
        <w:t>0.85</w:t>
      </w:r>
      <w:r>
        <w:rPr>
          <w:rFonts w:hint="default" w:ascii="Times New Roman" w:hAnsi="Times New Roman" w:eastAsia="宋体" w:cs="Times New Roman"/>
          <w:color w:val="auto"/>
          <w:highlight w:val="none"/>
          <w:u w:val="single"/>
          <w:lang w:val="en-US" w:eastAsia="zh-CN"/>
        </w:rPr>
        <w:t>hm</w:t>
      </w:r>
      <w:r>
        <w:rPr>
          <w:rFonts w:hint="default" w:ascii="Times New Roman" w:hAnsi="Times New Roman" w:eastAsia="宋体" w:cs="Times New Roman"/>
          <w:color w:val="auto"/>
          <w:highlight w:val="none"/>
          <w:u w:val="single"/>
          <w:vertAlign w:val="superscript"/>
          <w:lang w:val="en-US" w:eastAsia="zh-CN"/>
        </w:rPr>
        <w:t>2</w:t>
      </w:r>
      <w:r>
        <w:rPr>
          <w:rFonts w:hint="default" w:ascii="Times New Roman" w:hAnsi="Times New Roman" w:eastAsia="宋体" w:cs="Times New Roman"/>
          <w:color w:val="auto"/>
          <w:highlight w:val="none"/>
          <w:u w:val="single"/>
          <w:lang w:val="en-US" w:eastAsia="zh-CN"/>
        </w:rPr>
        <w:t>的</w:t>
      </w:r>
      <w:r>
        <w:rPr>
          <w:rFonts w:hint="eastAsia" w:ascii="Times New Roman" w:cs="Times New Roman"/>
          <w:color w:val="auto"/>
          <w:highlight w:val="none"/>
          <w:u w:val="single"/>
          <w:lang w:val="en-US" w:eastAsia="zh-CN"/>
        </w:rPr>
        <w:t>临时中转场</w:t>
      </w:r>
      <w:r>
        <w:rPr>
          <w:rFonts w:hint="default" w:ascii="Times New Roman" w:hAnsi="Times New Roman" w:eastAsia="宋体" w:cs="Times New Roman"/>
          <w:color w:val="auto"/>
          <w:highlight w:val="none"/>
          <w:lang w:val="en-US" w:eastAsia="zh-CN"/>
        </w:rPr>
        <w:t>，</w:t>
      </w:r>
      <w:r>
        <w:rPr>
          <w:rFonts w:hint="eastAsia" w:ascii="Times New Roman" w:cs="Times New Roman"/>
          <w:color w:val="auto"/>
          <w:highlight w:val="none"/>
          <w:lang w:val="en-US" w:eastAsia="zh-CN"/>
        </w:rPr>
        <w:t>临时中转场</w:t>
      </w:r>
      <w:r>
        <w:rPr>
          <w:rFonts w:hint="default" w:ascii="Times New Roman" w:hAnsi="Times New Roman" w:eastAsia="宋体" w:cs="Times New Roman"/>
          <w:color w:val="auto"/>
          <w:highlight w:val="none"/>
          <w:lang w:val="en-US" w:eastAsia="zh-CN"/>
        </w:rPr>
        <w:t>占地类型为耕地，地势平坦，起堆高程0.6~0.8m，最大堆高4m，</w:t>
      </w:r>
      <w:r>
        <w:rPr>
          <w:rFonts w:hint="default" w:ascii="Times New Roman" w:hAnsi="Times New Roman" w:eastAsia="宋体" w:cs="Times New Roman"/>
          <w:color w:val="auto"/>
          <w:highlight w:val="none"/>
          <w:u w:val="single"/>
          <w:lang w:val="en-US" w:eastAsia="zh-CN"/>
        </w:rPr>
        <w:t>可堆土容量约</w:t>
      </w:r>
      <w:r>
        <w:rPr>
          <w:rFonts w:hint="eastAsia" w:ascii="Times New Roman" w:cs="Times New Roman"/>
          <w:color w:val="auto"/>
          <w:highlight w:val="none"/>
          <w:u w:val="single"/>
          <w:lang w:val="en-US" w:eastAsia="zh-CN"/>
        </w:rPr>
        <w:t>2.64</w:t>
      </w:r>
      <w:r>
        <w:rPr>
          <w:rFonts w:hint="default" w:ascii="Times New Roman" w:hAnsi="Times New Roman" w:eastAsia="宋体" w:cs="Times New Roman"/>
          <w:color w:val="auto"/>
          <w:highlight w:val="none"/>
          <w:u w:val="single"/>
          <w:lang w:val="en-US" w:eastAsia="zh-CN"/>
        </w:rPr>
        <w:t>万m</w:t>
      </w:r>
      <w:r>
        <w:rPr>
          <w:rFonts w:hint="default" w:ascii="Times New Roman" w:hAnsi="Times New Roman" w:eastAsia="宋体" w:cs="Times New Roman"/>
          <w:color w:val="auto"/>
          <w:highlight w:val="none"/>
          <w:u w:val="single"/>
          <w:vertAlign w:val="superscript"/>
          <w:lang w:val="en-US" w:eastAsia="zh-CN"/>
        </w:rPr>
        <w:t>3</w:t>
      </w:r>
      <w:r>
        <w:rPr>
          <w:rFonts w:hint="default" w:ascii="Times New Roman" w:hAnsi="Times New Roman" w:eastAsia="宋体" w:cs="Times New Roman"/>
          <w:color w:val="auto"/>
          <w:highlight w:val="none"/>
          <w:u w:val="single"/>
          <w:lang w:val="en-US" w:eastAsia="zh-CN"/>
        </w:rPr>
        <w:t>，</w:t>
      </w:r>
      <w:r>
        <w:rPr>
          <w:rFonts w:hint="default" w:ascii="Times New Roman" w:hAnsi="Times New Roman" w:eastAsia="宋体" w:cs="Times New Roman"/>
          <w:color w:val="auto"/>
          <w:highlight w:val="none"/>
          <w:lang w:val="en-US" w:eastAsia="zh-CN"/>
        </w:rPr>
        <w:t>可以满足</w:t>
      </w:r>
      <w:r>
        <w:rPr>
          <w:rFonts w:hint="default" w:ascii="Times New Roman" w:hAnsi="Times New Roman" w:eastAsia="宋体" w:cs="Times New Roman"/>
          <w:b w:val="0"/>
          <w:bCs/>
          <w:color w:val="auto"/>
          <w:kern w:val="2"/>
          <w:sz w:val="24"/>
          <w:szCs w:val="32"/>
          <w:highlight w:val="none"/>
          <w:lang w:val="en-US" w:eastAsia="zh-CN" w:bidi="ar-SA"/>
        </w:rPr>
        <w:t>本项目淤泥及耕植土的临时堆放要求，堆渣结束后恢复成耕地。</w:t>
      </w:r>
    </w:p>
    <w:p w14:paraId="0D0528C8">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lang w:val="en-US" w:eastAsia="zh-CN"/>
        </w:rPr>
      </w:pPr>
      <w:r>
        <w:rPr>
          <w:rFonts w:hint="default"/>
          <w:color w:val="auto"/>
          <w:highlight w:val="none"/>
          <w:lang w:val="en-US" w:eastAsia="zh-CN"/>
        </w:rPr>
        <w:t xml:space="preserve"> </w:t>
      </w:r>
      <w:r>
        <w:rPr>
          <w:rFonts w:hint="eastAsia"/>
          <w:color w:val="auto"/>
          <w:highlight w:val="none"/>
          <w:lang w:val="en-US" w:eastAsia="zh-CN"/>
        </w:rPr>
        <w:t>临时中转场</w:t>
      </w:r>
      <w:r>
        <w:rPr>
          <w:rFonts w:hint="default"/>
          <w:color w:val="auto"/>
          <w:highlight w:val="none"/>
          <w:lang w:val="en-US" w:eastAsia="zh-CN"/>
        </w:rPr>
        <w:t>设置情况</w:t>
      </w:r>
    </w:p>
    <w:tbl>
      <w:tblPr>
        <w:tblStyle w:val="8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6"/>
        <w:gridCol w:w="1981"/>
        <w:gridCol w:w="537"/>
        <w:gridCol w:w="471"/>
        <w:gridCol w:w="581"/>
        <w:gridCol w:w="941"/>
        <w:gridCol w:w="734"/>
        <w:gridCol w:w="612"/>
        <w:gridCol w:w="792"/>
        <w:gridCol w:w="812"/>
        <w:gridCol w:w="751"/>
      </w:tblGrid>
      <w:tr w14:paraId="64C5EF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616" w:type="dxa"/>
            <w:vMerge w:val="restart"/>
            <w:tcBorders>
              <w:tl2br w:val="nil"/>
              <w:tr2bl w:val="nil"/>
            </w:tcBorders>
            <w:noWrap w:val="0"/>
            <w:vAlign w:val="center"/>
          </w:tcPr>
          <w:p w14:paraId="651BDE5D">
            <w:pPr>
              <w:autoSpaceDE w:val="0"/>
              <w:autoSpaceDN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名称</w:t>
            </w:r>
          </w:p>
        </w:tc>
        <w:tc>
          <w:tcPr>
            <w:tcW w:w="1981" w:type="dxa"/>
            <w:vMerge w:val="restart"/>
            <w:tcBorders>
              <w:tl2br w:val="nil"/>
              <w:tr2bl w:val="nil"/>
            </w:tcBorders>
            <w:noWrap w:val="0"/>
            <w:vAlign w:val="center"/>
          </w:tcPr>
          <w:p w14:paraId="6EDCE850">
            <w:pPr>
              <w:autoSpaceDE w:val="0"/>
              <w:autoSpaceDN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位置</w:t>
            </w:r>
          </w:p>
        </w:tc>
        <w:tc>
          <w:tcPr>
            <w:tcW w:w="537" w:type="dxa"/>
            <w:vMerge w:val="restart"/>
            <w:tcBorders>
              <w:tl2br w:val="nil"/>
              <w:tr2bl w:val="nil"/>
            </w:tcBorders>
            <w:noWrap w:val="0"/>
            <w:vAlign w:val="center"/>
          </w:tcPr>
          <w:p w14:paraId="15F1BF58">
            <w:pPr>
              <w:autoSpaceDE w:val="0"/>
              <w:autoSpaceDN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面积</w:t>
            </w:r>
          </w:p>
          <w:p w14:paraId="3D6170C8">
            <w:pPr>
              <w:autoSpaceDE w:val="0"/>
              <w:autoSpaceDN w:val="0"/>
              <w:spacing w:line="240" w:lineRule="auto"/>
              <w:jc w:val="center"/>
              <w:rPr>
                <w:rFonts w:hint="default" w:ascii="Times New Roman" w:hAnsi="Times New Roman" w:eastAsia="宋体" w:cs="Times New Roman"/>
                <w:b/>
                <w:bCs/>
                <w:color w:val="auto"/>
                <w:sz w:val="21"/>
                <w:szCs w:val="21"/>
                <w:highlight w:val="none"/>
                <w:vertAlign w:val="superscript"/>
                <w:lang w:val="en-US" w:eastAsia="zh-CN"/>
              </w:rPr>
            </w:pPr>
            <w:r>
              <w:rPr>
                <w:rFonts w:hint="default" w:ascii="Times New Roman" w:hAnsi="Times New Roman" w:eastAsia="宋体" w:cs="Times New Roman"/>
                <w:b/>
                <w:bCs/>
                <w:color w:val="auto"/>
                <w:sz w:val="21"/>
                <w:szCs w:val="21"/>
                <w:highlight w:val="none"/>
                <w:vertAlign w:val="baseline"/>
                <w:lang w:val="en-US" w:eastAsia="zh-CN"/>
              </w:rPr>
              <w:t>hm</w:t>
            </w:r>
            <w:r>
              <w:rPr>
                <w:rFonts w:hint="default" w:ascii="Times New Roman" w:hAnsi="Times New Roman" w:eastAsia="宋体" w:cs="Times New Roman"/>
                <w:b/>
                <w:bCs/>
                <w:color w:val="auto"/>
                <w:sz w:val="21"/>
                <w:szCs w:val="21"/>
                <w:highlight w:val="none"/>
                <w:vertAlign w:val="superscript"/>
                <w:lang w:val="en-US" w:eastAsia="zh-CN"/>
              </w:rPr>
              <w:t>2</w:t>
            </w:r>
          </w:p>
        </w:tc>
        <w:tc>
          <w:tcPr>
            <w:tcW w:w="471" w:type="dxa"/>
            <w:vMerge w:val="restart"/>
            <w:tcBorders>
              <w:tl2br w:val="nil"/>
              <w:tr2bl w:val="nil"/>
            </w:tcBorders>
            <w:noWrap w:val="0"/>
            <w:vAlign w:val="center"/>
          </w:tcPr>
          <w:p w14:paraId="4551CA4F">
            <w:pPr>
              <w:autoSpaceDE w:val="0"/>
              <w:autoSpaceDN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地类</w:t>
            </w:r>
          </w:p>
        </w:tc>
        <w:tc>
          <w:tcPr>
            <w:tcW w:w="581" w:type="dxa"/>
            <w:vMerge w:val="restart"/>
            <w:tcBorders>
              <w:tl2br w:val="nil"/>
              <w:tr2bl w:val="nil"/>
            </w:tcBorders>
            <w:noWrap w:val="0"/>
            <w:vAlign w:val="center"/>
          </w:tcPr>
          <w:p w14:paraId="34E72A81">
            <w:pPr>
              <w:autoSpaceDE w:val="0"/>
              <w:autoSpaceDN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地形</w:t>
            </w:r>
          </w:p>
          <w:p w14:paraId="13FD1FED">
            <w:pPr>
              <w:autoSpaceDE w:val="0"/>
              <w:autoSpaceDN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地貌hm</w:t>
            </w:r>
            <w:r>
              <w:rPr>
                <w:rFonts w:hint="default" w:ascii="Times New Roman" w:hAnsi="Times New Roman" w:eastAsia="宋体" w:cs="Times New Roman"/>
                <w:b/>
                <w:bCs/>
                <w:color w:val="auto"/>
                <w:sz w:val="21"/>
                <w:szCs w:val="21"/>
                <w:highlight w:val="none"/>
                <w:vertAlign w:val="superscript"/>
                <w:lang w:val="en-US" w:eastAsia="zh-CN"/>
              </w:rPr>
              <w:t>2</w:t>
            </w:r>
          </w:p>
        </w:tc>
        <w:tc>
          <w:tcPr>
            <w:tcW w:w="941" w:type="dxa"/>
            <w:vMerge w:val="restart"/>
            <w:tcBorders>
              <w:tl2br w:val="nil"/>
              <w:tr2bl w:val="nil"/>
            </w:tcBorders>
            <w:noWrap w:val="0"/>
            <w:vAlign w:val="center"/>
          </w:tcPr>
          <w:p w14:paraId="4DACD395">
            <w:pPr>
              <w:autoSpaceDE w:val="0"/>
              <w:autoSpaceDN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起堆</w:t>
            </w:r>
          </w:p>
          <w:p w14:paraId="3DB5EEFC">
            <w:pPr>
              <w:autoSpaceDE w:val="0"/>
              <w:autoSpaceDN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高程m</w:t>
            </w:r>
          </w:p>
        </w:tc>
        <w:tc>
          <w:tcPr>
            <w:tcW w:w="734" w:type="dxa"/>
            <w:vMerge w:val="restart"/>
            <w:tcBorders>
              <w:tl2br w:val="nil"/>
              <w:tr2bl w:val="nil"/>
            </w:tcBorders>
            <w:noWrap w:val="0"/>
            <w:vAlign w:val="center"/>
          </w:tcPr>
          <w:p w14:paraId="4ED8B92C">
            <w:pPr>
              <w:autoSpaceDE w:val="0"/>
              <w:autoSpaceDN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最大</w:t>
            </w:r>
          </w:p>
          <w:p w14:paraId="139DF76C">
            <w:pPr>
              <w:autoSpaceDE w:val="0"/>
              <w:autoSpaceDN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渣高m</w:t>
            </w:r>
          </w:p>
        </w:tc>
        <w:tc>
          <w:tcPr>
            <w:tcW w:w="612" w:type="dxa"/>
            <w:vMerge w:val="restart"/>
            <w:tcBorders>
              <w:tl2br w:val="nil"/>
              <w:tr2bl w:val="nil"/>
            </w:tcBorders>
            <w:noWrap w:val="0"/>
            <w:vAlign w:val="center"/>
          </w:tcPr>
          <w:p w14:paraId="11A7B49B">
            <w:pPr>
              <w:autoSpaceDE w:val="0"/>
              <w:autoSpaceDN w:val="0"/>
              <w:spacing w:line="240" w:lineRule="auto"/>
              <w:jc w:val="both"/>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容量（万m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1604" w:type="dxa"/>
            <w:gridSpan w:val="2"/>
            <w:tcBorders>
              <w:tl2br w:val="nil"/>
              <w:tr2bl w:val="nil"/>
            </w:tcBorders>
            <w:noWrap w:val="0"/>
            <w:vAlign w:val="center"/>
          </w:tcPr>
          <w:p w14:paraId="32AF14E5">
            <w:pPr>
              <w:autoSpaceDE w:val="0"/>
              <w:autoSpaceDN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堆渣量</w:t>
            </w:r>
          </w:p>
        </w:tc>
        <w:tc>
          <w:tcPr>
            <w:tcW w:w="751" w:type="dxa"/>
            <w:vMerge w:val="restart"/>
            <w:tcBorders>
              <w:tl2br w:val="nil"/>
              <w:tr2bl w:val="nil"/>
            </w:tcBorders>
            <w:noWrap w:val="0"/>
            <w:vAlign w:val="center"/>
          </w:tcPr>
          <w:p w14:paraId="16FFD8EA">
            <w:pPr>
              <w:autoSpaceDE w:val="0"/>
              <w:autoSpaceDN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恢复方向</w:t>
            </w:r>
          </w:p>
        </w:tc>
      </w:tr>
      <w:tr w14:paraId="2D9953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616" w:type="dxa"/>
            <w:vMerge w:val="continue"/>
            <w:tcBorders>
              <w:tl2br w:val="nil"/>
              <w:tr2bl w:val="nil"/>
            </w:tcBorders>
            <w:noWrap w:val="0"/>
            <w:vAlign w:val="center"/>
          </w:tcPr>
          <w:p w14:paraId="453AF8AB">
            <w:pPr>
              <w:autoSpaceDE w:val="0"/>
              <w:autoSpaceDN w:val="0"/>
              <w:spacing w:line="240" w:lineRule="auto"/>
              <w:jc w:val="center"/>
              <w:rPr>
                <w:rFonts w:hint="default" w:ascii="Times New Roman" w:hAnsi="Times New Roman" w:cs="Times New Roman"/>
                <w:color w:val="auto"/>
                <w:szCs w:val="24"/>
                <w:highlight w:val="none"/>
              </w:rPr>
            </w:pPr>
          </w:p>
        </w:tc>
        <w:tc>
          <w:tcPr>
            <w:tcW w:w="1981" w:type="dxa"/>
            <w:vMerge w:val="continue"/>
            <w:tcBorders>
              <w:tl2br w:val="nil"/>
              <w:tr2bl w:val="nil"/>
            </w:tcBorders>
            <w:noWrap w:val="0"/>
            <w:vAlign w:val="center"/>
          </w:tcPr>
          <w:p w14:paraId="6CF3E79C">
            <w:pPr>
              <w:autoSpaceDE w:val="0"/>
              <w:autoSpaceDN w:val="0"/>
              <w:spacing w:line="240" w:lineRule="auto"/>
              <w:jc w:val="center"/>
              <w:rPr>
                <w:rFonts w:hint="default" w:ascii="Times New Roman" w:hAnsi="Times New Roman" w:cs="Times New Roman"/>
                <w:color w:val="auto"/>
                <w:szCs w:val="24"/>
                <w:highlight w:val="none"/>
              </w:rPr>
            </w:pPr>
          </w:p>
        </w:tc>
        <w:tc>
          <w:tcPr>
            <w:tcW w:w="537" w:type="dxa"/>
            <w:vMerge w:val="continue"/>
            <w:tcBorders>
              <w:tl2br w:val="nil"/>
              <w:tr2bl w:val="nil"/>
            </w:tcBorders>
            <w:noWrap w:val="0"/>
            <w:vAlign w:val="center"/>
          </w:tcPr>
          <w:p w14:paraId="554730FA">
            <w:pPr>
              <w:autoSpaceDE w:val="0"/>
              <w:autoSpaceDN w:val="0"/>
              <w:spacing w:line="240" w:lineRule="auto"/>
              <w:jc w:val="center"/>
              <w:rPr>
                <w:rFonts w:hint="default" w:ascii="Times New Roman" w:hAnsi="Times New Roman" w:cs="Times New Roman"/>
                <w:color w:val="auto"/>
                <w:szCs w:val="24"/>
                <w:highlight w:val="none"/>
              </w:rPr>
            </w:pPr>
          </w:p>
        </w:tc>
        <w:tc>
          <w:tcPr>
            <w:tcW w:w="471" w:type="dxa"/>
            <w:vMerge w:val="continue"/>
            <w:tcBorders>
              <w:tl2br w:val="nil"/>
              <w:tr2bl w:val="nil"/>
            </w:tcBorders>
            <w:noWrap w:val="0"/>
            <w:vAlign w:val="center"/>
          </w:tcPr>
          <w:p w14:paraId="3E954F17">
            <w:pPr>
              <w:autoSpaceDE w:val="0"/>
              <w:autoSpaceDN w:val="0"/>
              <w:spacing w:line="240" w:lineRule="auto"/>
              <w:jc w:val="center"/>
              <w:rPr>
                <w:rFonts w:hint="default" w:ascii="Times New Roman" w:hAnsi="Times New Roman" w:cs="Times New Roman"/>
                <w:color w:val="auto"/>
                <w:szCs w:val="24"/>
                <w:highlight w:val="none"/>
              </w:rPr>
            </w:pPr>
          </w:p>
        </w:tc>
        <w:tc>
          <w:tcPr>
            <w:tcW w:w="581" w:type="dxa"/>
            <w:vMerge w:val="continue"/>
            <w:tcBorders>
              <w:tl2br w:val="nil"/>
              <w:tr2bl w:val="nil"/>
            </w:tcBorders>
            <w:noWrap w:val="0"/>
            <w:vAlign w:val="center"/>
          </w:tcPr>
          <w:p w14:paraId="659AACD7">
            <w:pPr>
              <w:autoSpaceDE w:val="0"/>
              <w:autoSpaceDN w:val="0"/>
              <w:spacing w:line="240" w:lineRule="auto"/>
              <w:jc w:val="center"/>
              <w:rPr>
                <w:rFonts w:hint="default" w:ascii="Times New Roman" w:hAnsi="Times New Roman" w:cs="Times New Roman"/>
                <w:color w:val="auto"/>
                <w:szCs w:val="24"/>
                <w:highlight w:val="none"/>
              </w:rPr>
            </w:pPr>
          </w:p>
        </w:tc>
        <w:tc>
          <w:tcPr>
            <w:tcW w:w="941" w:type="dxa"/>
            <w:vMerge w:val="continue"/>
            <w:tcBorders>
              <w:tl2br w:val="nil"/>
              <w:tr2bl w:val="nil"/>
            </w:tcBorders>
            <w:noWrap w:val="0"/>
            <w:vAlign w:val="center"/>
          </w:tcPr>
          <w:p w14:paraId="605F5230">
            <w:pPr>
              <w:autoSpaceDE w:val="0"/>
              <w:autoSpaceDN w:val="0"/>
              <w:spacing w:line="240" w:lineRule="auto"/>
              <w:jc w:val="center"/>
              <w:rPr>
                <w:rFonts w:hint="default" w:ascii="Times New Roman" w:hAnsi="Times New Roman" w:cs="Times New Roman"/>
                <w:color w:val="auto"/>
                <w:szCs w:val="24"/>
                <w:highlight w:val="none"/>
              </w:rPr>
            </w:pPr>
          </w:p>
        </w:tc>
        <w:tc>
          <w:tcPr>
            <w:tcW w:w="734" w:type="dxa"/>
            <w:vMerge w:val="continue"/>
            <w:tcBorders>
              <w:tl2br w:val="nil"/>
              <w:tr2bl w:val="nil"/>
            </w:tcBorders>
            <w:noWrap w:val="0"/>
            <w:vAlign w:val="center"/>
          </w:tcPr>
          <w:p w14:paraId="05A0A1AA">
            <w:pPr>
              <w:autoSpaceDE w:val="0"/>
              <w:autoSpaceDN w:val="0"/>
              <w:spacing w:line="240" w:lineRule="auto"/>
              <w:jc w:val="center"/>
              <w:rPr>
                <w:rFonts w:hint="default" w:ascii="Times New Roman" w:hAnsi="Times New Roman" w:cs="Times New Roman"/>
                <w:color w:val="auto"/>
                <w:szCs w:val="24"/>
                <w:highlight w:val="none"/>
              </w:rPr>
            </w:pPr>
          </w:p>
        </w:tc>
        <w:tc>
          <w:tcPr>
            <w:tcW w:w="612" w:type="dxa"/>
            <w:vMerge w:val="continue"/>
            <w:tcBorders>
              <w:tl2br w:val="nil"/>
              <w:tr2bl w:val="nil"/>
            </w:tcBorders>
            <w:noWrap w:val="0"/>
            <w:vAlign w:val="center"/>
          </w:tcPr>
          <w:p w14:paraId="4DC6C903">
            <w:pPr>
              <w:autoSpaceDE w:val="0"/>
              <w:autoSpaceDN w:val="0"/>
              <w:spacing w:line="240" w:lineRule="auto"/>
              <w:jc w:val="center"/>
              <w:rPr>
                <w:rFonts w:hint="default" w:ascii="Times New Roman" w:hAnsi="Times New Roman" w:cs="Times New Roman"/>
                <w:color w:val="auto"/>
                <w:szCs w:val="24"/>
                <w:highlight w:val="none"/>
              </w:rPr>
            </w:pPr>
          </w:p>
        </w:tc>
        <w:tc>
          <w:tcPr>
            <w:tcW w:w="792" w:type="dxa"/>
            <w:tcBorders>
              <w:tl2br w:val="nil"/>
              <w:tr2bl w:val="nil"/>
            </w:tcBorders>
            <w:noWrap w:val="0"/>
            <w:vAlign w:val="center"/>
          </w:tcPr>
          <w:p w14:paraId="0EDD432B">
            <w:pPr>
              <w:autoSpaceDE w:val="0"/>
              <w:autoSpaceDN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自然方法(m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812" w:type="dxa"/>
            <w:tcBorders>
              <w:tl2br w:val="nil"/>
              <w:tr2bl w:val="nil"/>
            </w:tcBorders>
            <w:noWrap w:val="0"/>
            <w:vAlign w:val="center"/>
          </w:tcPr>
          <w:p w14:paraId="0E584059">
            <w:pPr>
              <w:tabs>
                <w:tab w:val="left" w:pos="203"/>
              </w:tabs>
              <w:autoSpaceDE w:val="0"/>
              <w:autoSpaceDN w:val="0"/>
              <w:spacing w:line="240" w:lineRule="auto"/>
              <w:jc w:val="left"/>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松方（m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751" w:type="dxa"/>
            <w:vMerge w:val="continue"/>
            <w:tcBorders>
              <w:tl2br w:val="nil"/>
              <w:tr2bl w:val="nil"/>
            </w:tcBorders>
            <w:noWrap w:val="0"/>
            <w:vAlign w:val="center"/>
          </w:tcPr>
          <w:p w14:paraId="29DEB8FF">
            <w:pPr>
              <w:autoSpaceDE w:val="0"/>
              <w:autoSpaceDN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p>
        </w:tc>
      </w:tr>
      <w:tr w14:paraId="7BDC95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6" w:type="dxa"/>
            <w:tcBorders>
              <w:tl2br w:val="nil"/>
              <w:tr2bl w:val="nil"/>
            </w:tcBorders>
            <w:noWrap w:val="0"/>
            <w:vAlign w:val="center"/>
          </w:tcPr>
          <w:p w14:paraId="5A1626BB">
            <w:pPr>
              <w:autoSpaceDE w:val="0"/>
              <w:autoSpaceDN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临时中转场</w:t>
            </w:r>
          </w:p>
        </w:tc>
        <w:tc>
          <w:tcPr>
            <w:tcW w:w="1981" w:type="dxa"/>
            <w:tcBorders>
              <w:tl2br w:val="nil"/>
              <w:tr2bl w:val="nil"/>
            </w:tcBorders>
            <w:noWrap w:val="0"/>
            <w:vAlign w:val="center"/>
          </w:tcPr>
          <w:p w14:paraId="46987AFC">
            <w:pPr>
              <w:autoSpaceDE w:val="0"/>
              <w:autoSpaceDN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E108°40′6.09661″，</w:t>
            </w:r>
          </w:p>
          <w:p w14:paraId="14BF40E6">
            <w:pPr>
              <w:autoSpaceDE w:val="0"/>
              <w:autoSpaceDN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N21°44′29.96096″</w:t>
            </w:r>
          </w:p>
        </w:tc>
        <w:tc>
          <w:tcPr>
            <w:tcW w:w="537" w:type="dxa"/>
            <w:tcBorders>
              <w:tl2br w:val="nil"/>
              <w:tr2bl w:val="nil"/>
            </w:tcBorders>
            <w:noWrap w:val="0"/>
            <w:vAlign w:val="center"/>
          </w:tcPr>
          <w:p w14:paraId="101D1C5D">
            <w:pPr>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cs="Times New Roman"/>
                <w:color w:val="auto"/>
                <w:sz w:val="21"/>
                <w:szCs w:val="21"/>
                <w:highlight w:val="none"/>
                <w:u w:val="single"/>
                <w:vertAlign w:val="baseline"/>
                <w:lang w:val="en-US" w:eastAsia="zh-CN"/>
              </w:rPr>
              <w:t>0.85</w:t>
            </w:r>
          </w:p>
        </w:tc>
        <w:tc>
          <w:tcPr>
            <w:tcW w:w="471" w:type="dxa"/>
            <w:tcBorders>
              <w:tl2br w:val="nil"/>
              <w:tr2bl w:val="nil"/>
            </w:tcBorders>
            <w:noWrap w:val="0"/>
            <w:vAlign w:val="center"/>
          </w:tcPr>
          <w:p w14:paraId="4D6B6735">
            <w:pPr>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耕地</w:t>
            </w:r>
          </w:p>
        </w:tc>
        <w:tc>
          <w:tcPr>
            <w:tcW w:w="581" w:type="dxa"/>
            <w:tcBorders>
              <w:tl2br w:val="nil"/>
              <w:tr2bl w:val="nil"/>
            </w:tcBorders>
            <w:noWrap w:val="0"/>
            <w:vAlign w:val="center"/>
          </w:tcPr>
          <w:p w14:paraId="5A53500F">
            <w:pPr>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平缓地</w:t>
            </w:r>
          </w:p>
        </w:tc>
        <w:tc>
          <w:tcPr>
            <w:tcW w:w="941" w:type="dxa"/>
            <w:tcBorders>
              <w:tl2br w:val="nil"/>
              <w:tr2bl w:val="nil"/>
            </w:tcBorders>
            <w:noWrap w:val="0"/>
            <w:vAlign w:val="center"/>
          </w:tcPr>
          <w:p w14:paraId="6592B0C1">
            <w:pPr>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0.6~0.8</w:t>
            </w:r>
          </w:p>
        </w:tc>
        <w:tc>
          <w:tcPr>
            <w:tcW w:w="734" w:type="dxa"/>
            <w:tcBorders>
              <w:tl2br w:val="nil"/>
              <w:tr2bl w:val="nil"/>
            </w:tcBorders>
            <w:noWrap w:val="0"/>
            <w:vAlign w:val="center"/>
          </w:tcPr>
          <w:p w14:paraId="4967C48A">
            <w:pPr>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w:t>
            </w:r>
          </w:p>
        </w:tc>
        <w:tc>
          <w:tcPr>
            <w:tcW w:w="612" w:type="dxa"/>
            <w:tcBorders>
              <w:tl2br w:val="nil"/>
              <w:tr2bl w:val="nil"/>
            </w:tcBorders>
            <w:noWrap w:val="0"/>
            <w:vAlign w:val="center"/>
          </w:tcPr>
          <w:p w14:paraId="68EEB455">
            <w:pPr>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cs="Times New Roman"/>
                <w:color w:val="auto"/>
                <w:sz w:val="21"/>
                <w:szCs w:val="21"/>
                <w:highlight w:val="none"/>
                <w:u w:val="single"/>
                <w:vertAlign w:val="baseline"/>
                <w:lang w:val="en-US" w:eastAsia="zh-CN"/>
              </w:rPr>
              <w:t>2.64</w:t>
            </w:r>
          </w:p>
        </w:tc>
        <w:tc>
          <w:tcPr>
            <w:tcW w:w="792" w:type="dxa"/>
            <w:tcBorders>
              <w:tl2br w:val="nil"/>
              <w:tr2bl w:val="nil"/>
            </w:tcBorders>
            <w:noWrap w:val="0"/>
            <w:vAlign w:val="center"/>
          </w:tcPr>
          <w:p w14:paraId="1A9B8F5B">
            <w:pPr>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1.48</w:t>
            </w:r>
          </w:p>
        </w:tc>
        <w:tc>
          <w:tcPr>
            <w:tcW w:w="812" w:type="dxa"/>
            <w:tcBorders>
              <w:tl2br w:val="nil"/>
              <w:tr2bl w:val="nil"/>
            </w:tcBorders>
            <w:noWrap w:val="0"/>
            <w:vAlign w:val="center"/>
          </w:tcPr>
          <w:p w14:paraId="79A149C2">
            <w:pPr>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2.00</w:t>
            </w:r>
          </w:p>
        </w:tc>
        <w:tc>
          <w:tcPr>
            <w:tcW w:w="751" w:type="dxa"/>
            <w:tcBorders>
              <w:tl2br w:val="nil"/>
              <w:tr2bl w:val="nil"/>
            </w:tcBorders>
            <w:noWrap w:val="0"/>
            <w:vAlign w:val="center"/>
          </w:tcPr>
          <w:p w14:paraId="0CD1C19F">
            <w:pPr>
              <w:spacing w:line="240" w:lineRule="auto"/>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耕地</w:t>
            </w:r>
          </w:p>
        </w:tc>
      </w:tr>
    </w:tbl>
    <w:p w14:paraId="49BE54DC">
      <w:pPr>
        <w:numPr>
          <w:ilvl w:val="0"/>
          <w:numId w:val="0"/>
        </w:numPr>
        <w:rPr>
          <w:rFonts w:hint="default" w:ascii="Times New Roman" w:hAnsi="Times New Roman" w:cs="Times New Roman"/>
          <w:color w:val="auto"/>
          <w:highlight w:val="none"/>
          <w:lang w:val="en-US" w:eastAsia="zh-CN"/>
        </w:rPr>
      </w:pP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4"/>
        <w:gridCol w:w="4414"/>
      </w:tblGrid>
      <w:tr w14:paraId="69339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7" w:hRule="atLeast"/>
        </w:trPr>
        <w:tc>
          <w:tcPr>
            <w:tcW w:w="4414" w:type="dxa"/>
            <w:noWrap w:val="0"/>
            <w:vAlign w:val="top"/>
          </w:tcPr>
          <w:p w14:paraId="349D6A1E">
            <w:pPr>
              <w:rPr>
                <w:rFonts w:hint="default" w:ascii="Times New Roman" w:hAnsi="Times New Roman" w:eastAsia="仿宋_GB2312" w:cs="Times New Roman"/>
                <w:color w:val="auto"/>
                <w:szCs w:val="24"/>
                <w:highlight w:val="none"/>
                <w:vertAlign w:val="baseline"/>
              </w:rPr>
            </w:pPr>
            <w:r>
              <w:rPr>
                <w:rFonts w:hint="default" w:ascii="Times New Roman" w:hAnsi="Times New Roman" w:eastAsia="仿宋_GB2312" w:cs="Times New Roman"/>
                <w:color w:val="auto"/>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1248410</wp:posOffset>
                      </wp:positionH>
                      <wp:positionV relativeFrom="paragraph">
                        <wp:posOffset>789305</wp:posOffset>
                      </wp:positionV>
                      <wp:extent cx="641350" cy="571500"/>
                      <wp:effectExtent l="4445" t="4445" r="20955" b="14605"/>
                      <wp:wrapNone/>
                      <wp:docPr id="3" name="任意多边形 1039"/>
                      <wp:cNvGraphicFramePr/>
                      <a:graphic xmlns:a="http://schemas.openxmlformats.org/drawingml/2006/main">
                        <a:graphicData uri="http://schemas.microsoft.com/office/word/2010/wordprocessingShape">
                          <wps:wsp>
                            <wps:cNvSpPr/>
                            <wps:spPr>
                              <a:xfrm>
                                <a:off x="0" y="0"/>
                                <a:ext cx="641350" cy="571500"/>
                              </a:xfrm>
                              <a:custGeom>
                                <a:avLst/>
                                <a:gdLst/>
                                <a:ahLst/>
                                <a:cxnLst/>
                                <a:pathLst>
                                  <a:path w="1010" h="900">
                                    <a:moveTo>
                                      <a:pt x="0" y="570"/>
                                    </a:moveTo>
                                    <a:lnTo>
                                      <a:pt x="120" y="0"/>
                                    </a:lnTo>
                                    <a:lnTo>
                                      <a:pt x="1010" y="280"/>
                                    </a:lnTo>
                                    <a:lnTo>
                                      <a:pt x="970" y="900"/>
                                    </a:lnTo>
                                    <a:lnTo>
                                      <a:pt x="0" y="570"/>
                                    </a:lnTo>
                                    <a:close/>
                                  </a:path>
                                </a:pathLst>
                              </a:custGeom>
                              <a:noFill/>
                              <a:ln w="9525" cap="flat" cmpd="sng">
                                <a:solidFill>
                                  <a:srgbClr val="FF0000"/>
                                </a:solidFill>
                                <a:prstDash val="solid"/>
                                <a:headEnd type="none" w="med" len="med"/>
                                <a:tailEnd type="none" w="med" len="med"/>
                              </a:ln>
                              <a:effectLst/>
                            </wps:spPr>
                            <wps:bodyPr vert="horz" wrap="square" anchor="t" anchorCtr="0" upright="1"/>
                          </wps:wsp>
                        </a:graphicData>
                      </a:graphic>
                    </wp:anchor>
                  </w:drawing>
                </mc:Choice>
                <mc:Fallback>
                  <w:pict>
                    <v:shape id="任意多边形 1039" o:spid="_x0000_s1026" o:spt="100" style="position:absolute;left:0pt;margin-left:98.3pt;margin-top:62.15pt;height:45pt;width:50.5pt;z-index:251661312;mso-width-relative:page;mso-height-relative:page;" filled="f" stroked="t" coordsize="1010,900" o:gfxdata="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bqNcPdMAAAALAQAADwAAAAAAAAABACAA&#10;AAAiAAAAZHJzL2Rvd25yZXYueG1sUEsBAhQAFAAAAAgAh07iQFd8TeqEAgAAVAUAAA4AAAAAAAAA&#10;AQAgAAAAIgEAAGRycy9lMm9Eb2MueG1sUEsFBgAAAAAGAAYAWQEAABgGAAAAAA==&#10;" path="m0,570l120,0,1010,280,970,900,0,570xe">
                      <v:fill on="f" focussize="0,0"/>
                      <v:stroke color="#FF0000" joinstyle="round"/>
                      <v:imagedata o:title=""/>
                      <o:lock v:ext="edit" aspectratio="f"/>
                    </v:shape>
                  </w:pict>
                </mc:Fallback>
              </mc:AlternateContent>
            </w:r>
            <w:r>
              <w:rPr>
                <w:rFonts w:hint="default" w:ascii="Times New Roman" w:hAnsi="Times New Roman" w:eastAsia="仿宋_GB2312" w:cs="Times New Roman"/>
                <w:color w:val="auto"/>
                <w:szCs w:val="24"/>
                <w:highlight w:val="none"/>
              </w:rPr>
              <w:drawing>
                <wp:anchor distT="0" distB="0" distL="114300" distR="114300" simplePos="0" relativeHeight="251659264" behindDoc="0" locked="0" layoutInCell="1" allowOverlap="1">
                  <wp:simplePos x="0" y="0"/>
                  <wp:positionH relativeFrom="column">
                    <wp:posOffset>-34290</wp:posOffset>
                  </wp:positionH>
                  <wp:positionV relativeFrom="paragraph">
                    <wp:posOffset>123825</wp:posOffset>
                  </wp:positionV>
                  <wp:extent cx="2885440" cy="2199640"/>
                  <wp:effectExtent l="0" t="0" r="10160" b="10160"/>
                  <wp:wrapNone/>
                  <wp:docPr id="1" name="图片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40"/>
                          <pic:cNvPicPr>
                            <a:picLocks noChangeAspect="1"/>
                          </pic:cNvPicPr>
                        </pic:nvPicPr>
                        <pic:blipFill>
                          <a:blip r:embed="rId39"/>
                          <a:stretch>
                            <a:fillRect/>
                          </a:stretch>
                        </pic:blipFill>
                        <pic:spPr>
                          <a:xfrm>
                            <a:off x="0" y="0"/>
                            <a:ext cx="2885440" cy="2199640"/>
                          </a:xfrm>
                          <a:prstGeom prst="rect">
                            <a:avLst/>
                          </a:prstGeom>
                          <a:noFill/>
                          <a:ln>
                            <a:noFill/>
                          </a:ln>
                        </pic:spPr>
                      </pic:pic>
                    </a:graphicData>
                  </a:graphic>
                </wp:anchor>
              </w:drawing>
            </w:r>
          </w:p>
        </w:tc>
        <w:tc>
          <w:tcPr>
            <w:tcW w:w="4414" w:type="dxa"/>
            <w:noWrap w:val="0"/>
            <w:vAlign w:val="top"/>
          </w:tcPr>
          <w:p w14:paraId="7D6CCBBE">
            <w:pPr>
              <w:rPr>
                <w:rFonts w:hint="default" w:ascii="Times New Roman" w:hAnsi="Times New Roman" w:eastAsia="仿宋_GB2312" w:cs="Times New Roman"/>
                <w:color w:val="auto"/>
                <w:szCs w:val="24"/>
                <w:highlight w:val="none"/>
                <w:vertAlign w:val="baseline"/>
              </w:rPr>
            </w:pPr>
            <w:r>
              <w:rPr>
                <w:rFonts w:hint="default" w:ascii="Times New Roman" w:hAnsi="Times New Roman" w:eastAsia="仿宋_GB2312" w:cs="Times New Roman"/>
                <w:color w:val="auto"/>
                <w:szCs w:val="24"/>
                <w:highlight w:val="none"/>
              </w:rPr>
              <w:drawing>
                <wp:anchor distT="0" distB="0" distL="114300" distR="114300" simplePos="0" relativeHeight="251660288" behindDoc="0" locked="0" layoutInCell="1" allowOverlap="1">
                  <wp:simplePos x="0" y="0"/>
                  <wp:positionH relativeFrom="column">
                    <wp:posOffset>-3810</wp:posOffset>
                  </wp:positionH>
                  <wp:positionV relativeFrom="paragraph">
                    <wp:posOffset>97790</wp:posOffset>
                  </wp:positionV>
                  <wp:extent cx="2840355" cy="2296795"/>
                  <wp:effectExtent l="0" t="0" r="17145" b="8255"/>
                  <wp:wrapNone/>
                  <wp:docPr id="2" name="图片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41"/>
                          <pic:cNvPicPr>
                            <a:picLocks noChangeAspect="1"/>
                          </pic:cNvPicPr>
                        </pic:nvPicPr>
                        <pic:blipFill>
                          <a:blip r:embed="rId40"/>
                          <a:stretch>
                            <a:fillRect/>
                          </a:stretch>
                        </pic:blipFill>
                        <pic:spPr>
                          <a:xfrm>
                            <a:off x="0" y="0"/>
                            <a:ext cx="2840355" cy="2296795"/>
                          </a:xfrm>
                          <a:prstGeom prst="rect">
                            <a:avLst/>
                          </a:prstGeom>
                          <a:noFill/>
                          <a:ln>
                            <a:noFill/>
                          </a:ln>
                        </pic:spPr>
                      </pic:pic>
                    </a:graphicData>
                  </a:graphic>
                </wp:anchor>
              </w:drawing>
            </w:r>
            <w:r>
              <w:rPr>
                <w:rFonts w:hint="default" w:ascii="Times New Roman" w:hAnsi="Times New Roman" w:eastAsia="仿宋_GB2312" w:cs="Times New Roman"/>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1094105</wp:posOffset>
                      </wp:positionH>
                      <wp:positionV relativeFrom="paragraph">
                        <wp:posOffset>745490</wp:posOffset>
                      </wp:positionV>
                      <wp:extent cx="1022350" cy="767715"/>
                      <wp:effectExtent l="4445" t="4445" r="20955" b="8890"/>
                      <wp:wrapNone/>
                      <wp:docPr id="4" name="任意多边形 1042"/>
                      <wp:cNvGraphicFramePr/>
                      <a:graphic xmlns:a="http://schemas.openxmlformats.org/drawingml/2006/main">
                        <a:graphicData uri="http://schemas.microsoft.com/office/word/2010/wordprocessingShape">
                          <wps:wsp>
                            <wps:cNvSpPr/>
                            <wps:spPr>
                              <a:xfrm>
                                <a:off x="0" y="0"/>
                                <a:ext cx="1022350" cy="767715"/>
                              </a:xfrm>
                              <a:custGeom>
                                <a:avLst/>
                                <a:gdLst/>
                                <a:ahLst/>
                                <a:cxnLst/>
                                <a:pathLst>
                                  <a:path w="1010" h="900">
                                    <a:moveTo>
                                      <a:pt x="0" y="570"/>
                                    </a:moveTo>
                                    <a:lnTo>
                                      <a:pt x="120" y="0"/>
                                    </a:lnTo>
                                    <a:lnTo>
                                      <a:pt x="1010" y="280"/>
                                    </a:lnTo>
                                    <a:lnTo>
                                      <a:pt x="970" y="900"/>
                                    </a:lnTo>
                                    <a:lnTo>
                                      <a:pt x="0" y="570"/>
                                    </a:lnTo>
                                    <a:close/>
                                  </a:path>
                                </a:pathLst>
                              </a:custGeom>
                              <a:noFill/>
                              <a:ln w="9525" cap="flat" cmpd="sng">
                                <a:solidFill>
                                  <a:srgbClr val="FF0000"/>
                                </a:solidFill>
                                <a:prstDash val="solid"/>
                                <a:headEnd type="none" w="med" len="med"/>
                                <a:tailEnd type="none" w="med" len="med"/>
                              </a:ln>
                              <a:effectLst/>
                            </wps:spPr>
                            <wps:bodyPr vert="horz" wrap="square" anchor="t" anchorCtr="0" upright="1"/>
                          </wps:wsp>
                        </a:graphicData>
                      </a:graphic>
                    </wp:anchor>
                  </w:drawing>
                </mc:Choice>
                <mc:Fallback>
                  <w:pict>
                    <v:shape id="任意多边形 1042" o:spid="_x0000_s1026" o:spt="100" style="position:absolute;left:0pt;margin-left:86.15pt;margin-top:58.7pt;height:60.45pt;width:80.5pt;z-index:251662336;mso-width-relative:page;mso-height-relative:page;" filled="f" stroked="t" coordsize="1010,900" o:gfxdata="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4WPiINQAAAALAQAADwAAAAAA&#10;AAABACAAAAAiAAAAZHJzL2Rvd25yZXYueG1sUEsBAhQAFAAAAAgAh07iQHatBBuJAgAAVQUAAA4A&#10;AAAAAAAAAQAgAAAAIwEAAGRycy9lMm9Eb2MueG1sUEsFBgAAAAAGAAYAWQEAAB4GAAAAAA==&#10;" path="m0,570l120,0,1010,280,970,900,0,570xe">
                      <v:fill on="f" focussize="0,0"/>
                      <v:stroke color="#FF0000" joinstyle="round"/>
                      <v:imagedata o:title=""/>
                      <o:lock v:ext="edit" aspectratio="f"/>
                    </v:shape>
                  </w:pict>
                </mc:Fallback>
              </mc:AlternateContent>
            </w:r>
          </w:p>
        </w:tc>
      </w:tr>
      <w:tr w14:paraId="7216C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14" w:type="dxa"/>
            <w:noWrap w:val="0"/>
            <w:vAlign w:val="top"/>
          </w:tcPr>
          <w:p w14:paraId="19D29286">
            <w:pPr>
              <w:spacing w:line="240" w:lineRule="auto"/>
              <w:jc w:val="center"/>
              <w:rPr>
                <w:rFonts w:hint="default" w:ascii="Times New Roman" w:hAnsi="Times New Roman" w:eastAsia="仿宋_GB2312" w:cs="Times New Roman"/>
                <w:color w:val="auto"/>
                <w:szCs w:val="24"/>
                <w:highlight w:val="none"/>
                <w:lang w:val="en-US" w:eastAsia="zh-CN"/>
              </w:rPr>
            </w:pPr>
            <w:r>
              <w:rPr>
                <w:rFonts w:hint="default" w:ascii="Times New Roman" w:hAnsi="Times New Roman" w:eastAsia="仿宋_GB2312" w:cs="Times New Roman"/>
                <w:color w:val="auto"/>
                <w:szCs w:val="24"/>
                <w:highlight w:val="none"/>
                <w:lang w:val="en-US" w:eastAsia="zh-CN"/>
              </w:rPr>
              <w:t>临时中转场区平面图</w:t>
            </w:r>
          </w:p>
        </w:tc>
        <w:tc>
          <w:tcPr>
            <w:tcW w:w="4414" w:type="dxa"/>
            <w:noWrap w:val="0"/>
            <w:vAlign w:val="top"/>
          </w:tcPr>
          <w:p w14:paraId="49FFA0C8">
            <w:pPr>
              <w:spacing w:line="240" w:lineRule="auto"/>
              <w:jc w:val="center"/>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lang w:val="en-US" w:eastAsia="zh-CN"/>
              </w:rPr>
              <w:t>临时中转场区卫星图</w:t>
            </w:r>
          </w:p>
        </w:tc>
      </w:tr>
    </w:tbl>
    <w:p w14:paraId="22E3735E">
      <w:pPr>
        <w:pStyle w:val="4"/>
        <w:bidi w:val="0"/>
        <w:ind w:left="678" w:leftChars="0" w:firstLine="0" w:firstLineChars="0"/>
        <w:rPr>
          <w:rFonts w:hint="default"/>
          <w:color w:val="auto"/>
          <w:highlight w:val="none"/>
        </w:rPr>
      </w:pPr>
      <w:bookmarkStart w:id="46" w:name="_Toc2586"/>
      <w:r>
        <w:rPr>
          <w:rFonts w:hint="eastAsia"/>
          <w:color w:val="auto"/>
          <w:highlight w:val="none"/>
          <w:lang w:eastAsia="zh-CN"/>
        </w:rPr>
        <w:t>施工导流和施工围堰</w:t>
      </w:r>
      <w:bookmarkEnd w:id="46"/>
    </w:p>
    <w:p w14:paraId="14C2D84A">
      <w:pPr>
        <w:pStyle w:val="5"/>
        <w:bidi w:val="0"/>
        <w:ind w:left="452" w:leftChars="0" w:firstLine="0" w:firstLineChars="0"/>
        <w:rPr>
          <w:rFonts w:hint="default"/>
          <w:color w:val="auto"/>
          <w:highlight w:val="none"/>
        </w:rPr>
      </w:pPr>
      <w:r>
        <w:rPr>
          <w:rFonts w:hint="eastAsia"/>
          <w:color w:val="auto"/>
          <w:highlight w:val="none"/>
          <w:lang w:eastAsia="zh-CN"/>
        </w:rPr>
        <w:t>导流标准及导流时间</w:t>
      </w:r>
    </w:p>
    <w:p w14:paraId="2B2137AC">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根据项目初步设计，项目导流时段选在一年枯水期的</w:t>
      </w:r>
      <w:r>
        <w:rPr>
          <w:rFonts w:hint="default" w:ascii="Times New Roman" w:hAnsi="Times New Roman" w:cs="Times New Roman"/>
          <w:color w:val="auto"/>
          <w:highlight w:val="none"/>
          <w:lang w:val="en-US" w:eastAsia="zh-CN"/>
        </w:rPr>
        <w:t>12月至次年2月，根据保护对象、失事后果、使用年限和工程规模结合《水利水电工程施工组织设计规范》（SL303-2017）划分，本项目导流建筑物级别为</w:t>
      </w:r>
      <w:r>
        <w:rPr>
          <w:rFonts w:hint="default" w:ascii="Times New Roman" w:hAnsi="Times New Roman" w:eastAsia="宋体" w:cs="Times New Roman"/>
          <w:color w:val="auto"/>
          <w:highlight w:val="none"/>
          <w:lang w:val="en-US" w:eastAsia="zh-CN"/>
        </w:rPr>
        <w:t>Ⅴ</w:t>
      </w:r>
      <w:r>
        <w:rPr>
          <w:rFonts w:hint="default" w:ascii="Times New Roman" w:hAnsi="Times New Roman" w:cs="Times New Roman"/>
          <w:color w:val="auto"/>
          <w:highlight w:val="none"/>
          <w:lang w:val="en-US" w:eastAsia="zh-CN"/>
        </w:rPr>
        <w:t>级，施工导流洪水标准为</w:t>
      </w:r>
      <w:r>
        <w:rPr>
          <w:rFonts w:hint="default" w:ascii="Times New Roman" w:hAnsi="Times New Roman" w:eastAsia="宋体" w:cs="Times New Roman"/>
          <w:color w:val="auto"/>
          <w:highlight w:val="none"/>
          <w:lang w:val="en-US" w:eastAsia="zh-CN"/>
        </w:rPr>
        <w:t>Ⅴ</w:t>
      </w:r>
      <w:r>
        <w:rPr>
          <w:rFonts w:hint="default" w:ascii="Times New Roman" w:hAnsi="Times New Roman" w:cs="Times New Roman"/>
          <w:color w:val="auto"/>
          <w:highlight w:val="none"/>
          <w:lang w:val="en-US" w:eastAsia="zh-CN"/>
        </w:rPr>
        <w:t>级</w:t>
      </w:r>
      <w:r>
        <w:rPr>
          <w:rFonts w:hint="default" w:ascii="Times New Roman" w:hAnsi="Times New Roman" w:eastAsia="宋体" w:cs="Times New Roman"/>
          <w:color w:val="auto"/>
          <w:highlight w:val="none"/>
          <w:lang w:val="en-US" w:eastAsia="zh-CN"/>
        </w:rPr>
        <w:t>建筑物的土石结构为5~3年重现期洪水，考虑到本项目工程规模较小，结构简单，且导流泄水能力较大，因此导流洪水标准取下限3年洪水重现期。</w:t>
      </w:r>
    </w:p>
    <w:p w14:paraId="23F92D1D">
      <w:pPr>
        <w:pStyle w:val="5"/>
        <w:bidi w:val="0"/>
        <w:ind w:left="452"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导流方式</w:t>
      </w:r>
    </w:p>
    <w:p w14:paraId="1279F98D">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default" w:ascii="Times New Roman" w:hAnsi="Times New Roman" w:eastAsia="宋体" w:cs="Times New Roman"/>
          <w:color w:val="auto"/>
          <w:highlight w:val="none"/>
          <w:u w:val="single"/>
          <w:lang w:val="en-US" w:eastAsia="zh-CN"/>
        </w:rPr>
      </w:pPr>
      <w:r>
        <w:rPr>
          <w:rFonts w:hint="eastAsia"/>
          <w:color w:val="auto"/>
          <w:highlight w:val="none"/>
          <w:lang w:val="en-US" w:eastAsia="zh-CN"/>
        </w:rPr>
        <w:t>淡水湾江现状为自然水系，两侧为耕地，无任何衬砌。根据项目总体布置，</w:t>
      </w:r>
      <w:r>
        <w:rPr>
          <w:rFonts w:hint="eastAsia"/>
          <w:color w:val="auto"/>
          <w:highlight w:val="none"/>
          <w:u w:val="single"/>
          <w:lang w:val="en-US" w:eastAsia="zh-CN"/>
        </w:rPr>
        <w:t>拟建水系改造段与淡水湾江存在交叠，施工采用明渠导流结合局部管涵导流。明渠导流拟从水系改造段起点4*D2200现有管涵出水口处沿和谐大街边坡底部向东进行河道引水改流，</w:t>
      </w:r>
      <w:r>
        <w:rPr>
          <w:rFonts w:hint="eastAsia"/>
          <w:color w:val="auto"/>
          <w:highlight w:val="none"/>
          <w:u w:val="single"/>
        </w:rPr>
        <w:t>在曲绣路和挡土墙起点处横向修筑导水围堰，与东侧设计土坝围堰连接</w:t>
      </w:r>
      <w:r>
        <w:rPr>
          <w:rFonts w:hint="eastAsia"/>
          <w:color w:val="auto"/>
          <w:highlight w:val="none"/>
          <w:u w:val="single"/>
          <w:lang w:eastAsia="zh-CN"/>
        </w:rPr>
        <w:t>；</w:t>
      </w:r>
      <w:r>
        <w:rPr>
          <w:rFonts w:hint="eastAsia"/>
          <w:color w:val="auto"/>
          <w:highlight w:val="none"/>
          <w:u w:val="single"/>
          <w:lang w:val="en-US" w:eastAsia="zh-CN"/>
        </w:rPr>
        <w:t>水系改造段拟对三处进行埋管导水</w:t>
      </w:r>
      <w:r>
        <w:rPr>
          <w:rFonts w:hint="eastAsia" w:ascii="Times New Roman" w:hAnsi="Times New Roman" w:eastAsia="宋体" w:cs="Times New Roman"/>
          <w:color w:val="auto"/>
          <w:highlight w:val="none"/>
          <w:u w:val="single"/>
          <w:lang w:val="en-US" w:eastAsia="zh-CN"/>
        </w:rPr>
        <w:t>，</w:t>
      </w:r>
      <w:r>
        <w:rPr>
          <w:rFonts w:hint="eastAsia" w:ascii="Times New Roman" w:cs="Times New Roman"/>
          <w:color w:val="auto"/>
          <w:highlight w:val="none"/>
          <w:u w:val="single"/>
          <w:lang w:val="en-US" w:eastAsia="zh-CN"/>
        </w:rPr>
        <w:t>埋管导水设置情况分别如下：</w:t>
      </w:r>
    </w:p>
    <w:p w14:paraId="26DA923F">
      <w:pPr>
        <w:pageBreakBefore w:val="0"/>
        <w:widowControl w:val="0"/>
        <w:numPr>
          <w:ilvl w:val="0"/>
          <w:numId w:val="29"/>
        </w:numPr>
        <w:kinsoku/>
        <w:wordWrap/>
        <w:overflowPunct/>
        <w:topLinePunct w:val="0"/>
        <w:autoSpaceDE/>
        <w:autoSpaceDN/>
        <w:bidi w:val="0"/>
        <w:adjustRightInd w:val="0"/>
        <w:snapToGrid w:val="0"/>
        <w:spacing w:line="360" w:lineRule="auto"/>
        <w:ind w:firstLine="454" w:firstLineChars="200"/>
        <w:textAlignment w:val="auto"/>
        <w:rPr>
          <w:rFonts w:hint="eastAsia"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BK0+440~BK0+480处为主河道与西侧支流交汇点，施工时需将挡土墙西侧的现河道支流用埋设导管方式进行导流，后进行路基的抛石挤淤回填施工。本处导管采用混凝土管，规格为d1000，埋管总长约100米，管路横穿曲绣路、扶壁式挡土墙身及东侧护墙土堤、挡土墙东侧</w:t>
      </w:r>
      <w:r>
        <w:rPr>
          <w:rFonts w:hint="eastAsia" w:ascii="Times New Roman" w:cs="Times New Roman"/>
          <w:color w:val="auto"/>
          <w:highlight w:val="none"/>
          <w:u w:val="single"/>
          <w:lang w:val="en-US" w:eastAsia="zh-CN"/>
        </w:rPr>
        <w:t>导水围堰（兼顾临时施工道路），</w:t>
      </w:r>
      <w:r>
        <w:rPr>
          <w:rFonts w:hint="eastAsia" w:ascii="Times New Roman" w:hAnsi="Times New Roman" w:eastAsia="宋体" w:cs="Times New Roman"/>
          <w:color w:val="auto"/>
          <w:highlight w:val="none"/>
          <w:u w:val="single"/>
          <w:lang w:val="en-US" w:eastAsia="zh-CN"/>
        </w:rPr>
        <w:t>汇入引水改道后的主河道。</w:t>
      </w:r>
    </w:p>
    <w:p w14:paraId="5EB1F4C0">
      <w:pPr>
        <w:pageBreakBefore w:val="0"/>
        <w:widowControl w:val="0"/>
        <w:numPr>
          <w:ilvl w:val="0"/>
          <w:numId w:val="29"/>
        </w:numPr>
        <w:kinsoku/>
        <w:wordWrap/>
        <w:overflowPunct/>
        <w:topLinePunct w:val="0"/>
        <w:autoSpaceDE/>
        <w:autoSpaceDN/>
        <w:bidi w:val="0"/>
        <w:adjustRightInd w:val="0"/>
        <w:snapToGrid w:val="0"/>
        <w:spacing w:line="360" w:lineRule="auto"/>
        <w:ind w:firstLine="454" w:firstLineChars="200"/>
        <w:textAlignment w:val="auto"/>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扶壁式挡土墙BK0+580~BK0+600东侧处，</w:t>
      </w:r>
      <w:r>
        <w:rPr>
          <w:rFonts w:hint="eastAsia" w:ascii="Times New Roman" w:cs="Times New Roman"/>
          <w:color w:val="auto"/>
          <w:highlight w:val="none"/>
          <w:u w:val="single"/>
          <w:lang w:val="en-US" w:eastAsia="zh-CN"/>
        </w:rPr>
        <w:t>曲绣路</w:t>
      </w:r>
      <w:r>
        <w:rPr>
          <w:rFonts w:hint="eastAsia" w:ascii="Times New Roman" w:hAnsi="Times New Roman" w:eastAsia="宋体" w:cs="Times New Roman"/>
          <w:color w:val="auto"/>
          <w:highlight w:val="none"/>
          <w:u w:val="single"/>
          <w:lang w:val="en-US" w:eastAsia="zh-CN"/>
        </w:rPr>
        <w:t>（围堰）斜穿经过现有河道，施工时需埋管行进行导流才能进行临时道路修筑。导管采用混凝土管，规格为3*d1000，埋管总长约80米。</w:t>
      </w:r>
    </w:p>
    <w:p w14:paraId="1014B3DA">
      <w:pPr>
        <w:pageBreakBefore w:val="0"/>
        <w:widowControl w:val="0"/>
        <w:numPr>
          <w:ilvl w:val="0"/>
          <w:numId w:val="29"/>
        </w:numPr>
        <w:kinsoku/>
        <w:wordWrap/>
        <w:overflowPunct/>
        <w:topLinePunct w:val="0"/>
        <w:autoSpaceDE/>
        <w:autoSpaceDN/>
        <w:bidi w:val="0"/>
        <w:adjustRightInd w:val="0"/>
        <w:snapToGrid w:val="0"/>
        <w:spacing w:line="360" w:lineRule="auto"/>
        <w:ind w:firstLine="454" w:firstLineChars="200"/>
        <w:textAlignment w:val="auto"/>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在扶壁式挡土墙BK0+600~BK0+620段施工时，需将该处河道进行截流施工。将对B段管道进行改道，新设涵管横穿挡土墙明渠出水口现状乡村道路，排入道路南侧地块</w:t>
      </w:r>
      <w:r>
        <w:rPr>
          <w:rFonts w:hint="eastAsia" w:ascii="Times New Roman" w:cs="Times New Roman"/>
          <w:color w:val="auto"/>
          <w:highlight w:val="none"/>
          <w:u w:val="single"/>
          <w:lang w:val="en-US" w:eastAsia="zh-CN"/>
        </w:rPr>
        <w:t>。</w:t>
      </w:r>
    </w:p>
    <w:p w14:paraId="28DD195A">
      <w:pPr>
        <w:pStyle w:val="5"/>
        <w:bidi w:val="0"/>
        <w:ind w:left="452" w:leftChars="0" w:firstLine="0" w:firstLineChars="0"/>
        <w:rPr>
          <w:rFonts w:hint="default"/>
          <w:color w:val="auto"/>
          <w:highlight w:val="none"/>
          <w:lang w:val="en-US" w:eastAsia="zh-CN"/>
        </w:rPr>
      </w:pPr>
      <w:r>
        <w:rPr>
          <w:rFonts w:hint="eastAsia"/>
          <w:color w:val="auto"/>
          <w:highlight w:val="none"/>
          <w:lang w:val="en-US" w:eastAsia="zh-CN"/>
        </w:rPr>
        <w:t>施工期临时围堰</w:t>
      </w:r>
    </w:p>
    <w:p w14:paraId="32BE47B6">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eastAsia"/>
          <w:color w:val="auto"/>
          <w:highlight w:val="none"/>
          <w:u w:val="single"/>
          <w:lang w:val="en-US" w:eastAsia="zh-CN"/>
        </w:rPr>
      </w:pPr>
      <w:r>
        <w:rPr>
          <w:rFonts w:hint="eastAsia"/>
          <w:color w:val="auto"/>
          <w:highlight w:val="none"/>
          <w:u w:val="single"/>
          <w:lang w:val="en-US" w:eastAsia="zh-CN"/>
        </w:rPr>
        <w:t>本项目涉水工程部分统一安排在一个枯水期完成，分时序进行，涉水段采用分段土石填筑围堰、旱地施工的方式，逐段明挖。本项目对钦州港路、曲绣路进行回填，根据项目施工方案，钦州港路、曲绣路回填后作为项目临时道路，兼顾施工围堰。</w:t>
      </w:r>
    </w:p>
    <w:p w14:paraId="6B97E19C">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eastAsia" w:ascii="Times New Roman" w:cs="Times New Roman"/>
          <w:color w:val="auto"/>
          <w:highlight w:val="none"/>
          <w:u w:val="single"/>
          <w:lang w:val="en-US" w:eastAsia="zh-CN"/>
        </w:rPr>
      </w:pPr>
      <w:r>
        <w:rPr>
          <w:rFonts w:hint="eastAsia" w:ascii="Times New Roman" w:cs="Times New Roman"/>
          <w:color w:val="auto"/>
          <w:highlight w:val="none"/>
          <w:u w:val="single"/>
          <w:lang w:val="en-US" w:eastAsia="zh-CN"/>
        </w:rPr>
        <w:t>钦州港路排水工程段起点为淤泥滩涂围堰采用抛石挤淤进行施工，区域换填开挖至第③层强风化岩层后用土石方分层碾压回填，平均开挖深度为2.36m，围堰回填高程为2.5~3m，围堰宽度为8m，按1:2进行放坡修筑。</w:t>
      </w:r>
    </w:p>
    <w:p w14:paraId="5CA12938">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default" w:ascii="Times New Roman" w:cs="Times New Roman"/>
          <w:color w:val="auto"/>
          <w:highlight w:val="none"/>
          <w:u w:val="single"/>
          <w:lang w:val="en-US" w:eastAsia="zh-CN"/>
        </w:rPr>
      </w:pPr>
      <w:r>
        <w:rPr>
          <w:rFonts w:hint="eastAsia" w:ascii="Times New Roman" w:cs="Times New Roman"/>
          <w:color w:val="auto"/>
          <w:highlight w:val="none"/>
          <w:u w:val="single"/>
          <w:lang w:val="en-US" w:eastAsia="zh-CN"/>
        </w:rPr>
        <w:t>水系改造段施工分别位于挡土墙起点及挡土墙东、西两侧设置施工围堰。西侧围堰衔接钦州港路段围堰，形成T字交叉路口，西侧围堰向北</w:t>
      </w:r>
      <w:r>
        <w:rPr>
          <w:rFonts w:hint="eastAsia"/>
          <w:color w:val="auto"/>
          <w:highlight w:val="none"/>
          <w:u w:val="single"/>
        </w:rPr>
        <w:t>延伸到非标检查井及扶壁式挡土墙的西侧起点处</w:t>
      </w:r>
      <w:r>
        <w:rPr>
          <w:rFonts w:hint="eastAsia"/>
          <w:color w:val="auto"/>
          <w:highlight w:val="none"/>
          <w:u w:val="single"/>
          <w:lang w:eastAsia="zh-CN"/>
        </w:rPr>
        <w:t>，</w:t>
      </w:r>
      <w:r>
        <w:rPr>
          <w:rFonts w:hint="eastAsia"/>
          <w:color w:val="auto"/>
          <w:highlight w:val="none"/>
          <w:u w:val="single"/>
        </w:rPr>
        <w:t>向南延伸至挡土墙出水口处，沿现有河道拐弯处和第三小学的围墙之间的坡地修建</w:t>
      </w:r>
      <w:r>
        <w:rPr>
          <w:rFonts w:hint="eastAsia"/>
          <w:color w:val="auto"/>
          <w:highlight w:val="none"/>
          <w:u w:val="single"/>
          <w:lang w:eastAsia="zh-CN"/>
        </w:rPr>
        <w:t>围堰（兼顾临时施工道路），</w:t>
      </w:r>
      <w:r>
        <w:rPr>
          <w:rFonts w:hint="eastAsia"/>
          <w:color w:val="auto"/>
          <w:highlight w:val="none"/>
          <w:u w:val="single"/>
        </w:rPr>
        <w:t>单向行车出口与现有道路衔接</w:t>
      </w:r>
      <w:r>
        <w:rPr>
          <w:rFonts w:hint="eastAsia"/>
          <w:color w:val="auto"/>
          <w:highlight w:val="none"/>
          <w:u w:val="single"/>
          <w:lang w:eastAsia="zh-CN"/>
        </w:rPr>
        <w:t>，设置西侧围堰宽度为6米，按1:2进行放坡修筑</w:t>
      </w:r>
      <w:r>
        <w:rPr>
          <w:rFonts w:hint="eastAsia"/>
          <w:color w:val="auto"/>
          <w:highlight w:val="none"/>
          <w:u w:val="single"/>
        </w:rPr>
        <w:t>。</w:t>
      </w:r>
      <w:r>
        <w:rPr>
          <w:rFonts w:hint="eastAsia" w:ascii="Times New Roman" w:cs="Times New Roman"/>
          <w:color w:val="auto"/>
          <w:highlight w:val="none"/>
          <w:u w:val="single"/>
          <w:lang w:val="en-US" w:eastAsia="zh-CN"/>
        </w:rPr>
        <w:t>在曲绣路和挡土墙起点处横向修筑导水围堰。东侧施工围堰与扶壁式挡土墙东侧设计土坝平行设置，起点与扶壁式挡土墙起点处设置的导流围堰衔接，终点与扶壁式挡土墙出水口处的现状道路衔接，设置东侧围堰宽度12m，按1:2进行放坡分层回填压实。</w:t>
      </w:r>
    </w:p>
    <w:p w14:paraId="42A91A2E">
      <w:pPr>
        <w:pStyle w:val="4"/>
        <w:bidi w:val="0"/>
        <w:ind w:left="678" w:leftChars="0" w:firstLine="0" w:firstLineChars="0"/>
        <w:rPr>
          <w:rFonts w:hint="default"/>
          <w:color w:val="auto"/>
          <w:highlight w:val="none"/>
        </w:rPr>
      </w:pPr>
      <w:bookmarkStart w:id="47" w:name="_Toc14684"/>
      <w:r>
        <w:rPr>
          <w:rFonts w:hint="default"/>
          <w:color w:val="auto"/>
          <w:highlight w:val="none"/>
        </w:rPr>
        <w:t>清淤工程及淤泥干化工艺</w:t>
      </w:r>
    </w:p>
    <w:p w14:paraId="630D112B">
      <w:pPr>
        <w:pageBreakBefore w:val="0"/>
        <w:kinsoku/>
        <w:wordWrap/>
        <w:overflowPunct/>
        <w:topLinePunct w:val="0"/>
        <w:autoSpaceDE w:val="0"/>
        <w:autoSpaceDN w:val="0"/>
        <w:bidi w:val="0"/>
        <w:adjustRightInd w:val="0"/>
        <w:snapToGrid w:val="0"/>
        <w:spacing w:line="360" w:lineRule="auto"/>
        <w:ind w:left="0" w:firstLine="454" w:firstLineChars="200"/>
        <w:textAlignment w:val="auto"/>
        <w:rPr>
          <w:rFonts w:hint="default" w:ascii="Times New Roman" w:hAnsi="Times New Roman" w:eastAsia="宋体" w:cs="Times New Roman"/>
          <w:color w:val="auto"/>
          <w:sz w:val="24"/>
          <w:szCs w:val="24"/>
          <w:highlight w:val="none"/>
          <w:u w:val="single"/>
          <w:lang w:val="en-US" w:eastAsia="zh-CN"/>
        </w:rPr>
      </w:pPr>
      <w:r>
        <w:rPr>
          <w:rFonts w:hint="eastAsia" w:ascii="Times New Roman" w:cs="Times New Roman"/>
          <w:color w:val="auto"/>
          <w:sz w:val="24"/>
          <w:szCs w:val="24"/>
          <w:highlight w:val="none"/>
          <w:u w:val="single"/>
          <w:lang w:val="en-US" w:eastAsia="zh-CN"/>
        </w:rPr>
        <w:t>项目施工采用干式清淤法，钦州港内排水段、水系改造段施工前设置土石围堰，进行施工导流。施工前对施工面进行晾晒几日，</w:t>
      </w:r>
      <w:r>
        <w:rPr>
          <w:rFonts w:hint="default" w:ascii="Times New Roman" w:hAnsi="Times New Roman" w:eastAsia="宋体" w:cs="Times New Roman"/>
          <w:color w:val="auto"/>
          <w:kern w:val="2"/>
          <w:sz w:val="24"/>
          <w:szCs w:val="24"/>
          <w:highlight w:val="none"/>
          <w:u w:val="single"/>
          <w:lang w:val="zh-CN" w:eastAsia="zh-CN" w:bidi="ar-SA"/>
        </w:rPr>
        <w:t>保证淤泥相对干燥，再利用挖掘机进行开挖</w:t>
      </w:r>
      <w:r>
        <w:rPr>
          <w:rFonts w:hint="eastAsia" w:ascii="Times New Roman" w:hAnsi="Times New Roman" w:eastAsia="宋体" w:cs="Times New Roman"/>
          <w:color w:val="auto"/>
          <w:kern w:val="2"/>
          <w:sz w:val="24"/>
          <w:szCs w:val="24"/>
          <w:highlight w:val="none"/>
          <w:u w:val="single"/>
          <w:lang w:val="zh-CN" w:eastAsia="zh-CN" w:bidi="ar-SA"/>
        </w:rPr>
        <w:t>。</w:t>
      </w:r>
      <w:r>
        <w:rPr>
          <w:rFonts w:hint="eastAsia" w:ascii="Times New Roman" w:cs="Times New Roman"/>
          <w:color w:val="auto"/>
          <w:sz w:val="24"/>
          <w:szCs w:val="24"/>
          <w:highlight w:val="none"/>
          <w:u w:val="single"/>
          <w:lang w:val="en-US" w:eastAsia="zh-CN"/>
        </w:rPr>
        <w:t>施工区内清淤换填</w:t>
      </w:r>
      <w:r>
        <w:rPr>
          <w:rFonts w:hint="eastAsia" w:ascii="Times New Roman" w:hAnsi="Times New Roman" w:eastAsia="宋体" w:cs="Times New Roman"/>
          <w:b w:val="0"/>
          <w:bCs w:val="0"/>
          <w:color w:val="auto"/>
          <w:sz w:val="24"/>
          <w:szCs w:val="24"/>
          <w:highlight w:val="none"/>
          <w:u w:val="single"/>
          <w:lang w:val="en-US" w:eastAsia="zh-CN"/>
        </w:rPr>
        <w:t>、挡墙基础开挖采用</w:t>
      </w:r>
      <w:r>
        <w:rPr>
          <w:rFonts w:hint="default" w:ascii="Times New Roman" w:hAnsi="Times New Roman" w:eastAsia="宋体" w:cs="Times New Roman"/>
          <w:b w:val="0"/>
          <w:bCs w:val="0"/>
          <w:color w:val="auto"/>
          <w:sz w:val="24"/>
          <w:szCs w:val="24"/>
          <w:highlight w:val="none"/>
          <w:u w:val="single"/>
          <w:lang w:val="en-US" w:eastAsia="zh-CN"/>
        </w:rPr>
        <w:t>1m</w:t>
      </w:r>
      <w:r>
        <w:rPr>
          <w:rFonts w:hint="default" w:ascii="Times New Roman" w:hAnsi="Times New Roman" w:eastAsia="宋体" w:cs="Times New Roman"/>
          <w:b w:val="0"/>
          <w:bCs w:val="0"/>
          <w:color w:val="auto"/>
          <w:sz w:val="24"/>
          <w:szCs w:val="24"/>
          <w:highlight w:val="none"/>
          <w:u w:val="single"/>
          <w:vertAlign w:val="superscript"/>
          <w:lang w:val="en-US" w:eastAsia="zh-CN"/>
        </w:rPr>
        <w:t>3</w:t>
      </w:r>
      <w:r>
        <w:rPr>
          <w:rFonts w:hint="eastAsia" w:ascii="Times New Roman" w:hAnsi="Times New Roman" w:eastAsia="宋体" w:cs="Times New Roman"/>
          <w:b w:val="0"/>
          <w:bCs w:val="0"/>
          <w:color w:val="auto"/>
          <w:sz w:val="24"/>
          <w:szCs w:val="24"/>
          <w:highlight w:val="none"/>
          <w:u w:val="single"/>
          <w:lang w:val="en-US" w:eastAsia="zh-CN"/>
        </w:rPr>
        <w:t>挖掘机挖装、</w:t>
      </w:r>
      <w:r>
        <w:rPr>
          <w:rFonts w:hint="default" w:ascii="Times New Roman" w:hAnsi="Times New Roman" w:eastAsia="宋体" w:cs="Times New Roman"/>
          <w:b w:val="0"/>
          <w:bCs w:val="0"/>
          <w:color w:val="auto"/>
          <w:sz w:val="24"/>
          <w:szCs w:val="24"/>
          <w:highlight w:val="none"/>
          <w:u w:val="single"/>
          <w:lang w:val="en-US" w:eastAsia="zh-CN"/>
        </w:rPr>
        <w:t>8t</w:t>
      </w:r>
      <w:r>
        <w:rPr>
          <w:rFonts w:hint="eastAsia" w:ascii="Times New Roman" w:hAnsi="Times New Roman" w:eastAsia="宋体" w:cs="Times New Roman"/>
          <w:b w:val="0"/>
          <w:bCs w:val="0"/>
          <w:color w:val="auto"/>
          <w:sz w:val="24"/>
          <w:szCs w:val="24"/>
          <w:highlight w:val="none"/>
          <w:u w:val="single"/>
          <w:lang w:val="en-US" w:eastAsia="zh-CN"/>
        </w:rPr>
        <w:t>自卸汽车运输出渣，基础开挖时，需对基础进行开挖整平，对已崩塌的岸坡需清除已塌松散土方，再按设计高程遵循自上而下的原则开挖，禁止从岸坡坡脚或中部开挖，禁止出现超挖现象，开挖时可利用开挖料部分就近堆放，用于回填、围堰用土，其余淤泥采用自卸汽车运至临时中转场内晾晒。土方填筑采用开挖料，小型汽车或手推车运输入仓、人工摊平，人工配合蛙式打夯机分层填筑、夯实。</w:t>
      </w:r>
      <w:r>
        <w:rPr>
          <w:rFonts w:hint="default" w:ascii="Times New Roman" w:hAnsi="Times New Roman" w:eastAsia="宋体" w:cs="Times New Roman"/>
          <w:color w:val="auto"/>
          <w:sz w:val="24"/>
          <w:szCs w:val="24"/>
          <w:highlight w:val="none"/>
          <w:u w:val="single"/>
          <w:lang w:val="en-US" w:eastAsia="zh-CN"/>
        </w:rPr>
        <w:t>填土路基应选取工程性质良好的土料，按有关规范进行分层碾压夯实至设计标高，避免路基不均匀沉降。</w:t>
      </w:r>
    </w:p>
    <w:p w14:paraId="420BDBEB">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eastAsia" w:ascii="Times New Roman" w:cs="Times New Roman"/>
          <w:color w:val="auto"/>
          <w:sz w:val="24"/>
          <w:szCs w:val="24"/>
          <w:highlight w:val="none"/>
          <w:u w:val="single"/>
          <w:lang w:val="en-US" w:eastAsia="zh-CN"/>
        </w:rPr>
      </w:pPr>
      <w:r>
        <w:rPr>
          <w:rFonts w:hint="eastAsia" w:ascii="Times New Roman" w:cs="Times New Roman"/>
          <w:color w:val="auto"/>
          <w:sz w:val="24"/>
          <w:szCs w:val="24"/>
          <w:highlight w:val="none"/>
          <w:u w:val="single"/>
          <w:lang w:val="en-US" w:eastAsia="zh-CN"/>
        </w:rPr>
        <w:t>结合项目实际建设内容和淤泥产生量，本项目淤泥干化采用自然干化处理工艺，即将淤泥通过运输设备输送至临时中转场，在自然状态下泥水分离，通过在临时干化场四周设置截排水沟，将上清液排入余水沉淀池，剩余的底泥颗粒沉积在堆场中。自然干化主要通过日照蒸发、风干等途径完成，主要优点为成本低，缺点为干化期所需时间较长，而且受气候影响很大，如遇降水等天气因素影响,尤其是对于细颗粒为主要成份的粉质粘土，将会大大延长其干化周期，从而长期占用干化堆场，造成土地资源的闲置浪费，并且会带来一定的安全隐患。</w:t>
      </w:r>
    </w:p>
    <w:p w14:paraId="727A5F60">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default" w:ascii="Times New Roman" w:cs="Times New Roman"/>
          <w:color w:val="auto"/>
          <w:sz w:val="24"/>
          <w:szCs w:val="24"/>
          <w:highlight w:val="none"/>
          <w:lang w:val="en-US" w:eastAsia="zh-CN"/>
        </w:rPr>
      </w:pPr>
      <w:r>
        <w:rPr>
          <w:rFonts w:hint="eastAsia" w:ascii="Times New Roman" w:cs="Times New Roman"/>
          <w:color w:val="auto"/>
          <w:sz w:val="24"/>
          <w:szCs w:val="24"/>
          <w:highlight w:val="none"/>
          <w:u w:val="single"/>
          <w:lang w:val="en-US" w:eastAsia="zh-CN"/>
        </w:rPr>
        <w:t>由于项目开挖淤泥量较少（开挖回填淤泥量为0.89</w:t>
      </w:r>
      <w:r>
        <w:rPr>
          <w:rFonts w:hint="default" w:ascii="Times New Roman" w:hAnsi="Times New Roman" w:eastAsia="宋体" w:cs="Times New Roman"/>
          <w:b w:val="0"/>
          <w:bCs/>
          <w:color w:val="auto"/>
          <w:kern w:val="2"/>
          <w:sz w:val="24"/>
          <w:szCs w:val="32"/>
          <w:highlight w:val="none"/>
          <w:u w:val="single"/>
          <w:lang w:val="en-US" w:eastAsia="zh-CN" w:bidi="ar-SA"/>
        </w:rPr>
        <w:t>万m</w:t>
      </w:r>
      <w:r>
        <w:rPr>
          <w:rFonts w:hint="default" w:ascii="Times New Roman" w:hAnsi="Times New Roman" w:eastAsia="宋体" w:cs="Times New Roman"/>
          <w:b w:val="0"/>
          <w:bCs/>
          <w:color w:val="auto"/>
          <w:kern w:val="2"/>
          <w:sz w:val="24"/>
          <w:szCs w:val="32"/>
          <w:highlight w:val="none"/>
          <w:u w:val="single"/>
          <w:vertAlign w:val="superscript"/>
          <w:lang w:val="en-US" w:eastAsia="zh-CN" w:bidi="ar-SA"/>
        </w:rPr>
        <w:t>3</w:t>
      </w:r>
      <w:r>
        <w:rPr>
          <w:rFonts w:hint="eastAsia" w:ascii="Times New Roman" w:cs="Times New Roman"/>
          <w:color w:val="auto"/>
          <w:sz w:val="24"/>
          <w:szCs w:val="24"/>
          <w:highlight w:val="none"/>
          <w:u w:val="single"/>
          <w:lang w:val="en-US" w:eastAsia="zh-CN"/>
        </w:rPr>
        <w:t>），且淤泥干化后直接回用于工程区内的钦州港路、曲秀路回填区绿化覆土，淤泥运输距离短，处理淤泥适应性较好，因此采用自然干化工艺。</w:t>
      </w:r>
    </w:p>
    <w:p w14:paraId="5281C9CF">
      <w:pPr>
        <w:rPr>
          <w:rFonts w:hint="default"/>
          <w:color w:val="auto"/>
          <w:highlight w:val="none"/>
        </w:rPr>
      </w:pPr>
    </w:p>
    <w:p w14:paraId="66764D25">
      <w:pPr>
        <w:pStyle w:val="4"/>
        <w:bidi w:val="0"/>
        <w:ind w:left="678" w:leftChars="0" w:firstLine="0" w:firstLineChars="0"/>
        <w:rPr>
          <w:rFonts w:hint="default"/>
          <w:color w:val="auto"/>
          <w:highlight w:val="none"/>
        </w:rPr>
      </w:pPr>
      <w:r>
        <w:rPr>
          <w:rFonts w:hint="default"/>
          <w:color w:val="auto"/>
          <w:highlight w:val="none"/>
          <w:lang w:eastAsia="zh-CN"/>
        </w:rPr>
        <w:t>主体工程施工</w:t>
      </w:r>
      <w:r>
        <w:rPr>
          <w:rFonts w:hint="eastAsia"/>
          <w:color w:val="auto"/>
          <w:highlight w:val="none"/>
          <w:lang w:eastAsia="zh-CN"/>
        </w:rPr>
        <w:t>方案</w:t>
      </w:r>
      <w:bookmarkEnd w:id="47"/>
    </w:p>
    <w:p w14:paraId="30976AF6">
      <w:pPr>
        <w:pStyle w:val="5"/>
        <w:bidi w:val="0"/>
        <w:ind w:left="452" w:leftChars="0" w:firstLine="0" w:firstLineChars="0"/>
        <w:rPr>
          <w:rFonts w:hint="default"/>
          <w:color w:val="auto"/>
          <w:highlight w:val="none"/>
        </w:rPr>
      </w:pPr>
      <w:r>
        <w:rPr>
          <w:rFonts w:hint="default"/>
          <w:color w:val="auto"/>
          <w:highlight w:val="none"/>
          <w:lang w:val="en-US" w:eastAsia="zh-CN"/>
        </w:rPr>
        <w:t>回填工程</w:t>
      </w:r>
    </w:p>
    <w:p w14:paraId="08273C8F">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本项目对</w:t>
      </w:r>
      <w:r>
        <w:rPr>
          <w:rFonts w:hint="eastAsia" w:ascii="Times New Roman" w:cs="Times New Roman"/>
          <w:color w:val="auto"/>
          <w:sz w:val="24"/>
          <w:szCs w:val="24"/>
          <w:highlight w:val="none"/>
          <w:lang w:val="en-US" w:eastAsia="zh-CN"/>
        </w:rPr>
        <w:t>曲绣路</w:t>
      </w:r>
      <w:r>
        <w:rPr>
          <w:rFonts w:hint="default" w:ascii="Times New Roman" w:hAnsi="Times New Roman" w:eastAsia="宋体" w:cs="Times New Roman"/>
          <w:color w:val="auto"/>
          <w:sz w:val="24"/>
          <w:szCs w:val="24"/>
          <w:highlight w:val="none"/>
          <w:lang w:val="en-US" w:eastAsia="zh-CN"/>
        </w:rPr>
        <w:t>与</w:t>
      </w:r>
      <w:r>
        <w:rPr>
          <w:rFonts w:hint="eastAsia" w:ascii="Times New Roman" w:cs="Times New Roman"/>
          <w:color w:val="auto"/>
          <w:sz w:val="24"/>
          <w:szCs w:val="24"/>
          <w:highlight w:val="none"/>
          <w:lang w:val="en-US" w:eastAsia="zh-CN"/>
        </w:rPr>
        <w:t>钦州港路</w:t>
      </w:r>
      <w:r>
        <w:rPr>
          <w:rFonts w:hint="default" w:ascii="Times New Roman" w:hAnsi="Times New Roman" w:eastAsia="宋体" w:cs="Times New Roman"/>
          <w:color w:val="auto"/>
          <w:sz w:val="24"/>
          <w:szCs w:val="24"/>
          <w:highlight w:val="none"/>
          <w:lang w:val="en-US" w:eastAsia="zh-CN"/>
        </w:rPr>
        <w:t>进行土方回填，填方路基采用逐层填筑，分层压实的方法施工。施工工序为：排除地表水-清除表层淤泥、杂草-平地机、推土机整平—压路机压实—路基填筑。填筑土时适当加大宽度和高度，分层填土、压实，多余部分利用平地机或其他方法铲除修整。填方边坡地段，严格控制填土速度，当沉降量中心处大于3cm，路基边缘处大于1.5cm时，放缓填土速度或停止施工，等稳定后再施工。填筑路堤采用水平分层填筑法，原地形不平应由低处分层填起，分层碾压厚度不大于30cm</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在挖填接触处设纵向土质台阶，并铺设土工隔栅。路基填料除选用透水性材料外，其强度应符合要求。在填方作业段交接处，不在同一时间填筑，则先填地段应按1：1.5的边坡分层填筑，如同时填筑则应分层交叠衔接，长度不小于2m。填筑过程中每层完成以路基中心为界形成4%横坡以便排水。</w:t>
      </w:r>
    </w:p>
    <w:p w14:paraId="1062C42D">
      <w:pPr>
        <w:pStyle w:val="5"/>
        <w:bidi w:val="0"/>
        <w:ind w:left="452" w:leftChars="0" w:firstLine="0" w:firstLineChars="0"/>
        <w:rPr>
          <w:rFonts w:hint="default"/>
          <w:color w:val="auto"/>
          <w:highlight w:val="none"/>
        </w:rPr>
      </w:pPr>
      <w:r>
        <w:rPr>
          <w:rFonts w:hint="default"/>
          <w:color w:val="auto"/>
          <w:highlight w:val="none"/>
          <w:lang w:val="en-US" w:eastAsia="zh-CN"/>
        </w:rPr>
        <w:t>排水管</w:t>
      </w:r>
      <w:r>
        <w:rPr>
          <w:rFonts w:hint="default"/>
          <w:color w:val="auto"/>
          <w:highlight w:val="none"/>
          <w:lang w:eastAsia="zh-CN"/>
        </w:rPr>
        <w:t>工程</w:t>
      </w:r>
    </w:p>
    <w:p w14:paraId="43810ABE">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排水管工程施工最主要施工环节为管槽施工，管槽施工先进行测量放样，用灰线洒出沟槽开挖边线，并每隔20m设控制桩；表层土、不能用于回填的土用挖掘机或装载机装自卸车运输到甲方指定的弃料场，回填土堆放于沟槽外侧。</w:t>
      </w:r>
    </w:p>
    <w:p w14:paraId="3C577FED">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清理场地→测量放线→第一层降土→设置换坡平台→沟槽开挖至沟槽底→挖排水沟降水→管道基础→管道安装→管道回填→压实达到设计及规范要求。</w:t>
      </w:r>
    </w:p>
    <w:p w14:paraId="08EE122A">
      <w:pPr>
        <w:pStyle w:val="913"/>
        <w:numPr>
          <w:ilvl w:val="0"/>
          <w:numId w:val="0"/>
        </w:numPr>
        <w:spacing w:line="360" w:lineRule="auto"/>
        <w:ind w:firstLine="454" w:firstLineChars="200"/>
        <w:rPr>
          <w:rFonts w:hint="default" w:ascii="Times New Roman" w:hAnsi="Times New Roman" w:eastAsia="宋体" w:cs="Times New Roman"/>
          <w:b w:val="0"/>
          <w:bCs/>
          <w:color w:val="auto"/>
          <w:sz w:val="24"/>
          <w:szCs w:val="24"/>
          <w:highlight w:val="none"/>
          <w:u w:val="single"/>
          <w:lang w:val="en-US" w:eastAsia="zh-CN"/>
        </w:rPr>
      </w:pPr>
      <w:r>
        <w:rPr>
          <w:rFonts w:hint="eastAsia" w:ascii="Times New Roman" w:hAnsi="Times New Roman" w:eastAsia="宋体" w:cs="Times New Roman"/>
          <w:b w:val="0"/>
          <w:bCs/>
          <w:color w:val="auto"/>
          <w:sz w:val="24"/>
          <w:szCs w:val="24"/>
          <w:highlight w:val="none"/>
          <w:u w:val="single"/>
          <w:lang w:val="en-US" w:eastAsia="zh-CN"/>
        </w:rPr>
        <w:t>施工前</w:t>
      </w:r>
      <w:r>
        <w:rPr>
          <w:rFonts w:hint="default" w:ascii="Times New Roman" w:hAnsi="Times New Roman" w:eastAsia="宋体" w:cs="Times New Roman"/>
          <w:b w:val="0"/>
          <w:bCs/>
          <w:color w:val="auto"/>
          <w:sz w:val="24"/>
          <w:szCs w:val="24"/>
          <w:highlight w:val="none"/>
          <w:u w:val="single"/>
          <w:lang w:val="en-US" w:eastAsia="zh-CN"/>
        </w:rPr>
        <w:t>做好施工准备，对施工用地范围内进行场地清理，场地平整，做好施工布置。管道开挖前，首先测放出管道中心线，按不同管径的沟槽宽度用白灰洒出沟槽边线，使管道的线型控制在质量标准范围内。沟槽开挖采用机械开挖和人工开挖的方式，开挖机械选用液压反铲，为确保沟底土层不被扰动，槽底标高以上10cm的底层土应用人工挖除、修整槽底，边挖边修并立即进行基础施工。槽边单向堆土高度不得大于1.5m，离沟槽边的距离不得小于1.2m，挖掘机和吊车一般离沟槽边不得小于0.8m。当开挖接近槽底高程时，随时复核槽底标高，并钉设标桩。管道安装完成后利用两侧堆土进行填埋，压实。</w:t>
      </w:r>
    </w:p>
    <w:p w14:paraId="30F299E1">
      <w:pPr>
        <w:pStyle w:val="5"/>
        <w:bidi w:val="0"/>
        <w:ind w:left="452" w:leftChars="0" w:firstLine="0" w:firstLineChars="0"/>
        <w:rPr>
          <w:rFonts w:hint="default"/>
          <w:color w:val="auto"/>
          <w:highlight w:val="none"/>
        </w:rPr>
      </w:pPr>
      <w:r>
        <w:rPr>
          <w:rFonts w:hint="default"/>
          <w:color w:val="auto"/>
          <w:highlight w:val="none"/>
          <w:lang w:val="en-US" w:eastAsia="zh-CN"/>
        </w:rPr>
        <w:t>箱涵</w:t>
      </w:r>
      <w:r>
        <w:rPr>
          <w:rFonts w:hint="default"/>
          <w:color w:val="auto"/>
          <w:highlight w:val="none"/>
          <w:lang w:eastAsia="zh-CN"/>
        </w:rPr>
        <w:t>工程</w:t>
      </w:r>
    </w:p>
    <w:p w14:paraId="23F4C7AB">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cs="Times New Roman"/>
          <w:color w:val="auto"/>
          <w:sz w:val="24"/>
          <w:szCs w:val="24"/>
          <w:highlight w:val="none"/>
          <w:lang w:val="en-US" w:eastAsia="zh-CN"/>
        </w:rPr>
        <w:t>箱涵工程施工工艺流程：</w:t>
      </w:r>
      <w:r>
        <w:rPr>
          <w:rFonts w:hint="default" w:ascii="Times New Roman" w:hAnsi="Times New Roman" w:eastAsia="宋体" w:cs="Times New Roman"/>
          <w:color w:val="auto"/>
          <w:sz w:val="24"/>
          <w:szCs w:val="24"/>
          <w:highlight w:val="none"/>
          <w:lang w:val="en-US" w:eastAsia="zh-CN"/>
        </w:rPr>
        <w:t>测量放样→基坑开挖→基坑承载力检测→绑扎基础钢筋及涵身钢筋→预埋安装模板→分块浇筑底板混凝土→绑扎涵身钢筋、安装模板→分段浇筑涵身混凝土→安装满堂脚手架、盖板底模板→绑扎盖板钢筋、立模板→浇筑盖板混凝土→洞口堆砌及八字墙施工→填塞封闭盖板缝、沉降缝，沥青麻絮填塞及外侧沥青布封闭涵身外壁及盖板上表面刷沥青</w:t>
      </w: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"https://baike.baidu.com/item/%E9%98%B2%E6%B0%B4%E5%89%82/8076304?fromModule=lemma_inlink" \t "https://baike.baidu.com/item/%E7%AE%B1%E6%B6%B5/_blank"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防水剂</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→涵台背回填。</w:t>
      </w:r>
    </w:p>
    <w:p w14:paraId="2441AA62">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箱涵施工一般采用现浇，在开挖好的沟槽内设置底层，浇筑一层</w:t>
      </w: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"https://baike.baidu.com/item/%E6%B7%B7%E5%87%9D%E5%9C%9F/14447107?fromModule=lemma_inlink" \t "https://baike.baidu.com/item/%E7%AE%B1%E6%B6%B5/_blank"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混凝土</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垫层，再将加工好的钢筋现场绑扎，支内模和外模，较大的箱涵一般先浇筑底板和侧壁的下半部分，再绑扎侧壁上部和顶板钢筋，支好内外模，浇筑侧壁上半部分和顶板。待混凝土达到设计要求的强度拆模，在箱涵两侧同时回填土。</w:t>
      </w:r>
    </w:p>
    <w:p w14:paraId="2A82B4B4">
      <w:pPr>
        <w:pStyle w:val="5"/>
        <w:bidi w:val="0"/>
        <w:ind w:left="452" w:leftChars="0" w:firstLine="0" w:firstLineChars="0"/>
        <w:rPr>
          <w:rFonts w:hint="default"/>
          <w:color w:val="auto"/>
          <w:highlight w:val="none"/>
        </w:rPr>
      </w:pPr>
      <w:r>
        <w:rPr>
          <w:rFonts w:hint="eastAsia"/>
          <w:color w:val="auto"/>
          <w:highlight w:val="none"/>
          <w:lang w:val="en-US" w:eastAsia="zh-CN"/>
        </w:rPr>
        <w:t>排水沟</w:t>
      </w:r>
      <w:r>
        <w:rPr>
          <w:rFonts w:hint="eastAsia"/>
          <w:color w:val="auto"/>
          <w:highlight w:val="none"/>
          <w:lang w:eastAsia="zh-CN"/>
        </w:rPr>
        <w:t>工程</w:t>
      </w:r>
    </w:p>
    <w:p w14:paraId="1F90FDBF">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default"/>
          <w:color w:val="auto"/>
          <w:highlight w:val="none"/>
          <w:lang w:val="en-US" w:eastAsia="zh-CN"/>
        </w:rPr>
      </w:pPr>
      <w:r>
        <w:rPr>
          <w:rFonts w:hint="eastAsia"/>
          <w:color w:val="auto"/>
          <w:highlight w:val="none"/>
          <w:lang w:val="en-US" w:eastAsia="zh-CN"/>
        </w:rPr>
        <w:t>工程建设排水明沟排水沟一采用 M10 浆砌片石结构设计，属于“三面光”排水明沟；排水沟二明沟段为“三面光”排水土质明沟，采用“倒梯形”结构设计。项目土质明沟施工主要施工工序为：测量放样→场地清理压实→基坑开挖→基底素土压实→底板钢筋绑扎→垫层浇筑→底板混凝土浇筑→侧墙模板支护→侧墙浇筑→拆模养护</w:t>
      </w:r>
    </w:p>
    <w:p w14:paraId="208FC586">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eastAsia"/>
          <w:color w:val="auto"/>
          <w:highlight w:val="none"/>
          <w:u w:val="single"/>
          <w:lang w:val="en-US" w:eastAsia="zh-CN"/>
        </w:rPr>
      </w:pPr>
      <w:r>
        <w:rPr>
          <w:rFonts w:hint="eastAsia"/>
          <w:color w:val="auto"/>
          <w:highlight w:val="none"/>
          <w:u w:val="single"/>
          <w:lang w:val="en-US" w:eastAsia="zh-CN"/>
        </w:rPr>
        <w:t>测量放线完成后对基底进行清理整平，注意对测量边桩引向施工区域外侧；</w:t>
      </w:r>
    </w:p>
    <w:p w14:paraId="652F728F">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eastAsia"/>
          <w:color w:val="auto"/>
          <w:highlight w:val="none"/>
          <w:u w:val="single"/>
          <w:lang w:val="en-US" w:eastAsia="zh-CN"/>
        </w:rPr>
      </w:pPr>
      <w:r>
        <w:rPr>
          <w:rFonts w:hint="eastAsia"/>
          <w:color w:val="auto"/>
          <w:highlight w:val="none"/>
          <w:u w:val="single"/>
          <w:lang w:val="en-US" w:eastAsia="zh-CN"/>
        </w:rPr>
        <w:t>清理时用挖掘机清除杂物，用压路机进行基底压实，清理完成后用引桩量测出排水沟的开挖边线，注意边线要比垫层宽20-40cm 以方便施工；</w:t>
      </w:r>
    </w:p>
    <w:p w14:paraId="2456D99D">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eastAsia"/>
          <w:color w:val="auto"/>
          <w:highlight w:val="none"/>
          <w:u w:val="single"/>
          <w:lang w:val="en-US" w:eastAsia="zh-CN"/>
        </w:rPr>
      </w:pPr>
      <w:r>
        <w:rPr>
          <w:rFonts w:hint="default"/>
          <w:color w:val="auto"/>
          <w:highlight w:val="none"/>
          <w:u w:val="single"/>
          <w:lang w:val="en-US" w:eastAsia="zh-CN"/>
        </w:rPr>
        <w:t>基坑开挖使用挖掘机配合人工开挖，开挖之前测量清理后的地面标高，确定开挖深度。挖掘机开挖至基槽底+10cm 左右后采用人工清理，清理过程中随时测量沟底高程，控制在</w:t>
      </w:r>
      <w:r>
        <w:rPr>
          <w:rFonts w:hint="eastAsia"/>
          <w:color w:val="auto"/>
          <w:highlight w:val="none"/>
          <w:u w:val="single"/>
          <w:lang w:val="en-US" w:eastAsia="zh-CN"/>
        </w:rPr>
        <w:t>±</w:t>
      </w:r>
      <w:r>
        <w:rPr>
          <w:rFonts w:hint="default"/>
          <w:color w:val="auto"/>
          <w:highlight w:val="none"/>
          <w:u w:val="single"/>
          <w:lang w:val="en-US" w:eastAsia="zh-CN"/>
        </w:rPr>
        <w:t>15mm。同时对侧壁进行一定的人工刷坡，防止坍塌</w:t>
      </w:r>
      <w:r>
        <w:rPr>
          <w:rFonts w:hint="eastAsia"/>
          <w:color w:val="auto"/>
          <w:highlight w:val="none"/>
          <w:u w:val="single"/>
          <w:lang w:val="en-US" w:eastAsia="zh-CN"/>
        </w:rPr>
        <w:t>；</w:t>
      </w:r>
    </w:p>
    <w:p w14:paraId="1430B3F9">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eastAsia"/>
          <w:color w:val="auto"/>
          <w:highlight w:val="none"/>
          <w:u w:val="single"/>
          <w:lang w:val="en-US" w:eastAsia="zh-CN"/>
        </w:rPr>
      </w:pPr>
      <w:r>
        <w:rPr>
          <w:rFonts w:hint="default"/>
          <w:color w:val="auto"/>
          <w:highlight w:val="none"/>
          <w:u w:val="single"/>
          <w:lang w:val="en-US" w:eastAsia="zh-CN"/>
        </w:rPr>
        <w:t>沟槽清理完成后用挖掘机斗背或小型夯机对基坑底压实。复测沟底高程进行调整顺坡</w:t>
      </w:r>
      <w:r>
        <w:rPr>
          <w:rFonts w:hint="eastAsia"/>
          <w:color w:val="auto"/>
          <w:highlight w:val="none"/>
          <w:u w:val="single"/>
          <w:lang w:val="en-US" w:eastAsia="zh-CN"/>
        </w:rPr>
        <w:t>；</w:t>
      </w:r>
      <w:r>
        <w:rPr>
          <w:rFonts w:hint="default"/>
          <w:color w:val="auto"/>
          <w:highlight w:val="none"/>
          <w:u w:val="single"/>
          <w:lang w:val="en-US" w:eastAsia="zh-CN"/>
        </w:rPr>
        <w:t>垫层模板采用10x10的标准方木固定牢固后测量并调整方木顶标高</w:t>
      </w:r>
      <w:r>
        <w:rPr>
          <w:rFonts w:hint="eastAsia"/>
          <w:color w:val="auto"/>
          <w:highlight w:val="none"/>
          <w:u w:val="single"/>
          <w:lang w:val="en-US" w:eastAsia="zh-CN"/>
        </w:rPr>
        <w:t>，</w:t>
      </w:r>
      <w:r>
        <w:rPr>
          <w:rFonts w:hint="default"/>
          <w:color w:val="auto"/>
          <w:highlight w:val="none"/>
          <w:u w:val="single"/>
          <w:lang w:val="en-US" w:eastAsia="zh-CN"/>
        </w:rPr>
        <w:t>垫层采用C15素混凝土，混凝土用罐车运至现场进行浇筑</w:t>
      </w:r>
      <w:r>
        <w:rPr>
          <w:rFonts w:hint="eastAsia"/>
          <w:color w:val="auto"/>
          <w:highlight w:val="none"/>
          <w:u w:val="single"/>
          <w:lang w:val="en-US" w:eastAsia="zh-CN"/>
        </w:rPr>
        <w:t>；</w:t>
      </w:r>
      <w:r>
        <w:rPr>
          <w:rFonts w:hint="default"/>
          <w:color w:val="auto"/>
          <w:highlight w:val="none"/>
          <w:u w:val="single"/>
          <w:lang w:val="en-US" w:eastAsia="zh-CN"/>
        </w:rPr>
        <w:t>钢筋集中在进场桥钢筋加工场加工好后运至现场绑扎。钢筋绑扎严格按照施工图纸进行，注意预埋侧壁钢筋</w:t>
      </w:r>
      <w:r>
        <w:rPr>
          <w:rFonts w:hint="eastAsia"/>
          <w:color w:val="auto"/>
          <w:highlight w:val="none"/>
          <w:u w:val="single"/>
          <w:lang w:val="en-US" w:eastAsia="zh-CN"/>
        </w:rPr>
        <w:t>；</w:t>
      </w:r>
    </w:p>
    <w:p w14:paraId="63787458">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eastAsia"/>
          <w:color w:val="auto"/>
          <w:highlight w:val="none"/>
          <w:u w:val="single"/>
          <w:lang w:val="en-US" w:eastAsia="zh-CN"/>
        </w:rPr>
      </w:pPr>
      <w:r>
        <w:rPr>
          <w:rFonts w:hint="eastAsia"/>
          <w:color w:val="auto"/>
          <w:highlight w:val="none"/>
          <w:u w:val="single"/>
          <w:lang w:val="en-US" w:eastAsia="zh-CN"/>
        </w:rPr>
        <w:t>混凝土浇筑前钢筋应检验合格，配合比应符合设计强度要求，在侧模上测量并标记出不同位置的流水面高程，弹墨线，浇筑时以墨线的位置控制浇筑高度，每浇筑一段用插入式振捣器进行振捣，并收面；</w:t>
      </w:r>
    </w:p>
    <w:p w14:paraId="12284121">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default"/>
          <w:color w:val="auto"/>
          <w:highlight w:val="none"/>
          <w:u w:val="single"/>
          <w:lang w:val="en-US" w:eastAsia="zh-CN"/>
        </w:rPr>
      </w:pPr>
      <w:r>
        <w:rPr>
          <w:rFonts w:hint="default"/>
          <w:color w:val="auto"/>
          <w:highlight w:val="none"/>
          <w:u w:val="single"/>
          <w:lang w:val="en-US" w:eastAsia="zh-CN"/>
        </w:rPr>
        <w:t>侧墙模板采用 15m 厚竹胶板支设，模内用20cm的钢筋横向支撑，模外采用方木或钢管支顶。模板支护完成后调整线形，检查是否牢固后进行明沟墙顶高程测量并用墨线标记</w:t>
      </w:r>
      <w:r>
        <w:rPr>
          <w:rFonts w:hint="eastAsia"/>
          <w:color w:val="auto"/>
          <w:highlight w:val="none"/>
          <w:u w:val="single"/>
          <w:lang w:val="en-US" w:eastAsia="zh-CN"/>
        </w:rPr>
        <w:t>。</w:t>
      </w:r>
      <w:r>
        <w:rPr>
          <w:rFonts w:hint="default"/>
          <w:color w:val="auto"/>
          <w:highlight w:val="none"/>
          <w:u w:val="single"/>
          <w:lang w:val="en-US" w:eastAsia="zh-CN"/>
        </w:rPr>
        <w:t>支模时注意在有盖板段落的侧墙内侧支设10x10cm 的凹槽</w:t>
      </w:r>
      <w:r>
        <w:rPr>
          <w:rFonts w:hint="eastAsia"/>
          <w:color w:val="auto"/>
          <w:highlight w:val="none"/>
          <w:u w:val="single"/>
          <w:lang w:val="en-US" w:eastAsia="zh-CN"/>
        </w:rPr>
        <w:t>；</w:t>
      </w:r>
    </w:p>
    <w:p w14:paraId="4058F6C3">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default"/>
          <w:color w:val="auto"/>
          <w:highlight w:val="none"/>
          <w:u w:val="single"/>
          <w:lang w:val="en-US" w:eastAsia="zh-CN"/>
        </w:rPr>
      </w:pPr>
      <w:r>
        <w:rPr>
          <w:rFonts w:hint="default"/>
          <w:color w:val="auto"/>
          <w:highlight w:val="none"/>
          <w:u w:val="single"/>
          <w:lang w:val="en-US" w:eastAsia="zh-CN"/>
        </w:rPr>
        <w:t>混凝土浇筑采用分层浇筑，每层振捣密实。由于墙壁较薄，施工中采用30 型振捣棒，减少对模板线型的扰动。侧墙内侧有 10x10 凹槽时，注意清理凹槽内多余混凝土</w:t>
      </w:r>
      <w:r>
        <w:rPr>
          <w:rFonts w:hint="eastAsia"/>
          <w:color w:val="auto"/>
          <w:highlight w:val="none"/>
          <w:u w:val="single"/>
          <w:lang w:val="en-US" w:eastAsia="zh-CN"/>
        </w:rPr>
        <w:t>；</w:t>
      </w:r>
    </w:p>
    <w:p w14:paraId="0CB8F36F">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default" w:ascii="Times New Roman" w:hAnsi="Times New Roman" w:eastAsia="宋体" w:cs="Times New Roman"/>
          <w:color w:val="auto"/>
          <w:sz w:val="24"/>
          <w:szCs w:val="24"/>
          <w:highlight w:val="none"/>
          <w:u w:val="single"/>
          <w:lang w:val="en-US" w:eastAsia="zh-CN"/>
        </w:rPr>
      </w:pPr>
      <w:r>
        <w:rPr>
          <w:rFonts w:hint="default"/>
          <w:color w:val="auto"/>
          <w:highlight w:val="none"/>
          <w:u w:val="single"/>
          <w:lang w:val="en-US" w:eastAsia="zh-CN"/>
        </w:rPr>
        <w:t>混凝土强度达到 75%拆除模板，拆模后清理沟槽内杂物并</w:t>
      </w:r>
      <w:r>
        <w:rPr>
          <w:rFonts w:hint="eastAsia"/>
          <w:color w:val="auto"/>
          <w:highlight w:val="none"/>
          <w:u w:val="single"/>
          <w:lang w:val="en-US" w:eastAsia="zh-CN"/>
        </w:rPr>
        <w:t>洒水养护</w:t>
      </w:r>
      <w:r>
        <w:rPr>
          <w:rFonts w:hint="default"/>
          <w:color w:val="auto"/>
          <w:highlight w:val="none"/>
          <w:u w:val="single"/>
          <w:lang w:val="en-US" w:eastAsia="zh-CN"/>
        </w:rPr>
        <w:t>。</w:t>
      </w:r>
    </w:p>
    <w:p w14:paraId="2066EC60">
      <w:pPr>
        <w:pStyle w:val="5"/>
        <w:bidi w:val="0"/>
        <w:ind w:left="452" w:leftChars="0" w:firstLine="0" w:firstLineChars="0"/>
        <w:rPr>
          <w:rFonts w:hint="default"/>
          <w:color w:val="auto"/>
          <w:highlight w:val="none"/>
        </w:rPr>
      </w:pPr>
      <w:r>
        <w:rPr>
          <w:rFonts w:hint="default"/>
          <w:color w:val="auto"/>
          <w:highlight w:val="none"/>
          <w:lang w:val="en-US" w:eastAsia="zh-CN"/>
        </w:rPr>
        <w:t>挡土墙</w:t>
      </w:r>
      <w:r>
        <w:rPr>
          <w:rFonts w:hint="default"/>
          <w:color w:val="auto"/>
          <w:highlight w:val="none"/>
          <w:lang w:eastAsia="zh-CN"/>
        </w:rPr>
        <w:t>工程</w:t>
      </w:r>
    </w:p>
    <w:p w14:paraId="12813439">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扶壁式挡墙由墙面板(立壁)、墙趾板、墙踵板及扶肋(扶壁)组成。</w:t>
      </w:r>
    </w:p>
    <w:p w14:paraId="76A53278">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eastAsia" w:ascii="Times New Roman" w:cs="Times New Roman"/>
          <w:color w:val="auto"/>
          <w:sz w:val="24"/>
          <w:szCs w:val="24"/>
          <w:highlight w:val="none"/>
          <w:u w:val="single"/>
          <w:lang w:val="en-US" w:eastAsia="zh-CN"/>
        </w:rPr>
      </w:pPr>
      <w:r>
        <w:rPr>
          <w:rFonts w:hint="eastAsia" w:ascii="Times New Roman" w:cs="Times New Roman"/>
          <w:color w:val="auto"/>
          <w:sz w:val="24"/>
          <w:szCs w:val="24"/>
          <w:highlight w:val="none"/>
          <w:u w:val="single"/>
          <w:lang w:val="en-US" w:eastAsia="zh-CN"/>
        </w:rPr>
        <w:t>两侧围堰搭建后对区域进行清淤，根据施工图进行分段施工，测定挡土墙墙趾处路基中心线及基础主轴线、墙顶轴线、挡土墙起讫点和横断面，注明高程及开挖深度。每根轴线均应在基线两端延长线上设4个桩点，并分别以混凝土包封保护，放测桩位时，应测定中心桩及挡土墙的基础地面高程，临时水准点应设置在施工干扰区域之外，测量结果应符合精度要求并与相邻路段水准点相闭合。</w:t>
      </w:r>
    </w:p>
    <w:p w14:paraId="32E12229">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基础立模前应测量放线，确定挡墙的基础的边线，按照线型布置，刻画钢筋间距，摆放、绑扎钢筋，预留墙身及板肋的钢筋。采用和基础同强度的混凝土垫块设置保护层，拼装钢模板应支撑牢固，接缝严实，不得漏浆。模板尺寸及保护层厚度合格后浇筑砼。</w:t>
      </w:r>
    </w:p>
    <w:p w14:paraId="64C524BC">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绑扎墙面板钢筋和扶壁钢筋，钢筋安装完经监理检查合格后，开始立模，在钢筋混凝土与模板间设置垫块，垫块与钢筋扎紧，垫块应采用细石混凝土制作，保证垫块的强度与混凝土结构的强度相同。垫块的安装应该保证钢筋的保护层厚度符合设计要求，同时要保证4个/m</w:t>
      </w:r>
      <w:r>
        <w:rPr>
          <w:rFonts w:hint="default" w:ascii="Times New Roman" w:hAnsi="Times New Roman" w:eastAsia="宋体" w:cs="Times New Roman"/>
          <w:color w:val="auto"/>
          <w:sz w:val="24"/>
          <w:szCs w:val="24"/>
          <w:highlight w:val="none"/>
          <w:u w:val="single"/>
          <w:vertAlign w:val="superscript"/>
          <w:lang w:val="en-US" w:eastAsia="zh-CN"/>
        </w:rPr>
        <w:t>2</w:t>
      </w:r>
      <w:r>
        <w:rPr>
          <w:rFonts w:hint="default" w:ascii="Times New Roman" w:hAnsi="Times New Roman" w:eastAsia="宋体" w:cs="Times New Roman"/>
          <w:color w:val="auto"/>
          <w:sz w:val="24"/>
          <w:szCs w:val="24"/>
          <w:highlight w:val="none"/>
          <w:u w:val="single"/>
          <w:lang w:val="en-US" w:eastAsia="zh-CN"/>
        </w:rPr>
        <w:t>。混凝土浇筑采用插入式振动器振捣，振捣时严禁碰撞钢筋和模板。浇筑混凝土时，应经常检查模板、钢筋的位置和保护层的尺寸，确保其位置正确不发生变形。混凝土的浇筑连续进行，如因故必须间断时，其间断时间小于前层混凝土的初凝时间或能重塑的时间，并经试验确定，若超过允许间断时间，须采取保证质量措施或按工作缝处理。</w:t>
      </w:r>
    </w:p>
    <w:p w14:paraId="5B98E5B4">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混凝土灌注完毕后，安排专人在初凝前进行混凝土收面，待混凝土终凝前再进行一次收面压光处理，然后再覆盖土工布进行洒水保湿养生。当气候炎热时或有风时，2h~3h后即可浇水以维持充分的润湿状态。在潮湿气候条件下，空气相对湿度大于60%时，使用普通水泥时，湿润养护时间不少于7d。</w:t>
      </w:r>
    </w:p>
    <w:p w14:paraId="376FCE92">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墙面板和扶壁的侧模板属非承重模板，应在混凝土强度能保证其表面及棱角不受损伤时才能拆除，一般应在混凝土抗压强度达到2.5MPa后方可拆除侧模板。</w:t>
      </w:r>
    </w:p>
    <w:p w14:paraId="19245F0D">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墙背回填应该在挡土墙混凝土的强度达到设计强度的75%才能够进行填土。应由最低处分层填起，回填要均匀，摊铺要平整，并设不小于3%的横坡，逐层填筑，逐层碾压夯实，不允许向墙背斜坡填筑。若分几个作业段回填，两段交接处不在同一时间填筑，则先填地段应按1∶1的坡度分层留台阶；若两个地段同时填筑，则应分层相互交叠衔接，其搭接长度，不得小于2m。大型压实机械要距离墙身及扶壁一定距离碾压，碾压不到地方采用小型夯机夯实。</w:t>
      </w:r>
    </w:p>
    <w:p w14:paraId="55ECB305">
      <w:pPr>
        <w:pStyle w:val="4"/>
        <w:bidi w:val="0"/>
        <w:ind w:left="678" w:leftChars="0" w:firstLine="0" w:firstLineChars="0"/>
        <w:rPr>
          <w:rFonts w:hint="default"/>
          <w:color w:val="auto"/>
          <w:highlight w:val="none"/>
        </w:rPr>
      </w:pPr>
      <w:bookmarkStart w:id="48" w:name="_Toc19034"/>
      <w:r>
        <w:rPr>
          <w:rFonts w:hint="default"/>
          <w:color w:val="auto"/>
          <w:highlight w:val="none"/>
        </w:rPr>
        <w:t>土石方平衡</w:t>
      </w:r>
      <w:bookmarkEnd w:id="48"/>
    </w:p>
    <w:p w14:paraId="5AE7F3CD">
      <w:pPr>
        <w:pStyle w:val="684"/>
        <w:ind w:firstLine="453"/>
        <w:rPr>
          <w:rFonts w:hint="default" w:ascii="Times New Roman" w:hAnsi="Times New Roman" w:eastAsia="宋体" w:cs="Times New Roman"/>
          <w:color w:val="auto"/>
          <w:highlight w:val="none"/>
          <w:u w:val="single"/>
        </w:rPr>
      </w:pPr>
      <w:r>
        <w:rPr>
          <w:rFonts w:hint="eastAsia" w:ascii="Times New Roman" w:hAnsi="Times New Roman" w:eastAsia="宋体" w:cs="Times New Roman"/>
          <w:b w:val="0"/>
          <w:bCs/>
          <w:color w:val="auto"/>
          <w:kern w:val="2"/>
          <w:sz w:val="24"/>
          <w:szCs w:val="32"/>
          <w:highlight w:val="none"/>
          <w:lang w:val="en-US" w:eastAsia="zh-CN" w:bidi="ar-SA"/>
        </w:rPr>
        <w:t>根据</w:t>
      </w:r>
      <w:r>
        <w:rPr>
          <w:rFonts w:hint="eastAsia" w:ascii="Times New Roman" w:cs="Times New Roman"/>
          <w:b w:val="0"/>
          <w:bCs/>
          <w:color w:val="auto"/>
          <w:kern w:val="2"/>
          <w:sz w:val="24"/>
          <w:szCs w:val="32"/>
          <w:highlight w:val="none"/>
          <w:lang w:val="en-US" w:eastAsia="zh-CN" w:bidi="ar-SA"/>
        </w:rPr>
        <w:t>已批复</w:t>
      </w:r>
      <w:r>
        <w:rPr>
          <w:rFonts w:hint="eastAsia" w:ascii="Times New Roman" w:hAnsi="Times New Roman" w:eastAsia="宋体" w:cs="Times New Roman"/>
          <w:b w:val="0"/>
          <w:bCs/>
          <w:color w:val="auto"/>
          <w:kern w:val="2"/>
          <w:sz w:val="24"/>
          <w:szCs w:val="32"/>
          <w:highlight w:val="none"/>
          <w:lang w:val="en-US" w:eastAsia="zh-CN" w:bidi="ar-SA"/>
        </w:rPr>
        <w:t>的《</w:t>
      </w:r>
      <w:r>
        <w:rPr>
          <w:rFonts w:hint="eastAsia"/>
          <w:color w:val="auto"/>
          <w:szCs w:val="24"/>
          <w:highlight w:val="none"/>
          <w:lang w:eastAsia="zh-CN"/>
        </w:rPr>
        <w:t>钦州港新型城乡融合发展示范区（自贸新城）排水改造工程</w:t>
      </w:r>
      <w:r>
        <w:rPr>
          <w:rFonts w:hint="eastAsia" w:ascii="Times New Roman" w:hAnsi="Times New Roman" w:eastAsia="宋体" w:cs="Times New Roman"/>
          <w:b w:val="0"/>
          <w:bCs/>
          <w:color w:val="auto"/>
          <w:kern w:val="2"/>
          <w:sz w:val="24"/>
          <w:szCs w:val="32"/>
          <w:highlight w:val="none"/>
          <w:lang w:val="en-US" w:eastAsia="zh-CN" w:bidi="ar-SA"/>
        </w:rPr>
        <w:t>水土保持方案报告书</w:t>
      </w:r>
      <w:r>
        <w:rPr>
          <w:rFonts w:hint="eastAsia" w:ascii="Times New Roman" w:cs="Times New Roman"/>
          <w:b w:val="0"/>
          <w:bCs/>
          <w:color w:val="auto"/>
          <w:kern w:val="2"/>
          <w:sz w:val="24"/>
          <w:szCs w:val="32"/>
          <w:highlight w:val="none"/>
          <w:lang w:val="en-US" w:eastAsia="zh-CN" w:bidi="ar-SA"/>
        </w:rPr>
        <w:t>（报批稿）</w:t>
      </w:r>
      <w:r>
        <w:rPr>
          <w:rFonts w:hint="eastAsia" w:ascii="Times New Roman" w:hAnsi="Times New Roman" w:eastAsia="宋体" w:cs="Times New Roman"/>
          <w:b w:val="0"/>
          <w:bCs/>
          <w:color w:val="auto"/>
          <w:kern w:val="2"/>
          <w:sz w:val="24"/>
          <w:szCs w:val="32"/>
          <w:highlight w:val="none"/>
          <w:lang w:val="en-US" w:eastAsia="zh-CN" w:bidi="ar-SA"/>
        </w:rPr>
        <w:t>》</w:t>
      </w:r>
      <w:r>
        <w:rPr>
          <w:rFonts w:hint="eastAsia" w:ascii="Times New Roman" w:cs="Times New Roman"/>
          <w:b w:val="0"/>
          <w:bCs/>
          <w:color w:val="auto"/>
          <w:kern w:val="2"/>
          <w:sz w:val="24"/>
          <w:szCs w:val="32"/>
          <w:highlight w:val="none"/>
          <w:lang w:val="en-US" w:eastAsia="zh-CN" w:bidi="ar-SA"/>
        </w:rPr>
        <w:t>土石方平衡计算，</w:t>
      </w:r>
      <w:r>
        <w:rPr>
          <w:rFonts w:hint="default" w:ascii="Times New Roman" w:hAnsi="Times New Roman" w:eastAsia="宋体" w:cs="Times New Roman"/>
          <w:b w:val="0"/>
          <w:bCs/>
          <w:color w:val="auto"/>
          <w:kern w:val="2"/>
          <w:sz w:val="24"/>
          <w:szCs w:val="32"/>
          <w:highlight w:val="none"/>
          <w:lang w:val="en-US" w:eastAsia="zh-CN" w:bidi="ar-SA"/>
        </w:rPr>
        <w:t>项目土石方</w:t>
      </w:r>
      <w:r>
        <w:rPr>
          <w:rFonts w:hint="default" w:ascii="Times New Roman" w:hAnsi="Times New Roman" w:eastAsia="宋体" w:cs="Times New Roman"/>
          <w:color w:val="auto"/>
          <w:highlight w:val="none"/>
          <w:lang w:val="en-US" w:eastAsia="zh-CN"/>
        </w:rPr>
        <w:t>平衡</w:t>
      </w:r>
      <w:r>
        <w:rPr>
          <w:rFonts w:hint="default" w:ascii="Times New Roman" w:hAnsi="Times New Roman" w:eastAsia="宋体" w:cs="Times New Roman"/>
          <w:b w:val="0"/>
          <w:bCs/>
          <w:color w:val="auto"/>
          <w:kern w:val="2"/>
          <w:sz w:val="24"/>
          <w:szCs w:val="32"/>
          <w:highlight w:val="none"/>
          <w:lang w:val="en-US" w:eastAsia="zh-CN" w:bidi="ar-SA"/>
        </w:rPr>
        <w:t>主要涉及道路回填工程，排水沟工程、管道改造工程，水系改造工程等。本项目</w:t>
      </w:r>
      <w:r>
        <w:rPr>
          <w:rFonts w:hint="eastAsia" w:ascii="Times New Roman" w:cs="Times New Roman"/>
          <w:b w:val="0"/>
          <w:bCs/>
          <w:color w:val="auto"/>
          <w:kern w:val="2"/>
          <w:sz w:val="24"/>
          <w:szCs w:val="32"/>
          <w:highlight w:val="none"/>
          <w:lang w:val="en-US" w:eastAsia="zh-CN" w:bidi="ar-SA"/>
        </w:rPr>
        <w:t>曲绣路</w:t>
      </w:r>
      <w:r>
        <w:rPr>
          <w:rFonts w:hint="default" w:ascii="Times New Roman" w:hAnsi="Times New Roman" w:eastAsia="宋体" w:cs="Times New Roman"/>
          <w:b w:val="0"/>
          <w:bCs/>
          <w:color w:val="auto"/>
          <w:kern w:val="2"/>
          <w:sz w:val="24"/>
          <w:szCs w:val="32"/>
          <w:highlight w:val="none"/>
          <w:lang w:val="en-US" w:eastAsia="zh-CN" w:bidi="ar-SA"/>
        </w:rPr>
        <w:t>与钦州港路需先进行回填至周边标高后再敷设管网。排水沟、管道改造工程土石方主要为管沟开槽施工土石方，水系改造工程主要为清淤工程等。经统计，</w:t>
      </w:r>
      <w:r>
        <w:rPr>
          <w:rFonts w:hint="default" w:ascii="Times New Roman" w:hAnsi="Times New Roman" w:eastAsia="宋体" w:cs="Times New Roman"/>
          <w:b w:val="0"/>
          <w:bCs/>
          <w:color w:val="auto"/>
          <w:kern w:val="2"/>
          <w:sz w:val="24"/>
          <w:szCs w:val="32"/>
          <w:highlight w:val="none"/>
          <w:u w:val="single"/>
          <w:lang w:val="en-US" w:eastAsia="zh-CN" w:bidi="ar-SA"/>
        </w:rPr>
        <w:t>本项目总挖方量约为3.77万m</w:t>
      </w:r>
      <w:r>
        <w:rPr>
          <w:rFonts w:hint="default" w:ascii="Times New Roman" w:hAnsi="Times New Roman" w:eastAsia="宋体" w:cs="Times New Roman"/>
          <w:b w:val="0"/>
          <w:bCs/>
          <w:color w:val="auto"/>
          <w:kern w:val="2"/>
          <w:sz w:val="24"/>
          <w:szCs w:val="32"/>
          <w:highlight w:val="none"/>
          <w:u w:val="single"/>
          <w:vertAlign w:val="superscript"/>
          <w:lang w:val="en-US" w:eastAsia="zh-CN" w:bidi="ar-SA"/>
        </w:rPr>
        <w:t>3</w:t>
      </w:r>
      <w:r>
        <w:rPr>
          <w:rFonts w:hint="default" w:ascii="Times New Roman" w:hAnsi="Times New Roman" w:eastAsia="宋体" w:cs="Times New Roman"/>
          <w:b w:val="0"/>
          <w:bCs/>
          <w:color w:val="auto"/>
          <w:kern w:val="2"/>
          <w:sz w:val="24"/>
          <w:szCs w:val="32"/>
          <w:highlight w:val="none"/>
          <w:u w:val="single"/>
          <w:lang w:val="en-US" w:eastAsia="zh-CN" w:bidi="ar-SA"/>
        </w:rPr>
        <w:t>（表土0.62万m</w:t>
      </w:r>
      <w:r>
        <w:rPr>
          <w:rFonts w:hint="default" w:ascii="Times New Roman" w:hAnsi="Times New Roman" w:eastAsia="宋体" w:cs="Times New Roman"/>
          <w:b w:val="0"/>
          <w:bCs/>
          <w:color w:val="auto"/>
          <w:kern w:val="2"/>
          <w:sz w:val="24"/>
          <w:szCs w:val="32"/>
          <w:highlight w:val="none"/>
          <w:u w:val="single"/>
          <w:vertAlign w:val="superscript"/>
          <w:lang w:val="en-US" w:eastAsia="zh-CN" w:bidi="ar-SA"/>
        </w:rPr>
        <w:t>3</w:t>
      </w:r>
      <w:r>
        <w:rPr>
          <w:rFonts w:hint="default" w:ascii="Times New Roman" w:hAnsi="Times New Roman" w:eastAsia="宋体" w:cs="Times New Roman"/>
          <w:b w:val="0"/>
          <w:bCs/>
          <w:color w:val="auto"/>
          <w:kern w:val="2"/>
          <w:sz w:val="24"/>
          <w:szCs w:val="32"/>
          <w:highlight w:val="none"/>
          <w:u w:val="single"/>
          <w:lang w:val="en-US" w:eastAsia="zh-CN" w:bidi="ar-SA"/>
        </w:rPr>
        <w:t>，普通土石方2.26万m</w:t>
      </w:r>
      <w:r>
        <w:rPr>
          <w:rFonts w:hint="default" w:ascii="Times New Roman" w:hAnsi="Times New Roman" w:eastAsia="宋体" w:cs="Times New Roman"/>
          <w:b w:val="0"/>
          <w:bCs/>
          <w:color w:val="auto"/>
          <w:kern w:val="2"/>
          <w:sz w:val="24"/>
          <w:szCs w:val="32"/>
          <w:highlight w:val="none"/>
          <w:u w:val="single"/>
          <w:vertAlign w:val="superscript"/>
          <w:lang w:val="en-US" w:eastAsia="zh-CN" w:bidi="ar-SA"/>
        </w:rPr>
        <w:t>3</w:t>
      </w:r>
      <w:r>
        <w:rPr>
          <w:rFonts w:hint="default" w:ascii="Times New Roman" w:hAnsi="Times New Roman" w:eastAsia="宋体" w:cs="Times New Roman"/>
          <w:b w:val="0"/>
          <w:bCs/>
          <w:color w:val="auto"/>
          <w:kern w:val="2"/>
          <w:sz w:val="24"/>
          <w:szCs w:val="32"/>
          <w:highlight w:val="none"/>
          <w:u w:val="single"/>
          <w:lang w:val="en-US" w:eastAsia="zh-CN" w:bidi="ar-SA"/>
        </w:rPr>
        <w:t>，淤泥0.89万m</w:t>
      </w:r>
      <w:r>
        <w:rPr>
          <w:rFonts w:hint="default" w:ascii="Times New Roman" w:hAnsi="Times New Roman" w:eastAsia="宋体" w:cs="Times New Roman"/>
          <w:b w:val="0"/>
          <w:bCs/>
          <w:color w:val="auto"/>
          <w:kern w:val="2"/>
          <w:sz w:val="24"/>
          <w:szCs w:val="32"/>
          <w:highlight w:val="none"/>
          <w:u w:val="single"/>
          <w:vertAlign w:val="superscript"/>
          <w:lang w:val="en-US" w:eastAsia="zh-CN" w:bidi="ar-SA"/>
        </w:rPr>
        <w:t>3</w:t>
      </w:r>
      <w:r>
        <w:rPr>
          <w:rFonts w:hint="default" w:ascii="Times New Roman" w:hAnsi="Times New Roman" w:eastAsia="宋体" w:cs="Times New Roman"/>
          <w:b w:val="0"/>
          <w:bCs/>
          <w:color w:val="auto"/>
          <w:kern w:val="2"/>
          <w:sz w:val="24"/>
          <w:szCs w:val="32"/>
          <w:highlight w:val="none"/>
          <w:u w:val="single"/>
          <w:lang w:val="en-US" w:eastAsia="zh-CN" w:bidi="ar-SA"/>
        </w:rPr>
        <w:t>），总填方量约为26.07万m</w:t>
      </w:r>
      <w:r>
        <w:rPr>
          <w:rFonts w:hint="default" w:ascii="Times New Roman" w:hAnsi="Times New Roman" w:eastAsia="宋体" w:cs="Times New Roman"/>
          <w:b w:val="0"/>
          <w:bCs/>
          <w:color w:val="auto"/>
          <w:kern w:val="2"/>
          <w:sz w:val="24"/>
          <w:szCs w:val="32"/>
          <w:highlight w:val="none"/>
          <w:u w:val="single"/>
          <w:vertAlign w:val="superscript"/>
          <w:lang w:val="en-US" w:eastAsia="zh-CN" w:bidi="ar-SA"/>
        </w:rPr>
        <w:t>3</w:t>
      </w:r>
      <w:r>
        <w:rPr>
          <w:rFonts w:hint="default" w:ascii="Times New Roman" w:hAnsi="Times New Roman" w:eastAsia="宋体" w:cs="Times New Roman"/>
          <w:b w:val="0"/>
          <w:bCs/>
          <w:color w:val="auto"/>
          <w:kern w:val="2"/>
          <w:sz w:val="24"/>
          <w:szCs w:val="32"/>
          <w:highlight w:val="none"/>
          <w:u w:val="single"/>
          <w:lang w:val="en-US" w:eastAsia="zh-CN" w:bidi="ar-SA"/>
        </w:rPr>
        <w:t>（表土0.62万m</w:t>
      </w:r>
      <w:r>
        <w:rPr>
          <w:rFonts w:hint="default" w:ascii="Times New Roman" w:hAnsi="Times New Roman" w:eastAsia="宋体" w:cs="Times New Roman"/>
          <w:b w:val="0"/>
          <w:bCs/>
          <w:color w:val="auto"/>
          <w:kern w:val="2"/>
          <w:sz w:val="24"/>
          <w:szCs w:val="32"/>
          <w:highlight w:val="none"/>
          <w:u w:val="single"/>
          <w:vertAlign w:val="superscript"/>
          <w:lang w:val="en-US" w:eastAsia="zh-CN" w:bidi="ar-SA"/>
        </w:rPr>
        <w:t>3</w:t>
      </w:r>
      <w:r>
        <w:rPr>
          <w:rFonts w:hint="default" w:ascii="Times New Roman" w:hAnsi="Times New Roman" w:eastAsia="宋体" w:cs="Times New Roman"/>
          <w:b w:val="0"/>
          <w:bCs/>
          <w:color w:val="auto"/>
          <w:kern w:val="2"/>
          <w:sz w:val="24"/>
          <w:szCs w:val="32"/>
          <w:highlight w:val="none"/>
          <w:u w:val="single"/>
          <w:lang w:val="en-US" w:eastAsia="zh-CN" w:bidi="ar-SA"/>
        </w:rPr>
        <w:t>，普通土石方24.56万m</w:t>
      </w:r>
      <w:r>
        <w:rPr>
          <w:rFonts w:hint="default" w:ascii="Times New Roman" w:hAnsi="Times New Roman" w:eastAsia="宋体" w:cs="Times New Roman"/>
          <w:b w:val="0"/>
          <w:bCs/>
          <w:color w:val="auto"/>
          <w:kern w:val="2"/>
          <w:sz w:val="24"/>
          <w:szCs w:val="32"/>
          <w:highlight w:val="none"/>
          <w:u w:val="single"/>
          <w:vertAlign w:val="superscript"/>
          <w:lang w:val="en-US" w:eastAsia="zh-CN" w:bidi="ar-SA"/>
        </w:rPr>
        <w:t>3</w:t>
      </w:r>
      <w:r>
        <w:rPr>
          <w:rFonts w:hint="default" w:ascii="Times New Roman" w:hAnsi="Times New Roman" w:eastAsia="宋体" w:cs="Times New Roman"/>
          <w:b w:val="0"/>
          <w:bCs/>
          <w:color w:val="auto"/>
          <w:kern w:val="2"/>
          <w:sz w:val="24"/>
          <w:szCs w:val="32"/>
          <w:highlight w:val="none"/>
          <w:u w:val="single"/>
          <w:lang w:val="en-US" w:eastAsia="zh-CN" w:bidi="ar-SA"/>
        </w:rPr>
        <w:t>，淤泥0.89万m</w:t>
      </w:r>
      <w:r>
        <w:rPr>
          <w:rFonts w:hint="default" w:ascii="Times New Roman" w:hAnsi="Times New Roman" w:eastAsia="宋体" w:cs="Times New Roman"/>
          <w:b w:val="0"/>
          <w:bCs/>
          <w:color w:val="auto"/>
          <w:kern w:val="2"/>
          <w:sz w:val="24"/>
          <w:szCs w:val="32"/>
          <w:highlight w:val="none"/>
          <w:u w:val="single"/>
          <w:vertAlign w:val="superscript"/>
          <w:lang w:val="en-US" w:eastAsia="zh-CN" w:bidi="ar-SA"/>
        </w:rPr>
        <w:t>3</w:t>
      </w:r>
      <w:r>
        <w:rPr>
          <w:rFonts w:hint="default" w:ascii="Times New Roman" w:hAnsi="Times New Roman" w:eastAsia="宋体" w:cs="Times New Roman"/>
          <w:b w:val="0"/>
          <w:bCs/>
          <w:color w:val="auto"/>
          <w:kern w:val="2"/>
          <w:sz w:val="24"/>
          <w:szCs w:val="32"/>
          <w:highlight w:val="none"/>
          <w:u w:val="single"/>
          <w:lang w:val="en-US" w:eastAsia="zh-CN" w:bidi="ar-SA"/>
        </w:rPr>
        <w:t>），借方22.30万m</w:t>
      </w:r>
      <w:r>
        <w:rPr>
          <w:rFonts w:hint="default" w:ascii="Times New Roman" w:hAnsi="Times New Roman" w:eastAsia="宋体" w:cs="Times New Roman"/>
          <w:b w:val="0"/>
          <w:bCs/>
          <w:color w:val="auto"/>
          <w:kern w:val="2"/>
          <w:sz w:val="24"/>
          <w:szCs w:val="32"/>
          <w:highlight w:val="none"/>
          <w:u w:val="single"/>
          <w:vertAlign w:val="superscript"/>
          <w:lang w:val="en-US" w:eastAsia="zh-CN" w:bidi="ar-SA"/>
        </w:rPr>
        <w:t>3</w:t>
      </w:r>
      <w:r>
        <w:rPr>
          <w:rFonts w:hint="default" w:ascii="Times New Roman" w:hAnsi="Times New Roman" w:eastAsia="宋体" w:cs="Times New Roman"/>
          <w:b w:val="0"/>
          <w:bCs/>
          <w:color w:val="auto"/>
          <w:kern w:val="2"/>
          <w:sz w:val="24"/>
          <w:szCs w:val="32"/>
          <w:highlight w:val="none"/>
          <w:u w:val="single"/>
          <w:lang w:val="en-US" w:eastAsia="zh-CN" w:bidi="ar-SA"/>
        </w:rPr>
        <w:t>，从钦州港西港区供水水源管网改造工程调运，无弃土。</w:t>
      </w:r>
    </w:p>
    <w:p w14:paraId="23F1CB07">
      <w:pPr>
        <w:pStyle w:val="5"/>
        <w:bidi w:val="0"/>
        <w:ind w:left="452" w:leftChars="0" w:firstLine="0" w:firstLineChars="0"/>
        <w:rPr>
          <w:rFonts w:hint="default"/>
          <w:color w:val="auto"/>
          <w:highlight w:val="none"/>
          <w:lang w:val="en-US" w:eastAsia="zh-CN"/>
        </w:rPr>
      </w:pPr>
      <w:r>
        <w:rPr>
          <w:rFonts w:hint="default"/>
          <w:color w:val="auto"/>
          <w:highlight w:val="none"/>
          <w:lang w:val="en-US" w:eastAsia="zh-CN"/>
        </w:rPr>
        <w:t>锦绣大道排水改造区</w:t>
      </w:r>
    </w:p>
    <w:p w14:paraId="1999C43F">
      <w:pPr>
        <w:pStyle w:val="913"/>
        <w:numPr>
          <w:ilvl w:val="0"/>
          <w:numId w:val="0"/>
        </w:numPr>
        <w:spacing w:line="360" w:lineRule="auto"/>
        <w:ind w:firstLine="454" w:firstLineChars="200"/>
        <w:rPr>
          <w:rFonts w:hint="default" w:ascii="Times New Roman" w:hAnsi="Times New Roman" w:eastAsia="宋体" w:cs="Times New Roman"/>
          <w:color w:val="auto"/>
          <w:kern w:val="0"/>
          <w:sz w:val="24"/>
          <w:szCs w:val="24"/>
          <w:highlight w:val="none"/>
          <w:u w:val="single"/>
          <w:lang w:val="en-US" w:eastAsia="zh-CN"/>
        </w:rPr>
      </w:pPr>
      <w:r>
        <w:rPr>
          <w:rFonts w:hint="default" w:ascii="Times New Roman" w:hAnsi="Times New Roman" w:eastAsia="宋体" w:cs="Times New Roman"/>
          <w:color w:val="auto"/>
          <w:kern w:val="0"/>
          <w:sz w:val="24"/>
          <w:szCs w:val="24"/>
          <w:highlight w:val="none"/>
          <w:u w:val="none"/>
          <w:lang w:val="en-US" w:eastAsia="zh-CN"/>
        </w:rPr>
        <w:t>锦绣大道排水改造区产生土石方主要来自排水沟、排水管网的开挖回填工程，</w:t>
      </w:r>
      <w:r>
        <w:rPr>
          <w:rFonts w:hint="default" w:ascii="Times New Roman" w:hAnsi="Times New Roman" w:eastAsia="宋体" w:cs="Times New Roman"/>
          <w:color w:val="auto"/>
          <w:kern w:val="0"/>
          <w:sz w:val="24"/>
          <w:szCs w:val="24"/>
          <w:highlight w:val="none"/>
          <w:u w:val="single"/>
          <w:lang w:val="en-US" w:eastAsia="zh-CN"/>
        </w:rPr>
        <w:t>经统计锦绣大道排水改造区挖方量约为2.29万m</w:t>
      </w:r>
      <w:r>
        <w:rPr>
          <w:rFonts w:hint="default" w:ascii="Times New Roman" w:hAnsi="Times New Roman" w:eastAsia="宋体" w:cs="Times New Roman"/>
          <w:color w:val="auto"/>
          <w:kern w:val="0"/>
          <w:sz w:val="24"/>
          <w:szCs w:val="24"/>
          <w:highlight w:val="none"/>
          <w:u w:val="single"/>
          <w:vertAlign w:val="superscript"/>
          <w:lang w:val="en-US" w:eastAsia="zh-CN"/>
        </w:rPr>
        <w:t>3</w:t>
      </w:r>
      <w:r>
        <w:rPr>
          <w:rFonts w:hint="default" w:ascii="Times New Roman" w:hAnsi="Times New Roman" w:eastAsia="宋体" w:cs="Times New Roman"/>
          <w:color w:val="auto"/>
          <w:kern w:val="0"/>
          <w:sz w:val="24"/>
          <w:szCs w:val="24"/>
          <w:highlight w:val="none"/>
          <w:u w:val="single"/>
          <w:lang w:val="en-US" w:eastAsia="zh-CN"/>
        </w:rPr>
        <w:t>，回填土石方量约为1.03万m</w:t>
      </w:r>
      <w:r>
        <w:rPr>
          <w:rFonts w:hint="default" w:ascii="Times New Roman" w:hAnsi="Times New Roman" w:eastAsia="宋体" w:cs="Times New Roman"/>
          <w:color w:val="auto"/>
          <w:kern w:val="0"/>
          <w:sz w:val="24"/>
          <w:szCs w:val="24"/>
          <w:highlight w:val="none"/>
          <w:u w:val="single"/>
          <w:vertAlign w:val="superscript"/>
          <w:lang w:val="en-US" w:eastAsia="zh-CN"/>
        </w:rPr>
        <w:t>3</w:t>
      </w:r>
      <w:r>
        <w:rPr>
          <w:rFonts w:hint="default" w:ascii="Times New Roman" w:hAnsi="Times New Roman" w:eastAsia="宋体" w:cs="Times New Roman"/>
          <w:color w:val="auto"/>
          <w:kern w:val="0"/>
          <w:sz w:val="24"/>
          <w:szCs w:val="24"/>
          <w:highlight w:val="none"/>
          <w:u w:val="single"/>
          <w:lang w:val="en-US" w:eastAsia="zh-CN"/>
        </w:rPr>
        <w:t>，调出1.26万m</w:t>
      </w:r>
      <w:r>
        <w:rPr>
          <w:rFonts w:hint="default" w:ascii="Times New Roman" w:hAnsi="Times New Roman" w:eastAsia="宋体" w:cs="Times New Roman"/>
          <w:color w:val="auto"/>
          <w:kern w:val="0"/>
          <w:sz w:val="24"/>
          <w:szCs w:val="24"/>
          <w:highlight w:val="none"/>
          <w:u w:val="single"/>
          <w:vertAlign w:val="superscript"/>
          <w:lang w:val="en-US" w:eastAsia="zh-CN"/>
        </w:rPr>
        <w:t>3</w:t>
      </w:r>
      <w:r>
        <w:rPr>
          <w:rFonts w:hint="default" w:ascii="Times New Roman" w:hAnsi="Times New Roman" w:eastAsia="宋体" w:cs="Times New Roman"/>
          <w:color w:val="auto"/>
          <w:kern w:val="0"/>
          <w:sz w:val="24"/>
          <w:szCs w:val="24"/>
          <w:highlight w:val="none"/>
          <w:u w:val="single"/>
          <w:lang w:val="en-US" w:eastAsia="zh-CN"/>
        </w:rPr>
        <w:t>至钦州港路排水工程区用于路基回填。</w:t>
      </w:r>
    </w:p>
    <w:p w14:paraId="19A12CFD">
      <w:pPr>
        <w:pStyle w:val="913"/>
        <w:numPr>
          <w:ilvl w:val="0"/>
          <w:numId w:val="0"/>
        </w:numPr>
        <w:spacing w:line="360" w:lineRule="auto"/>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object>
          <v:shape id="_x0000_i1025" o:spt="75" type="#_x0000_t75" style="height:200.3pt;width:411.8pt;" o:ole="t" filled="f" o:preferrelative="t" stroked="f" coordsize="21600,21600">
            <v:path/>
            <v:fill on="f" focussize="0,0"/>
            <v:stroke on="f"/>
            <v:imagedata r:id="rId42" o:title=""/>
            <o:lock v:ext="edit" aspectratio="t"/>
            <w10:wrap type="none"/>
            <w10:anchorlock/>
          </v:shape>
          <o:OLEObject Type="Embed" ProgID="Visio.Drawing.11" ShapeID="_x0000_i1025" DrawAspect="Content" ObjectID="_1468075725" r:id="rId41">
            <o:LockedField>false</o:LockedField>
          </o:OLEObject>
        </w:object>
      </w:r>
    </w:p>
    <w:p w14:paraId="421B9C0B">
      <w:pPr>
        <w:pStyle w:val="588"/>
        <w:bidi w:val="0"/>
        <w:ind w:left="0" w:leftChars="0" w:firstLine="0" w:firstLineChars="0"/>
        <w:rPr>
          <w:rFonts w:hint="default"/>
          <w:color w:val="auto"/>
          <w:highlight w:val="none"/>
          <w:u w:val="single"/>
          <w:lang w:val="en-US" w:eastAsia="zh-CN"/>
        </w:rPr>
      </w:pPr>
      <w:r>
        <w:rPr>
          <w:rFonts w:hint="eastAsia"/>
          <w:color w:val="auto"/>
          <w:highlight w:val="none"/>
          <w:u w:val="single"/>
          <w:lang w:val="en-US" w:eastAsia="zh-CN"/>
        </w:rPr>
        <w:t xml:space="preserve">锦绣大道排水改造区土石方平衡    </w:t>
      </w:r>
      <w:r>
        <w:rPr>
          <w:rFonts w:hint="default" w:ascii="Times New Roman" w:hAnsi="Times New Roman" w:eastAsia="宋体" w:cs="Times New Roman"/>
          <w:color w:val="auto"/>
          <w:kern w:val="0"/>
          <w:sz w:val="24"/>
          <w:szCs w:val="24"/>
          <w:highlight w:val="none"/>
          <w:u w:val="single"/>
          <w:lang w:val="en-US" w:eastAsia="zh-CN"/>
        </w:rPr>
        <w:t>万m</w:t>
      </w:r>
      <w:r>
        <w:rPr>
          <w:rFonts w:hint="default" w:ascii="Times New Roman" w:hAnsi="Times New Roman" w:eastAsia="宋体" w:cs="Times New Roman"/>
          <w:color w:val="auto"/>
          <w:kern w:val="0"/>
          <w:sz w:val="24"/>
          <w:szCs w:val="24"/>
          <w:highlight w:val="none"/>
          <w:u w:val="single"/>
          <w:vertAlign w:val="superscript"/>
          <w:lang w:val="en-US" w:eastAsia="zh-CN"/>
        </w:rPr>
        <w:t>3</w:t>
      </w:r>
    </w:p>
    <w:p w14:paraId="1EE7B1CA">
      <w:pPr>
        <w:pStyle w:val="5"/>
        <w:bidi w:val="0"/>
        <w:ind w:left="452" w:leftChars="0" w:firstLine="0" w:firstLineChars="0"/>
        <w:rPr>
          <w:rFonts w:hint="default"/>
          <w:color w:val="auto"/>
          <w:highlight w:val="none"/>
          <w:lang w:val="en-US" w:eastAsia="zh-CN"/>
        </w:rPr>
      </w:pPr>
      <w:r>
        <w:rPr>
          <w:rFonts w:hint="default"/>
          <w:color w:val="auto"/>
          <w:highlight w:val="none"/>
          <w:lang w:val="en-US" w:eastAsia="zh-CN"/>
        </w:rPr>
        <w:t>钦州港路排水工程区</w:t>
      </w:r>
    </w:p>
    <w:p w14:paraId="4E078A1D">
      <w:pPr>
        <w:pStyle w:val="913"/>
        <w:numPr>
          <w:ilvl w:val="0"/>
          <w:numId w:val="0"/>
        </w:numPr>
        <w:spacing w:line="360" w:lineRule="auto"/>
        <w:ind w:firstLine="454" w:firstLineChars="200"/>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t>根据初步设计资料，钦州港路排水工程区产生的土石方量主要为占地范围内的清除工程、钦州港路路基回填工程以及钦州港路的覆土工程。经统计钦州港路排水工程区挖方量约为0.41万m</w:t>
      </w:r>
      <w:r>
        <w:rPr>
          <w:rFonts w:hint="default" w:ascii="Times New Roman" w:hAnsi="Times New Roman" w:eastAsia="宋体" w:cs="Times New Roman"/>
          <w:color w:val="auto"/>
          <w:kern w:val="0"/>
          <w:sz w:val="24"/>
          <w:szCs w:val="24"/>
          <w:highlight w:val="none"/>
          <w:u w:val="none"/>
          <w:vertAlign w:val="superscript"/>
          <w:lang w:val="en-US" w:eastAsia="zh-CN"/>
        </w:rPr>
        <w:t>3</w:t>
      </w:r>
      <w:r>
        <w:rPr>
          <w:rFonts w:hint="default" w:ascii="Times New Roman" w:hAnsi="Times New Roman" w:eastAsia="宋体" w:cs="Times New Roman"/>
          <w:color w:val="auto"/>
          <w:kern w:val="0"/>
          <w:sz w:val="24"/>
          <w:szCs w:val="24"/>
          <w:highlight w:val="none"/>
          <w:u w:val="none"/>
          <w:lang w:val="en-US" w:eastAsia="zh-CN"/>
        </w:rPr>
        <w:t>（包含表土0.22万m</w:t>
      </w:r>
      <w:r>
        <w:rPr>
          <w:rFonts w:hint="default" w:ascii="Times New Roman" w:hAnsi="Times New Roman" w:eastAsia="宋体" w:cs="Times New Roman"/>
          <w:color w:val="auto"/>
          <w:kern w:val="0"/>
          <w:sz w:val="24"/>
          <w:szCs w:val="24"/>
          <w:highlight w:val="none"/>
          <w:u w:val="none"/>
          <w:vertAlign w:val="superscript"/>
          <w:lang w:val="en-US" w:eastAsia="zh-CN"/>
        </w:rPr>
        <w:t>3</w:t>
      </w:r>
      <w:r>
        <w:rPr>
          <w:rFonts w:hint="default" w:ascii="Times New Roman" w:hAnsi="Times New Roman" w:eastAsia="宋体" w:cs="Times New Roman"/>
          <w:color w:val="auto"/>
          <w:kern w:val="0"/>
          <w:sz w:val="24"/>
          <w:szCs w:val="24"/>
          <w:highlight w:val="none"/>
          <w:u w:val="none"/>
          <w:lang w:val="en-US" w:eastAsia="zh-CN"/>
        </w:rPr>
        <w:t>，淤泥0.21万m</w:t>
      </w:r>
      <w:r>
        <w:rPr>
          <w:rFonts w:hint="default" w:ascii="Times New Roman" w:hAnsi="Times New Roman" w:eastAsia="宋体" w:cs="Times New Roman"/>
          <w:color w:val="auto"/>
          <w:kern w:val="0"/>
          <w:sz w:val="24"/>
          <w:szCs w:val="24"/>
          <w:highlight w:val="none"/>
          <w:u w:val="none"/>
          <w:vertAlign w:val="superscript"/>
          <w:lang w:val="en-US" w:eastAsia="zh-CN"/>
        </w:rPr>
        <w:t>3</w:t>
      </w:r>
      <w:r>
        <w:rPr>
          <w:rFonts w:hint="default" w:ascii="Times New Roman" w:hAnsi="Times New Roman" w:eastAsia="宋体" w:cs="Times New Roman"/>
          <w:color w:val="auto"/>
          <w:kern w:val="0"/>
          <w:sz w:val="24"/>
          <w:szCs w:val="24"/>
          <w:highlight w:val="none"/>
          <w:u w:val="none"/>
          <w:lang w:val="en-US" w:eastAsia="zh-CN"/>
        </w:rPr>
        <w:t>），回填土石方量约为7.19万m</w:t>
      </w:r>
      <w:r>
        <w:rPr>
          <w:rFonts w:hint="default" w:ascii="Times New Roman" w:hAnsi="Times New Roman" w:eastAsia="宋体" w:cs="Times New Roman"/>
          <w:color w:val="auto"/>
          <w:kern w:val="0"/>
          <w:sz w:val="24"/>
          <w:szCs w:val="24"/>
          <w:highlight w:val="none"/>
          <w:u w:val="none"/>
          <w:vertAlign w:val="superscript"/>
          <w:lang w:val="en-US" w:eastAsia="zh-CN"/>
        </w:rPr>
        <w:t>3</w:t>
      </w:r>
      <w:r>
        <w:rPr>
          <w:rFonts w:hint="default" w:ascii="Times New Roman" w:hAnsi="Times New Roman" w:eastAsia="宋体" w:cs="Times New Roman"/>
          <w:color w:val="auto"/>
          <w:kern w:val="0"/>
          <w:sz w:val="24"/>
          <w:szCs w:val="24"/>
          <w:highlight w:val="none"/>
          <w:u w:val="none"/>
          <w:lang w:val="en-US" w:eastAsia="zh-CN"/>
        </w:rPr>
        <w:t>，其中钦州港路路基回填工程6.78万m</w:t>
      </w:r>
      <w:r>
        <w:rPr>
          <w:rFonts w:hint="default" w:ascii="Times New Roman" w:hAnsi="Times New Roman" w:eastAsia="宋体" w:cs="Times New Roman"/>
          <w:color w:val="auto"/>
          <w:kern w:val="0"/>
          <w:sz w:val="24"/>
          <w:szCs w:val="24"/>
          <w:highlight w:val="none"/>
          <w:u w:val="none"/>
          <w:vertAlign w:val="superscript"/>
          <w:lang w:val="en-US" w:eastAsia="zh-CN"/>
        </w:rPr>
        <w:t>3</w:t>
      </w:r>
      <w:r>
        <w:rPr>
          <w:rFonts w:hint="default" w:ascii="Times New Roman" w:hAnsi="Times New Roman" w:eastAsia="宋体" w:cs="Times New Roman"/>
          <w:color w:val="auto"/>
          <w:kern w:val="0"/>
          <w:sz w:val="24"/>
          <w:szCs w:val="24"/>
          <w:highlight w:val="none"/>
          <w:u w:val="none"/>
          <w:lang w:val="en-US" w:eastAsia="zh-CN"/>
        </w:rPr>
        <w:t>，拟从锦绣大道排水改造区调入1.26万m</w:t>
      </w:r>
      <w:r>
        <w:rPr>
          <w:rFonts w:hint="default" w:ascii="Times New Roman" w:hAnsi="Times New Roman" w:eastAsia="宋体" w:cs="Times New Roman"/>
          <w:color w:val="auto"/>
          <w:kern w:val="0"/>
          <w:sz w:val="24"/>
          <w:szCs w:val="24"/>
          <w:highlight w:val="none"/>
          <w:u w:val="none"/>
          <w:vertAlign w:val="superscript"/>
          <w:lang w:val="en-US" w:eastAsia="zh-CN"/>
        </w:rPr>
        <w:t>3</w:t>
      </w:r>
      <w:r>
        <w:rPr>
          <w:rFonts w:hint="default" w:ascii="Times New Roman" w:hAnsi="Times New Roman" w:eastAsia="宋体" w:cs="Times New Roman"/>
          <w:color w:val="auto"/>
          <w:kern w:val="0"/>
          <w:sz w:val="24"/>
          <w:szCs w:val="24"/>
          <w:highlight w:val="none"/>
          <w:u w:val="none"/>
          <w:lang w:val="en-US" w:eastAsia="zh-CN"/>
        </w:rPr>
        <w:t>，借方5.52万m</w:t>
      </w:r>
      <w:r>
        <w:rPr>
          <w:rFonts w:hint="default" w:ascii="Times New Roman" w:hAnsi="Times New Roman" w:eastAsia="宋体" w:cs="Times New Roman"/>
          <w:color w:val="auto"/>
          <w:kern w:val="0"/>
          <w:sz w:val="24"/>
          <w:szCs w:val="24"/>
          <w:highlight w:val="none"/>
          <w:u w:val="none"/>
          <w:vertAlign w:val="superscript"/>
          <w:lang w:val="en-US" w:eastAsia="zh-CN"/>
        </w:rPr>
        <w:t>3</w:t>
      </w:r>
      <w:r>
        <w:rPr>
          <w:rFonts w:hint="default" w:ascii="Times New Roman" w:hAnsi="Times New Roman" w:eastAsia="宋体" w:cs="Times New Roman"/>
          <w:color w:val="auto"/>
          <w:kern w:val="0"/>
          <w:sz w:val="24"/>
          <w:szCs w:val="24"/>
          <w:highlight w:val="none"/>
          <w:u w:val="none"/>
          <w:lang w:val="en-US" w:eastAsia="zh-CN"/>
        </w:rPr>
        <w:t>，从同期开发建设的钦州港西港区供水水源管网改造工程调运。钦州港路覆土工程0.41万m</w:t>
      </w:r>
      <w:r>
        <w:rPr>
          <w:rFonts w:hint="default" w:ascii="Times New Roman" w:hAnsi="Times New Roman" w:eastAsia="宋体" w:cs="Times New Roman"/>
          <w:color w:val="auto"/>
          <w:kern w:val="0"/>
          <w:sz w:val="24"/>
          <w:szCs w:val="24"/>
          <w:highlight w:val="none"/>
          <w:u w:val="none"/>
          <w:vertAlign w:val="superscript"/>
          <w:lang w:val="en-US" w:eastAsia="zh-CN"/>
        </w:rPr>
        <w:t>3</w:t>
      </w:r>
      <w:r>
        <w:rPr>
          <w:rFonts w:hint="default" w:ascii="Times New Roman" w:hAnsi="Times New Roman" w:eastAsia="宋体" w:cs="Times New Roman"/>
          <w:color w:val="auto"/>
          <w:kern w:val="0"/>
          <w:sz w:val="24"/>
          <w:szCs w:val="24"/>
          <w:highlight w:val="none"/>
          <w:u w:val="none"/>
          <w:lang w:val="en-US" w:eastAsia="zh-CN"/>
        </w:rPr>
        <w:t>（包含表土0.22万m</w:t>
      </w:r>
      <w:r>
        <w:rPr>
          <w:rFonts w:hint="default" w:ascii="Times New Roman" w:hAnsi="Times New Roman" w:eastAsia="宋体" w:cs="Times New Roman"/>
          <w:color w:val="auto"/>
          <w:kern w:val="0"/>
          <w:sz w:val="24"/>
          <w:szCs w:val="24"/>
          <w:highlight w:val="none"/>
          <w:u w:val="none"/>
          <w:vertAlign w:val="superscript"/>
          <w:lang w:val="en-US" w:eastAsia="zh-CN"/>
        </w:rPr>
        <w:t>3</w:t>
      </w:r>
      <w:r>
        <w:rPr>
          <w:rFonts w:hint="default" w:ascii="Times New Roman" w:hAnsi="Times New Roman" w:eastAsia="宋体" w:cs="Times New Roman"/>
          <w:color w:val="auto"/>
          <w:kern w:val="0"/>
          <w:sz w:val="24"/>
          <w:szCs w:val="24"/>
          <w:highlight w:val="none"/>
          <w:u w:val="none"/>
          <w:lang w:val="en-US" w:eastAsia="zh-CN"/>
        </w:rPr>
        <w:t>，淤泥0.21万m</w:t>
      </w:r>
      <w:r>
        <w:rPr>
          <w:rFonts w:hint="default" w:ascii="Times New Roman" w:hAnsi="Times New Roman" w:eastAsia="宋体" w:cs="Times New Roman"/>
          <w:color w:val="auto"/>
          <w:kern w:val="0"/>
          <w:sz w:val="24"/>
          <w:szCs w:val="24"/>
          <w:highlight w:val="none"/>
          <w:u w:val="none"/>
          <w:vertAlign w:val="superscript"/>
          <w:lang w:val="en-US" w:eastAsia="zh-CN"/>
        </w:rPr>
        <w:t>3</w:t>
      </w:r>
      <w:r>
        <w:rPr>
          <w:rFonts w:hint="default" w:ascii="Times New Roman" w:hAnsi="Times New Roman" w:eastAsia="宋体" w:cs="Times New Roman"/>
          <w:color w:val="auto"/>
          <w:kern w:val="0"/>
          <w:sz w:val="24"/>
          <w:szCs w:val="24"/>
          <w:highlight w:val="none"/>
          <w:u w:val="none"/>
          <w:lang w:val="en-US" w:eastAsia="zh-CN"/>
        </w:rPr>
        <w:t>）。</w:t>
      </w:r>
    </w:p>
    <w:p w14:paraId="4F8B24E0">
      <w:pPr>
        <w:pStyle w:val="91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object>
          <v:shape id="_x0000_i1026" o:spt="75" type="#_x0000_t75" style="height:172.7pt;width:456.95pt;" o:ole="t" filled="f" o:preferrelative="t" stroked="f" coordsize="21600,21600">
            <v:path/>
            <v:fill on="f" focussize="0,0"/>
            <v:stroke on="f"/>
            <v:imagedata r:id="rId44" o:title=""/>
            <o:lock v:ext="edit" aspectratio="t"/>
            <w10:wrap type="none"/>
            <w10:anchorlock/>
          </v:shape>
          <o:OLEObject Type="Embed" ProgID="Visio.Drawing.11" ShapeID="_x0000_i1026" DrawAspect="Content" ObjectID="_1468075726" r:id="rId43">
            <o:LockedField>false</o:LockedField>
          </o:OLEObject>
        </w:object>
      </w:r>
    </w:p>
    <w:p w14:paraId="2023AB0C">
      <w:pPr>
        <w:pStyle w:val="588"/>
        <w:bidi w:val="0"/>
        <w:ind w:left="0" w:leftChars="0" w:firstLine="0" w:firstLineChars="0"/>
        <w:rPr>
          <w:rFonts w:hint="default"/>
          <w:color w:val="auto"/>
          <w:highlight w:val="none"/>
          <w:u w:val="single"/>
          <w:lang w:val="en-US" w:eastAsia="zh-CN"/>
        </w:rPr>
      </w:pPr>
      <w:r>
        <w:rPr>
          <w:rFonts w:hint="eastAsia"/>
          <w:color w:val="auto"/>
          <w:highlight w:val="none"/>
          <w:u w:val="single"/>
          <w:lang w:val="en-US" w:eastAsia="zh-CN"/>
        </w:rPr>
        <w:t xml:space="preserve">钦州港路排水工程区土石方平衡    </w:t>
      </w:r>
      <w:r>
        <w:rPr>
          <w:rFonts w:hint="default" w:ascii="Times New Roman" w:hAnsi="Times New Roman" w:eastAsia="宋体" w:cs="Times New Roman"/>
          <w:color w:val="auto"/>
          <w:kern w:val="0"/>
          <w:sz w:val="24"/>
          <w:szCs w:val="24"/>
          <w:highlight w:val="none"/>
          <w:u w:val="single"/>
          <w:lang w:val="en-US" w:eastAsia="zh-CN"/>
        </w:rPr>
        <w:t>万m</w:t>
      </w:r>
      <w:r>
        <w:rPr>
          <w:rFonts w:hint="default" w:ascii="Times New Roman" w:hAnsi="Times New Roman" w:eastAsia="宋体" w:cs="Times New Roman"/>
          <w:color w:val="auto"/>
          <w:kern w:val="0"/>
          <w:sz w:val="24"/>
          <w:szCs w:val="24"/>
          <w:highlight w:val="none"/>
          <w:u w:val="single"/>
          <w:vertAlign w:val="superscript"/>
          <w:lang w:val="en-US" w:eastAsia="zh-CN"/>
        </w:rPr>
        <w:t>3</w:t>
      </w:r>
    </w:p>
    <w:p w14:paraId="22DC0637">
      <w:pPr>
        <w:pStyle w:val="5"/>
        <w:bidi w:val="0"/>
        <w:ind w:left="452" w:leftChars="0" w:firstLine="0" w:firstLineChars="0"/>
        <w:rPr>
          <w:rFonts w:hint="default"/>
          <w:color w:val="auto"/>
          <w:highlight w:val="none"/>
          <w:lang w:val="en-US" w:eastAsia="zh-CN"/>
        </w:rPr>
      </w:pPr>
      <w:r>
        <w:rPr>
          <w:rFonts w:hint="default"/>
          <w:color w:val="auto"/>
          <w:highlight w:val="none"/>
          <w:lang w:val="en-US" w:eastAsia="zh-CN"/>
        </w:rPr>
        <w:t>城市更新项目建设服务于金窝水库的排水水系改造段</w:t>
      </w:r>
    </w:p>
    <w:p w14:paraId="4F65EBE9">
      <w:pPr>
        <w:pStyle w:val="913"/>
        <w:numPr>
          <w:ilvl w:val="0"/>
          <w:numId w:val="0"/>
        </w:numPr>
        <w:spacing w:line="360" w:lineRule="auto"/>
        <w:ind w:firstLine="454" w:firstLineChars="200"/>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t>根据初步设计资料，城市更新排水改造区产生的土石方量主要为占地范围内的清除工程、</w:t>
      </w:r>
      <w:r>
        <w:rPr>
          <w:rFonts w:hint="eastAsia" w:ascii="Times New Roman" w:eastAsia="宋体" w:cs="Times New Roman"/>
          <w:color w:val="auto"/>
          <w:kern w:val="0"/>
          <w:sz w:val="24"/>
          <w:szCs w:val="24"/>
          <w:highlight w:val="none"/>
          <w:u w:val="none"/>
          <w:lang w:val="en-US" w:eastAsia="zh-CN"/>
        </w:rPr>
        <w:t>曲绣路</w:t>
      </w:r>
      <w:r>
        <w:rPr>
          <w:rFonts w:hint="default" w:ascii="Times New Roman" w:hAnsi="Times New Roman" w:eastAsia="宋体" w:cs="Times New Roman"/>
          <w:color w:val="auto"/>
          <w:kern w:val="0"/>
          <w:sz w:val="24"/>
          <w:szCs w:val="24"/>
          <w:highlight w:val="none"/>
          <w:u w:val="none"/>
          <w:lang w:val="en-US" w:eastAsia="zh-CN"/>
        </w:rPr>
        <w:t>路基回填工程以及</w:t>
      </w:r>
      <w:r>
        <w:rPr>
          <w:rFonts w:hint="eastAsia" w:ascii="Times New Roman" w:eastAsia="宋体" w:cs="Times New Roman"/>
          <w:color w:val="auto"/>
          <w:kern w:val="0"/>
          <w:sz w:val="24"/>
          <w:szCs w:val="24"/>
          <w:highlight w:val="none"/>
          <w:u w:val="none"/>
          <w:lang w:val="en-US" w:eastAsia="zh-CN"/>
        </w:rPr>
        <w:t>曲绣路</w:t>
      </w:r>
      <w:r>
        <w:rPr>
          <w:rFonts w:hint="default" w:ascii="Times New Roman" w:hAnsi="Times New Roman" w:eastAsia="宋体" w:cs="Times New Roman"/>
          <w:color w:val="auto"/>
          <w:kern w:val="0"/>
          <w:sz w:val="24"/>
          <w:szCs w:val="24"/>
          <w:highlight w:val="none"/>
          <w:u w:val="none"/>
          <w:lang w:val="en-US" w:eastAsia="zh-CN"/>
        </w:rPr>
        <w:t>的覆土工程。经统计城市更新排水改造区挖方量约为1.07万m</w:t>
      </w:r>
      <w:r>
        <w:rPr>
          <w:rFonts w:hint="default" w:ascii="Times New Roman" w:hAnsi="Times New Roman" w:eastAsia="宋体" w:cs="Times New Roman"/>
          <w:color w:val="auto"/>
          <w:kern w:val="0"/>
          <w:sz w:val="24"/>
          <w:szCs w:val="24"/>
          <w:highlight w:val="none"/>
          <w:u w:val="none"/>
          <w:vertAlign w:val="superscript"/>
          <w:lang w:val="en-US" w:eastAsia="zh-CN"/>
        </w:rPr>
        <w:t>3</w:t>
      </w:r>
      <w:r>
        <w:rPr>
          <w:rFonts w:hint="default" w:ascii="Times New Roman" w:hAnsi="Times New Roman" w:eastAsia="宋体" w:cs="Times New Roman"/>
          <w:color w:val="auto"/>
          <w:kern w:val="0"/>
          <w:sz w:val="24"/>
          <w:szCs w:val="24"/>
          <w:highlight w:val="none"/>
          <w:u w:val="none"/>
          <w:lang w:val="en-US" w:eastAsia="zh-CN"/>
        </w:rPr>
        <w:t>（包含表土0.37万m</w:t>
      </w:r>
      <w:r>
        <w:rPr>
          <w:rFonts w:hint="default" w:ascii="Times New Roman" w:hAnsi="Times New Roman" w:eastAsia="宋体" w:cs="Times New Roman"/>
          <w:color w:val="auto"/>
          <w:kern w:val="0"/>
          <w:sz w:val="24"/>
          <w:szCs w:val="24"/>
          <w:highlight w:val="none"/>
          <w:u w:val="none"/>
          <w:vertAlign w:val="superscript"/>
          <w:lang w:val="en-US" w:eastAsia="zh-CN"/>
        </w:rPr>
        <w:t>3</w:t>
      </w:r>
      <w:r>
        <w:rPr>
          <w:rFonts w:hint="default" w:ascii="Times New Roman" w:hAnsi="Times New Roman" w:eastAsia="宋体" w:cs="Times New Roman"/>
          <w:color w:val="auto"/>
          <w:kern w:val="0"/>
          <w:sz w:val="24"/>
          <w:szCs w:val="24"/>
          <w:highlight w:val="none"/>
          <w:u w:val="none"/>
          <w:lang w:val="en-US" w:eastAsia="zh-CN"/>
        </w:rPr>
        <w:t>，淤泥0.70万m</w:t>
      </w:r>
      <w:r>
        <w:rPr>
          <w:rFonts w:hint="default" w:ascii="Times New Roman" w:hAnsi="Times New Roman" w:eastAsia="宋体" w:cs="Times New Roman"/>
          <w:color w:val="auto"/>
          <w:kern w:val="0"/>
          <w:sz w:val="24"/>
          <w:szCs w:val="24"/>
          <w:highlight w:val="none"/>
          <w:u w:val="none"/>
          <w:vertAlign w:val="superscript"/>
          <w:lang w:val="en-US" w:eastAsia="zh-CN"/>
        </w:rPr>
        <w:t>3</w:t>
      </w:r>
      <w:r>
        <w:rPr>
          <w:rFonts w:hint="default" w:ascii="Times New Roman" w:hAnsi="Times New Roman" w:eastAsia="宋体" w:cs="Times New Roman"/>
          <w:color w:val="auto"/>
          <w:kern w:val="0"/>
          <w:sz w:val="24"/>
          <w:szCs w:val="24"/>
          <w:highlight w:val="none"/>
          <w:u w:val="none"/>
          <w:lang w:val="en-US" w:eastAsia="zh-CN"/>
        </w:rPr>
        <w:t>），回填土石方量约为17.85万m</w:t>
      </w:r>
      <w:r>
        <w:rPr>
          <w:rFonts w:hint="default" w:ascii="Times New Roman" w:hAnsi="Times New Roman" w:eastAsia="宋体" w:cs="Times New Roman"/>
          <w:color w:val="auto"/>
          <w:kern w:val="0"/>
          <w:sz w:val="24"/>
          <w:szCs w:val="24"/>
          <w:highlight w:val="none"/>
          <w:u w:val="none"/>
          <w:vertAlign w:val="superscript"/>
          <w:lang w:val="en-US" w:eastAsia="zh-CN"/>
        </w:rPr>
        <w:t>3</w:t>
      </w:r>
      <w:r>
        <w:rPr>
          <w:rFonts w:hint="default" w:ascii="Times New Roman" w:hAnsi="Times New Roman" w:eastAsia="宋体" w:cs="Times New Roman"/>
          <w:color w:val="auto"/>
          <w:kern w:val="0"/>
          <w:sz w:val="24"/>
          <w:szCs w:val="24"/>
          <w:highlight w:val="none"/>
          <w:u w:val="none"/>
          <w:lang w:val="en-US" w:eastAsia="zh-CN"/>
        </w:rPr>
        <w:t>，其中</w:t>
      </w:r>
      <w:r>
        <w:rPr>
          <w:rFonts w:hint="eastAsia" w:ascii="Times New Roman" w:eastAsia="宋体" w:cs="Times New Roman"/>
          <w:color w:val="auto"/>
          <w:kern w:val="0"/>
          <w:sz w:val="24"/>
          <w:szCs w:val="24"/>
          <w:highlight w:val="none"/>
          <w:u w:val="none"/>
          <w:lang w:val="en-US" w:eastAsia="zh-CN"/>
        </w:rPr>
        <w:t>曲绣路</w:t>
      </w:r>
      <w:r>
        <w:rPr>
          <w:rFonts w:hint="default" w:ascii="Times New Roman" w:hAnsi="Times New Roman" w:eastAsia="宋体" w:cs="Times New Roman"/>
          <w:color w:val="auto"/>
          <w:kern w:val="0"/>
          <w:sz w:val="24"/>
          <w:szCs w:val="24"/>
          <w:highlight w:val="none"/>
          <w:u w:val="none"/>
          <w:lang w:val="en-US" w:eastAsia="zh-CN"/>
        </w:rPr>
        <w:t>路基回填工程15.56万m</w:t>
      </w:r>
      <w:r>
        <w:rPr>
          <w:rFonts w:hint="default" w:ascii="Times New Roman" w:hAnsi="Times New Roman" w:eastAsia="宋体" w:cs="Times New Roman"/>
          <w:color w:val="auto"/>
          <w:kern w:val="0"/>
          <w:sz w:val="24"/>
          <w:szCs w:val="24"/>
          <w:highlight w:val="none"/>
          <w:u w:val="none"/>
          <w:vertAlign w:val="superscript"/>
          <w:lang w:val="en-US" w:eastAsia="zh-CN"/>
        </w:rPr>
        <w:t>3</w:t>
      </w:r>
      <w:r>
        <w:rPr>
          <w:rFonts w:hint="default" w:ascii="Times New Roman" w:hAnsi="Times New Roman" w:eastAsia="宋体" w:cs="Times New Roman"/>
          <w:color w:val="auto"/>
          <w:kern w:val="0"/>
          <w:sz w:val="24"/>
          <w:szCs w:val="24"/>
          <w:highlight w:val="none"/>
          <w:u w:val="none"/>
          <w:lang w:val="en-US" w:eastAsia="zh-CN"/>
        </w:rPr>
        <w:t>，拟从钦州港西港区供水水源管网改造工程借土，</w:t>
      </w:r>
      <w:r>
        <w:rPr>
          <w:rFonts w:hint="eastAsia" w:ascii="Times New Roman" w:eastAsia="宋体" w:cs="Times New Roman"/>
          <w:color w:val="auto"/>
          <w:kern w:val="0"/>
          <w:sz w:val="24"/>
          <w:szCs w:val="24"/>
          <w:highlight w:val="none"/>
          <w:u w:val="none"/>
          <w:lang w:val="en-US" w:eastAsia="zh-CN"/>
        </w:rPr>
        <w:t>曲绣路</w:t>
      </w:r>
      <w:r>
        <w:rPr>
          <w:rFonts w:hint="default" w:ascii="Times New Roman" w:hAnsi="Times New Roman" w:eastAsia="宋体" w:cs="Times New Roman"/>
          <w:color w:val="auto"/>
          <w:kern w:val="0"/>
          <w:sz w:val="24"/>
          <w:szCs w:val="24"/>
          <w:highlight w:val="none"/>
          <w:u w:val="none"/>
          <w:lang w:val="en-US" w:eastAsia="zh-CN"/>
        </w:rPr>
        <w:t>覆土工程约为1.07万m</w:t>
      </w:r>
      <w:r>
        <w:rPr>
          <w:rFonts w:hint="default" w:ascii="Times New Roman" w:hAnsi="Times New Roman" w:eastAsia="宋体" w:cs="Times New Roman"/>
          <w:color w:val="auto"/>
          <w:kern w:val="0"/>
          <w:sz w:val="24"/>
          <w:szCs w:val="24"/>
          <w:highlight w:val="none"/>
          <w:u w:val="none"/>
          <w:vertAlign w:val="superscript"/>
          <w:lang w:val="en-US" w:eastAsia="zh-CN"/>
        </w:rPr>
        <w:t>3</w:t>
      </w:r>
      <w:r>
        <w:rPr>
          <w:rFonts w:hint="default" w:ascii="Times New Roman" w:hAnsi="Times New Roman" w:eastAsia="宋体" w:cs="Times New Roman"/>
          <w:color w:val="auto"/>
          <w:kern w:val="0"/>
          <w:sz w:val="24"/>
          <w:szCs w:val="24"/>
          <w:highlight w:val="none"/>
          <w:u w:val="none"/>
          <w:lang w:val="en-US" w:eastAsia="zh-CN"/>
        </w:rPr>
        <w:t>（包含表土0.37万m</w:t>
      </w:r>
      <w:r>
        <w:rPr>
          <w:rFonts w:hint="default" w:ascii="Times New Roman" w:hAnsi="Times New Roman" w:eastAsia="宋体" w:cs="Times New Roman"/>
          <w:color w:val="auto"/>
          <w:kern w:val="0"/>
          <w:sz w:val="24"/>
          <w:szCs w:val="24"/>
          <w:highlight w:val="none"/>
          <w:u w:val="none"/>
          <w:vertAlign w:val="superscript"/>
          <w:lang w:val="en-US" w:eastAsia="zh-CN"/>
        </w:rPr>
        <w:t>3</w:t>
      </w:r>
      <w:r>
        <w:rPr>
          <w:rFonts w:hint="default" w:ascii="Times New Roman" w:hAnsi="Times New Roman" w:eastAsia="宋体" w:cs="Times New Roman"/>
          <w:color w:val="auto"/>
          <w:kern w:val="0"/>
          <w:sz w:val="24"/>
          <w:szCs w:val="24"/>
          <w:highlight w:val="none"/>
          <w:u w:val="none"/>
          <w:lang w:val="en-US" w:eastAsia="zh-CN"/>
        </w:rPr>
        <w:t>，淤泥0.70万m</w:t>
      </w:r>
      <w:r>
        <w:rPr>
          <w:rFonts w:hint="default" w:ascii="Times New Roman" w:hAnsi="Times New Roman" w:eastAsia="宋体" w:cs="Times New Roman"/>
          <w:color w:val="auto"/>
          <w:kern w:val="0"/>
          <w:sz w:val="24"/>
          <w:szCs w:val="24"/>
          <w:highlight w:val="none"/>
          <w:u w:val="none"/>
          <w:vertAlign w:val="superscript"/>
          <w:lang w:val="en-US" w:eastAsia="zh-CN"/>
        </w:rPr>
        <w:t>3</w:t>
      </w:r>
      <w:r>
        <w:rPr>
          <w:rFonts w:hint="default" w:ascii="Times New Roman" w:hAnsi="Times New Roman" w:eastAsia="宋体" w:cs="Times New Roman"/>
          <w:color w:val="auto"/>
          <w:kern w:val="0"/>
          <w:sz w:val="24"/>
          <w:szCs w:val="24"/>
          <w:highlight w:val="none"/>
          <w:u w:val="none"/>
          <w:lang w:val="en-US" w:eastAsia="zh-CN"/>
        </w:rPr>
        <w:t>）。</w:t>
      </w:r>
    </w:p>
    <w:p w14:paraId="1ED7327B">
      <w:pPr>
        <w:pStyle w:val="913"/>
        <w:numPr>
          <w:ilvl w:val="0"/>
          <w:numId w:val="0"/>
        </w:numPr>
        <w:spacing w:line="360" w:lineRule="auto"/>
        <w:ind w:firstLine="454" w:firstLineChars="200"/>
        <w:rPr>
          <w:rFonts w:hint="default" w:ascii="Times New Roman" w:hAnsi="Times New Roman" w:eastAsia="宋体" w:cs="Times New Roman"/>
          <w:color w:val="auto"/>
          <w:kern w:val="0"/>
          <w:sz w:val="24"/>
          <w:szCs w:val="24"/>
          <w:highlight w:val="none"/>
          <w:u w:val="single"/>
          <w:lang w:val="en-US" w:eastAsia="zh-CN"/>
        </w:rPr>
      </w:pPr>
      <w:r>
        <w:rPr>
          <w:rFonts w:hint="eastAsia" w:ascii="Times New Roman" w:hAnsi="Times New Roman" w:eastAsia="宋体" w:cs="Times New Roman"/>
          <w:color w:val="auto"/>
          <w:kern w:val="0"/>
          <w:sz w:val="24"/>
          <w:szCs w:val="24"/>
          <w:highlight w:val="none"/>
          <w:u w:val="single"/>
          <w:lang w:val="en-US" w:eastAsia="zh-CN"/>
        </w:rPr>
        <w:t>该项目区涉及水域，</w:t>
      </w:r>
      <w:r>
        <w:rPr>
          <w:rFonts w:hint="default" w:ascii="Times New Roman" w:hAnsi="Times New Roman" w:eastAsia="宋体" w:cs="Times New Roman"/>
          <w:color w:val="auto"/>
          <w:kern w:val="0"/>
          <w:sz w:val="24"/>
          <w:szCs w:val="24"/>
          <w:highlight w:val="none"/>
          <w:u w:val="single"/>
          <w:lang w:val="en-US" w:eastAsia="zh-CN"/>
        </w:rPr>
        <w:t>施工选择在枯水期施工，采用土石围堰，围堰顶部高程根据一般枯水位加安全超高0.</w:t>
      </w:r>
      <w:r>
        <w:rPr>
          <w:rFonts w:hint="eastAsia" w:ascii="Times New Roman" w:hAnsi="Times New Roman" w:eastAsia="宋体" w:cs="Times New Roman"/>
          <w:color w:val="auto"/>
          <w:kern w:val="0"/>
          <w:sz w:val="24"/>
          <w:szCs w:val="24"/>
          <w:highlight w:val="none"/>
          <w:u w:val="single"/>
          <w:lang w:val="en-US" w:eastAsia="zh-CN"/>
        </w:rPr>
        <w:t>5</w:t>
      </w:r>
      <w:r>
        <w:rPr>
          <w:rFonts w:hint="default" w:ascii="Times New Roman" w:hAnsi="Times New Roman" w:eastAsia="宋体" w:cs="Times New Roman"/>
          <w:color w:val="auto"/>
          <w:kern w:val="0"/>
          <w:sz w:val="24"/>
          <w:szCs w:val="24"/>
          <w:highlight w:val="none"/>
          <w:u w:val="single"/>
          <w:lang w:val="en-US" w:eastAsia="zh-CN"/>
        </w:rPr>
        <w:t>m，堰顶宽度</w:t>
      </w:r>
      <w:r>
        <w:rPr>
          <w:rFonts w:hint="eastAsia" w:ascii="Times New Roman" w:hAnsi="Times New Roman" w:eastAsia="宋体" w:cs="Times New Roman"/>
          <w:color w:val="auto"/>
          <w:kern w:val="0"/>
          <w:sz w:val="24"/>
          <w:szCs w:val="24"/>
          <w:highlight w:val="none"/>
          <w:u w:val="single"/>
          <w:lang w:val="en-US" w:eastAsia="zh-CN"/>
        </w:rPr>
        <w:t>0.5</w:t>
      </w:r>
      <w:r>
        <w:rPr>
          <w:rFonts w:hint="default" w:ascii="Times New Roman" w:hAnsi="Times New Roman" w:eastAsia="宋体" w:cs="Times New Roman"/>
          <w:color w:val="auto"/>
          <w:kern w:val="0"/>
          <w:sz w:val="24"/>
          <w:szCs w:val="24"/>
          <w:highlight w:val="none"/>
          <w:u w:val="single"/>
          <w:lang w:val="en-US" w:eastAsia="zh-CN"/>
        </w:rPr>
        <w:t>m，围堰</w:t>
      </w:r>
      <w:r>
        <w:rPr>
          <w:rFonts w:hint="eastAsia" w:ascii="Times New Roman" w:hAnsi="Times New Roman" w:eastAsia="宋体" w:cs="Times New Roman"/>
          <w:color w:val="auto"/>
          <w:kern w:val="0"/>
          <w:sz w:val="24"/>
          <w:szCs w:val="24"/>
          <w:highlight w:val="none"/>
          <w:u w:val="single"/>
          <w:lang w:val="en-US" w:eastAsia="zh-CN"/>
        </w:rPr>
        <w:t>临水侧</w:t>
      </w:r>
      <w:r>
        <w:rPr>
          <w:rFonts w:hint="default" w:ascii="Times New Roman" w:hAnsi="Times New Roman" w:eastAsia="宋体" w:cs="Times New Roman"/>
          <w:color w:val="auto"/>
          <w:kern w:val="0"/>
          <w:sz w:val="24"/>
          <w:szCs w:val="24"/>
          <w:highlight w:val="none"/>
          <w:u w:val="single"/>
          <w:lang w:val="en-US" w:eastAsia="zh-CN"/>
        </w:rPr>
        <w:t>坡比均为1:1.5</w:t>
      </w:r>
      <w:r>
        <w:rPr>
          <w:rFonts w:hint="eastAsia" w:ascii="Times New Roman" w:hAnsi="Times New Roman" w:eastAsia="宋体" w:cs="Times New Roman"/>
          <w:color w:val="auto"/>
          <w:kern w:val="0"/>
          <w:sz w:val="24"/>
          <w:szCs w:val="24"/>
          <w:highlight w:val="none"/>
          <w:u w:val="single"/>
          <w:lang w:val="en-US" w:eastAsia="zh-CN"/>
        </w:rPr>
        <w:t>，管槽侧坡比为1:1</w:t>
      </w:r>
      <w:r>
        <w:rPr>
          <w:rFonts w:hint="default" w:ascii="Times New Roman" w:hAnsi="Times New Roman" w:eastAsia="宋体" w:cs="Times New Roman"/>
          <w:color w:val="auto"/>
          <w:kern w:val="0"/>
          <w:sz w:val="24"/>
          <w:szCs w:val="24"/>
          <w:highlight w:val="none"/>
          <w:u w:val="single"/>
          <w:lang w:val="en-US" w:eastAsia="zh-CN"/>
        </w:rPr>
        <w:t>。临时围堰回填土石方</w:t>
      </w:r>
      <w:r>
        <w:rPr>
          <w:rFonts w:hint="eastAsia" w:ascii="Times New Roman" w:hAnsi="Times New Roman" w:eastAsia="宋体" w:cs="Times New Roman"/>
          <w:color w:val="auto"/>
          <w:kern w:val="0"/>
          <w:sz w:val="24"/>
          <w:szCs w:val="24"/>
          <w:highlight w:val="none"/>
          <w:u w:val="single"/>
          <w:lang w:val="en-US" w:eastAsia="zh-CN"/>
        </w:rPr>
        <w:t>0.13</w:t>
      </w:r>
      <w:r>
        <w:rPr>
          <w:rFonts w:hint="default" w:ascii="Times New Roman" w:hAnsi="Times New Roman" w:eastAsia="宋体" w:cs="Times New Roman"/>
          <w:color w:val="auto"/>
          <w:kern w:val="0"/>
          <w:sz w:val="24"/>
          <w:szCs w:val="24"/>
          <w:highlight w:val="none"/>
          <w:u w:val="single"/>
          <w:lang w:val="en-US" w:eastAsia="zh-CN"/>
        </w:rPr>
        <w:t>万m</w:t>
      </w:r>
      <w:r>
        <w:rPr>
          <w:rFonts w:hint="default" w:ascii="Times New Roman" w:hAnsi="Times New Roman" w:eastAsia="宋体" w:cs="Times New Roman"/>
          <w:color w:val="auto"/>
          <w:kern w:val="0"/>
          <w:sz w:val="24"/>
          <w:szCs w:val="24"/>
          <w:highlight w:val="none"/>
          <w:u w:val="single"/>
          <w:vertAlign w:val="superscript"/>
          <w:lang w:val="en-US" w:eastAsia="zh-CN"/>
        </w:rPr>
        <w:t>3</w:t>
      </w:r>
      <w:r>
        <w:rPr>
          <w:rFonts w:hint="default" w:ascii="Times New Roman" w:hAnsi="Times New Roman" w:eastAsia="宋体" w:cs="Times New Roman"/>
          <w:color w:val="auto"/>
          <w:kern w:val="0"/>
          <w:sz w:val="24"/>
          <w:szCs w:val="24"/>
          <w:highlight w:val="none"/>
          <w:u w:val="single"/>
          <w:lang w:val="en-US" w:eastAsia="zh-CN"/>
        </w:rPr>
        <w:t>，围堰填筑的土石方来自</w:t>
      </w:r>
      <w:r>
        <w:rPr>
          <w:rFonts w:hint="eastAsia" w:ascii="Times New Roman" w:hAnsi="Times New Roman" w:eastAsia="宋体" w:cs="Times New Roman"/>
          <w:color w:val="auto"/>
          <w:kern w:val="0"/>
          <w:sz w:val="24"/>
          <w:szCs w:val="24"/>
          <w:highlight w:val="none"/>
          <w:u w:val="single"/>
          <w:lang w:val="en-US" w:eastAsia="zh-CN"/>
        </w:rPr>
        <w:t>钦州港西港区供水水源管网改造工程，</w:t>
      </w:r>
      <w:r>
        <w:rPr>
          <w:rFonts w:hint="default" w:ascii="Times New Roman" w:hAnsi="Times New Roman" w:eastAsia="宋体" w:cs="Times New Roman"/>
          <w:color w:val="auto"/>
          <w:kern w:val="0"/>
          <w:sz w:val="24"/>
          <w:szCs w:val="24"/>
          <w:highlight w:val="none"/>
          <w:u w:val="single"/>
          <w:lang w:val="en-US" w:eastAsia="zh-CN"/>
        </w:rPr>
        <w:t>施工结束后拆除围堰</w:t>
      </w:r>
      <w:r>
        <w:rPr>
          <w:rFonts w:hint="eastAsia" w:ascii="Times New Roman" w:hAnsi="Times New Roman" w:eastAsia="宋体" w:cs="Times New Roman"/>
          <w:color w:val="auto"/>
          <w:kern w:val="0"/>
          <w:sz w:val="24"/>
          <w:szCs w:val="24"/>
          <w:highlight w:val="none"/>
          <w:u w:val="single"/>
          <w:lang w:val="en-US" w:eastAsia="zh-CN"/>
        </w:rPr>
        <w:t>用于曲绣路</w:t>
      </w:r>
      <w:r>
        <w:rPr>
          <w:rFonts w:hint="default" w:ascii="Times New Roman" w:hAnsi="Times New Roman" w:eastAsia="宋体" w:cs="Times New Roman"/>
          <w:color w:val="auto"/>
          <w:kern w:val="0"/>
          <w:sz w:val="24"/>
          <w:szCs w:val="24"/>
          <w:highlight w:val="none"/>
          <w:u w:val="single"/>
          <w:lang w:val="en-US" w:eastAsia="zh-CN"/>
        </w:rPr>
        <w:t>路基回填工程</w:t>
      </w:r>
      <w:r>
        <w:rPr>
          <w:rFonts w:hint="eastAsia" w:ascii="Times New Roman" w:hAnsi="Times New Roman" w:eastAsia="宋体" w:cs="Times New Roman"/>
          <w:color w:val="auto"/>
          <w:kern w:val="0"/>
          <w:sz w:val="24"/>
          <w:szCs w:val="24"/>
          <w:highlight w:val="none"/>
          <w:u w:val="single"/>
          <w:lang w:val="en-US" w:eastAsia="zh-CN"/>
        </w:rPr>
        <w:t>。</w:t>
      </w:r>
    </w:p>
    <w:p w14:paraId="3839B209">
      <w:pPr>
        <w:pStyle w:val="913"/>
        <w:numPr>
          <w:ilvl w:val="0"/>
          <w:numId w:val="0"/>
        </w:numPr>
        <w:spacing w:line="360" w:lineRule="auto"/>
        <w:ind w:firstLine="454" w:firstLineChars="200"/>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t>该项目区清除的淤泥富含丰富有机质，满足植被的生长需求，晒干后可用于本项目路基边坡的绿化覆土，减少了本项目的弃方，提高了本项目的土石方利用率，符合水土保持要求。</w:t>
      </w:r>
    </w:p>
    <w:p w14:paraId="1E42C820">
      <w:pPr>
        <w:pStyle w:val="91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object>
          <v:shape id="_x0000_i1027" o:spt="75" type="#_x0000_t75" style="height:177.5pt;width:469.65pt;" o:ole="t" filled="f" o:preferrelative="t" stroked="f" coordsize="21600,21600">
            <v:path/>
            <v:fill on="f" focussize="0,0"/>
            <v:stroke on="f"/>
            <v:imagedata r:id="rId46" o:title=""/>
            <o:lock v:ext="edit" aspectratio="t"/>
            <w10:wrap type="none"/>
            <w10:anchorlock/>
          </v:shape>
          <o:OLEObject Type="Embed" ProgID="Visio.Drawing.11" ShapeID="_x0000_i1027" DrawAspect="Content" ObjectID="_1468075727" r:id="rId45">
            <o:LockedField>false</o:LockedField>
          </o:OLEObject>
        </w:object>
      </w:r>
    </w:p>
    <w:p w14:paraId="55576969">
      <w:pPr>
        <w:pStyle w:val="588"/>
        <w:bidi w:val="0"/>
        <w:ind w:left="0" w:leftChars="0" w:firstLine="0" w:firstLineChars="0"/>
        <w:rPr>
          <w:rFonts w:hint="default" w:ascii="Times New Roman" w:hAnsi="Times New Roman" w:eastAsia="宋体" w:cs="Times New Roman"/>
          <w:color w:val="auto"/>
          <w:kern w:val="0"/>
          <w:sz w:val="24"/>
          <w:szCs w:val="24"/>
          <w:highlight w:val="none"/>
          <w:u w:val="single"/>
          <w:lang w:val="en-US" w:eastAsia="zh-CN"/>
        </w:rPr>
      </w:pPr>
      <w:r>
        <w:rPr>
          <w:rFonts w:hint="default"/>
          <w:color w:val="auto"/>
          <w:highlight w:val="none"/>
          <w:lang w:val="en-US" w:eastAsia="zh-CN"/>
        </w:rPr>
        <w:t>城市更新项目建设服务于金窝水库</w:t>
      </w:r>
      <w:r>
        <w:rPr>
          <w:rFonts w:hint="eastAsia"/>
          <w:color w:val="auto"/>
          <w:highlight w:val="none"/>
          <w:lang w:val="en-US" w:eastAsia="zh-CN"/>
        </w:rPr>
        <w:t xml:space="preserve">区土石方平衡  </w:t>
      </w:r>
      <w:r>
        <w:rPr>
          <w:rFonts w:hint="default" w:ascii="Times New Roman" w:hAnsi="Times New Roman" w:eastAsia="宋体" w:cs="Times New Roman"/>
          <w:color w:val="auto"/>
          <w:kern w:val="0"/>
          <w:sz w:val="24"/>
          <w:szCs w:val="24"/>
          <w:highlight w:val="none"/>
          <w:u w:val="single"/>
          <w:lang w:val="en-US" w:eastAsia="zh-CN"/>
        </w:rPr>
        <w:t>万m</w:t>
      </w:r>
      <w:r>
        <w:rPr>
          <w:rFonts w:hint="default" w:ascii="Times New Roman" w:hAnsi="Times New Roman" w:eastAsia="宋体" w:cs="Times New Roman"/>
          <w:color w:val="auto"/>
          <w:kern w:val="0"/>
          <w:sz w:val="24"/>
          <w:szCs w:val="24"/>
          <w:highlight w:val="none"/>
          <w:u w:val="single"/>
          <w:vertAlign w:val="superscript"/>
          <w:lang w:val="en-US" w:eastAsia="zh-CN"/>
        </w:rPr>
        <w:t>3</w:t>
      </w:r>
    </w:p>
    <w:p w14:paraId="5DF62F33">
      <w:pPr>
        <w:pStyle w:val="5"/>
        <w:bidi w:val="0"/>
        <w:ind w:left="452" w:leftChars="0" w:firstLine="0" w:firstLineChars="0"/>
        <w:rPr>
          <w:rFonts w:hint="default"/>
          <w:color w:val="auto"/>
          <w:highlight w:val="none"/>
          <w:lang w:val="en-US" w:eastAsia="zh-CN"/>
        </w:rPr>
      </w:pPr>
      <w:r>
        <w:rPr>
          <w:rFonts w:hint="default"/>
          <w:color w:val="auto"/>
          <w:highlight w:val="none"/>
          <w:lang w:val="en-US" w:eastAsia="zh-CN"/>
        </w:rPr>
        <w:t>土石方平衡计算表及流向图</w:t>
      </w:r>
    </w:p>
    <w:p w14:paraId="091B3D15">
      <w:pPr>
        <w:pStyle w:val="913"/>
        <w:numPr>
          <w:ilvl w:val="0"/>
          <w:numId w:val="0"/>
        </w:numPr>
        <w:spacing w:line="360" w:lineRule="auto"/>
        <w:ind w:firstLine="454" w:firstLineChars="200"/>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t>本项目清除的耕植土（表土）和淤泥用于本项目路基边坡的绿化覆土，本项目对路基回填后铺设管网，路面及其他工程不属于本次建设内容，为避免道路长时间裸露，本次铺设管网后对路基及路基边坡绿化覆土后撒播草籽植被覆盖。</w:t>
      </w:r>
    </w:p>
    <w:p w14:paraId="633EB5C5">
      <w:pPr>
        <w:pStyle w:val="913"/>
        <w:numPr>
          <w:ilvl w:val="0"/>
          <w:numId w:val="0"/>
        </w:numPr>
        <w:spacing w:line="360" w:lineRule="auto"/>
        <w:ind w:firstLine="454" w:firstLineChars="200"/>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t>本项目路基回填过程需外借土方22.30万m</w:t>
      </w:r>
      <w:r>
        <w:rPr>
          <w:rFonts w:hint="default" w:ascii="Times New Roman" w:hAnsi="Times New Roman" w:eastAsia="宋体" w:cs="Times New Roman"/>
          <w:color w:val="auto"/>
          <w:kern w:val="0"/>
          <w:sz w:val="24"/>
          <w:szCs w:val="24"/>
          <w:highlight w:val="none"/>
          <w:u w:val="none"/>
          <w:vertAlign w:val="superscript"/>
          <w:lang w:val="en-US" w:eastAsia="zh-CN"/>
        </w:rPr>
        <w:t>3</w:t>
      </w:r>
      <w:r>
        <w:rPr>
          <w:rFonts w:hint="default" w:ascii="Times New Roman" w:hAnsi="Times New Roman" w:eastAsia="宋体" w:cs="Times New Roman"/>
          <w:color w:val="auto"/>
          <w:kern w:val="0"/>
          <w:sz w:val="24"/>
          <w:szCs w:val="24"/>
          <w:highlight w:val="none"/>
          <w:u w:val="none"/>
          <w:lang w:val="en-US" w:eastAsia="zh-CN"/>
        </w:rPr>
        <w:t>，拟从同期开发建设的钦州港西港区供水水源管网改造工程调运。钦州港西港区供水水源管网改造工程位于本项目北面约680m，由广西自贸区临海土地整治开发有限公司开发建设，该项目建设过程中需外弃土方约22.30万m</w:t>
      </w:r>
      <w:r>
        <w:rPr>
          <w:rFonts w:hint="default" w:ascii="Times New Roman" w:hAnsi="Times New Roman" w:eastAsia="宋体" w:cs="Times New Roman"/>
          <w:color w:val="auto"/>
          <w:kern w:val="0"/>
          <w:sz w:val="24"/>
          <w:szCs w:val="24"/>
          <w:highlight w:val="none"/>
          <w:u w:val="none"/>
          <w:vertAlign w:val="superscript"/>
          <w:lang w:val="en-US" w:eastAsia="zh-CN"/>
        </w:rPr>
        <w:t>3</w:t>
      </w:r>
      <w:r>
        <w:rPr>
          <w:rFonts w:hint="default" w:ascii="Times New Roman" w:hAnsi="Times New Roman" w:eastAsia="宋体" w:cs="Times New Roman"/>
          <w:color w:val="auto"/>
          <w:kern w:val="0"/>
          <w:sz w:val="24"/>
          <w:szCs w:val="24"/>
          <w:highlight w:val="none"/>
          <w:u w:val="none"/>
          <w:lang w:val="en-US" w:eastAsia="zh-CN"/>
        </w:rPr>
        <w:t>，土方量及土质满足本项目的需求。两项目为同期工程，调运过程不存在时差，可通过已有的锦绣大道、和谐大道到达，无需修建施工便道。土方在运输过程中，要注意拦挡和遮盖，防止洒落，发现沿线运输道路有洒落土石方时，要及时清扫，以减少对行人的影响，同时，运输过程要注意洒水，避免扬尘。</w:t>
      </w:r>
    </w:p>
    <w:p w14:paraId="1F2ED632">
      <w:pPr>
        <w:pStyle w:val="684"/>
        <w:ind w:firstLine="453"/>
        <w:rPr>
          <w:rFonts w:hint="default" w:ascii="Times New Roman" w:hAnsi="Times New Roman" w:cs="Times New Roman"/>
          <w:color w:val="auto"/>
          <w:highlight w:val="none"/>
        </w:rPr>
      </w:pPr>
      <w:r>
        <w:rPr>
          <w:rFonts w:hint="default" w:ascii="Times New Roman" w:hAnsi="Times New Roman" w:eastAsia="宋体" w:cs="Times New Roman"/>
          <w:b w:val="0"/>
          <w:bCs/>
          <w:color w:val="auto"/>
          <w:kern w:val="2"/>
          <w:sz w:val="24"/>
          <w:szCs w:val="32"/>
          <w:highlight w:val="none"/>
          <w:lang w:val="en-US" w:eastAsia="zh-CN" w:bidi="ar-SA"/>
        </w:rPr>
        <w:t>工程</w:t>
      </w:r>
      <w:r>
        <w:rPr>
          <w:rFonts w:hint="default" w:ascii="Times New Roman" w:hAnsi="Times New Roman" w:cs="Times New Roman"/>
          <w:color w:val="auto"/>
          <w:highlight w:val="none"/>
        </w:rPr>
        <w:t>土石方数量平衡见</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_Ref138777166 \r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表2.6-1</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，土石流向见</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_Ref138777376 \r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图2.1-5</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w:t>
      </w:r>
    </w:p>
    <w:p w14:paraId="59C2C86C">
      <w:pPr>
        <w:widowControl/>
        <w:spacing w:line="500" w:lineRule="exact"/>
        <w:ind w:firstLine="454" w:firstLineChars="200"/>
        <w:rPr>
          <w:rFonts w:hint="default" w:ascii="Times New Roman" w:hAnsi="Times New Roman" w:cs="Times New Roman"/>
          <w:color w:val="auto"/>
          <w:highlight w:val="none"/>
        </w:rPr>
        <w:sectPr>
          <w:headerReference r:id="rId10" w:type="default"/>
          <w:pgSz w:w="11906" w:h="16838"/>
          <w:pgMar w:top="1418" w:right="1514" w:bottom="1276" w:left="1780" w:header="737" w:footer="992" w:gutter="0"/>
          <w:cols w:space="720" w:num="1"/>
          <w:docGrid w:type="linesAndChars" w:linePitch="466" w:charSpace="-2738"/>
        </w:sectPr>
      </w:pPr>
    </w:p>
    <w:p w14:paraId="74FF4587">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lang w:val="en-US" w:eastAsia="zh-CN"/>
        </w:rPr>
      </w:pPr>
      <w:bookmarkStart w:id="49" w:name="_Ref138777166"/>
      <w:r>
        <w:rPr>
          <w:rFonts w:hint="default"/>
          <w:color w:val="auto"/>
          <w:highlight w:val="none"/>
          <w:lang w:val="en-US" w:eastAsia="zh-CN"/>
        </w:rPr>
        <w:t>土石方数量平衡计算表             单位：万m</w:t>
      </w:r>
      <w:r>
        <w:rPr>
          <w:rFonts w:hint="default"/>
          <w:color w:val="auto"/>
          <w:highlight w:val="none"/>
          <w:vertAlign w:val="superscript"/>
          <w:lang w:val="en-US" w:eastAsia="zh-CN"/>
        </w:rPr>
        <w:t>3</w:t>
      </w:r>
      <w:bookmarkEnd w:id="49"/>
    </w:p>
    <w:tbl>
      <w:tblPr>
        <w:tblStyle w:val="8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88"/>
        <w:gridCol w:w="1499"/>
        <w:gridCol w:w="750"/>
        <w:gridCol w:w="1004"/>
        <w:gridCol w:w="618"/>
        <w:gridCol w:w="618"/>
        <w:gridCol w:w="618"/>
        <w:gridCol w:w="1064"/>
        <w:gridCol w:w="618"/>
        <w:gridCol w:w="689"/>
        <w:gridCol w:w="618"/>
        <w:gridCol w:w="562"/>
        <w:gridCol w:w="618"/>
        <w:gridCol w:w="636"/>
        <w:gridCol w:w="689"/>
        <w:gridCol w:w="2471"/>
      </w:tblGrid>
      <w:tr w14:paraId="40766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 w:hRule="atLeast"/>
        </w:trPr>
        <w:tc>
          <w:tcPr>
            <w:tcW w:w="2789"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6195D4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项目</w:t>
            </w:r>
          </w:p>
        </w:tc>
        <w:tc>
          <w:tcPr>
            <w:tcW w:w="2986" w:type="dxa"/>
            <w:gridSpan w:val="4"/>
            <w:tcBorders>
              <w:top w:val="single" w:color="000000" w:sz="4" w:space="0"/>
              <w:left w:val="single" w:color="000000" w:sz="4" w:space="0"/>
              <w:bottom w:val="single" w:color="000000" w:sz="4" w:space="0"/>
              <w:right w:val="single" w:color="000000" w:sz="4" w:space="0"/>
            </w:tcBorders>
            <w:noWrap w:val="0"/>
            <w:vAlign w:val="center"/>
          </w:tcPr>
          <w:p w14:paraId="16C86A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挖方</w:t>
            </w:r>
          </w:p>
        </w:tc>
        <w:tc>
          <w:tcPr>
            <w:tcW w:w="0" w:type="auto"/>
            <w:gridSpan w:val="4"/>
            <w:tcBorders>
              <w:top w:val="single" w:color="000000" w:sz="4" w:space="0"/>
              <w:left w:val="single" w:color="000000" w:sz="4" w:space="0"/>
              <w:bottom w:val="single" w:color="000000" w:sz="4" w:space="0"/>
              <w:right w:val="single" w:color="000000" w:sz="4" w:space="0"/>
            </w:tcBorders>
            <w:noWrap w:val="0"/>
            <w:vAlign w:val="center"/>
          </w:tcPr>
          <w:p w14:paraId="0ED634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填方</w:t>
            </w:r>
          </w:p>
        </w:tc>
        <w:tc>
          <w:tcPr>
            <w:tcW w:w="0" w:type="auto"/>
            <w:gridSpan w:val="2"/>
            <w:tcBorders>
              <w:top w:val="single" w:color="000000" w:sz="4" w:space="0"/>
              <w:left w:val="single" w:color="000000" w:sz="4" w:space="0"/>
              <w:bottom w:val="single" w:color="000000" w:sz="4" w:space="0"/>
              <w:right w:val="single" w:color="000000" w:sz="4" w:space="0"/>
            </w:tcBorders>
            <w:noWrap w:val="0"/>
            <w:vAlign w:val="center"/>
          </w:tcPr>
          <w:p w14:paraId="598AAC8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调出</w:t>
            </w:r>
          </w:p>
        </w:tc>
        <w:tc>
          <w:tcPr>
            <w:tcW w:w="0" w:type="auto"/>
            <w:gridSpan w:val="2"/>
            <w:tcBorders>
              <w:top w:val="single" w:color="000000" w:sz="4" w:space="0"/>
              <w:left w:val="single" w:color="000000" w:sz="4" w:space="0"/>
              <w:bottom w:val="single" w:color="000000" w:sz="4" w:space="0"/>
              <w:right w:val="single" w:color="000000" w:sz="4" w:space="0"/>
            </w:tcBorders>
            <w:noWrap w:val="0"/>
            <w:vAlign w:val="center"/>
          </w:tcPr>
          <w:p w14:paraId="3D9374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调入</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78CCD6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借方</w:t>
            </w:r>
          </w:p>
        </w:tc>
      </w:tr>
      <w:tr w14:paraId="3385B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2789"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4C668F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79DFE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表土</w:t>
            </w:r>
          </w:p>
        </w:tc>
        <w:tc>
          <w:tcPr>
            <w:tcW w:w="1004" w:type="dxa"/>
            <w:tcBorders>
              <w:top w:val="single" w:color="000000" w:sz="4" w:space="0"/>
              <w:left w:val="single" w:color="000000" w:sz="4" w:space="0"/>
              <w:bottom w:val="single" w:color="000000" w:sz="4" w:space="0"/>
              <w:right w:val="single" w:color="000000" w:sz="4" w:space="0"/>
            </w:tcBorders>
            <w:noWrap w:val="0"/>
            <w:vAlign w:val="center"/>
          </w:tcPr>
          <w:p w14:paraId="1C3953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普通土石方</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ECAF2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淤泥</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01DD8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小计</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49E95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表土</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40BE6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普通土石方</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5CAC4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淤泥</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9ED7B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小计</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D79FB3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02ABF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去向</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35C18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AF76A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来源</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2A489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3CCB06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来源</w:t>
            </w:r>
          </w:p>
        </w:tc>
      </w:tr>
      <w:tr w14:paraId="34EFF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289" w:type="dxa"/>
            <w:vMerge w:val="restart"/>
            <w:tcBorders>
              <w:top w:val="single" w:color="000000" w:sz="4" w:space="0"/>
              <w:left w:val="single" w:color="000000" w:sz="4" w:space="0"/>
              <w:bottom w:val="single" w:color="000000" w:sz="4" w:space="0"/>
              <w:right w:val="single" w:color="000000" w:sz="4" w:space="0"/>
            </w:tcBorders>
            <w:noWrap w:val="0"/>
            <w:vAlign w:val="center"/>
          </w:tcPr>
          <w:p w14:paraId="20645E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锦绣大道排水改造区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9790F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①排水沟</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8F014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0.03</w:t>
            </w:r>
          </w:p>
        </w:tc>
        <w:tc>
          <w:tcPr>
            <w:tcW w:w="1004" w:type="dxa"/>
            <w:tcBorders>
              <w:top w:val="single" w:color="000000" w:sz="4" w:space="0"/>
              <w:left w:val="single" w:color="000000" w:sz="4" w:space="0"/>
              <w:bottom w:val="single" w:color="000000" w:sz="4" w:space="0"/>
              <w:right w:val="single" w:color="000000" w:sz="4" w:space="0"/>
            </w:tcBorders>
            <w:noWrap w:val="0"/>
            <w:vAlign w:val="center"/>
          </w:tcPr>
          <w:p w14:paraId="56B12E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0.93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92465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8B4A1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0.96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0BCEA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0.03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4160D9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0.02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0B533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92EE3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0.05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165A1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0.91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983BD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④</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4B82E7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6CFC3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454D0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A9893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p>
        </w:tc>
      </w:tr>
      <w:tr w14:paraId="33E30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2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B8DE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F8D1F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②管网工程</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70BCF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1004" w:type="dxa"/>
            <w:tcBorders>
              <w:top w:val="single" w:color="000000" w:sz="4" w:space="0"/>
              <w:left w:val="single" w:color="000000" w:sz="4" w:space="0"/>
              <w:bottom w:val="single" w:color="000000" w:sz="4" w:space="0"/>
              <w:right w:val="single" w:color="000000" w:sz="4" w:space="0"/>
            </w:tcBorders>
            <w:noWrap w:val="0"/>
            <w:vAlign w:val="center"/>
          </w:tcPr>
          <w:p w14:paraId="397228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1.33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D0D146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4B314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1.33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88CDB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C1BD2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A266E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8AC17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0.98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5E18C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0.35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AD36E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④</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7DD53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006C8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E0C11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DCD3D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p>
        </w:tc>
      </w:tr>
      <w:tr w14:paraId="0DB4A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2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DAADB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66C29F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小计</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8461D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1004" w:type="dxa"/>
            <w:tcBorders>
              <w:top w:val="single" w:color="000000" w:sz="4" w:space="0"/>
              <w:left w:val="single" w:color="000000" w:sz="4" w:space="0"/>
              <w:bottom w:val="single" w:color="000000" w:sz="4" w:space="0"/>
              <w:right w:val="single" w:color="000000" w:sz="4" w:space="0"/>
            </w:tcBorders>
            <w:noWrap w:val="0"/>
            <w:vAlign w:val="center"/>
          </w:tcPr>
          <w:p w14:paraId="42A1BB7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2.26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C6C75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ABC9DB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2.29</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43C465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AB74C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1</w:t>
            </w:r>
            <w:r>
              <w:rPr>
                <w:rFonts w:hint="eastAsia" w:ascii="Times New Roman" w:hAnsi="Times New Roman" w:eastAsia="仿宋_GB2312" w:cs="Times New Roman"/>
                <w:i w:val="0"/>
                <w:iCs w:val="0"/>
                <w:color w:val="auto"/>
                <w:kern w:val="0"/>
                <w:sz w:val="21"/>
                <w:szCs w:val="21"/>
                <w:highlight w:val="none"/>
                <w:u w:val="single"/>
                <w:lang w:val="en-US" w:eastAsia="zh-CN" w:bidi="ar"/>
              </w:rPr>
              <w:t>.00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61595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9493D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1.03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11FEA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1.26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81AEF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④</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A643E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5874C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1E30C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07D0B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p>
        </w:tc>
      </w:tr>
      <w:tr w14:paraId="3DC5E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89" w:type="dxa"/>
            <w:vMerge w:val="restart"/>
            <w:tcBorders>
              <w:top w:val="single" w:color="000000" w:sz="4" w:space="0"/>
              <w:left w:val="single" w:color="000000" w:sz="4" w:space="0"/>
              <w:bottom w:val="single" w:color="000000" w:sz="4" w:space="0"/>
              <w:right w:val="single" w:color="000000" w:sz="4" w:space="0"/>
            </w:tcBorders>
            <w:noWrap w:val="0"/>
            <w:vAlign w:val="center"/>
          </w:tcPr>
          <w:p w14:paraId="0A0D3D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钦州港路排水工程区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D1D7C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③清除工程</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4513D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0.22</w:t>
            </w:r>
          </w:p>
        </w:tc>
        <w:tc>
          <w:tcPr>
            <w:tcW w:w="1004" w:type="dxa"/>
            <w:tcBorders>
              <w:top w:val="single" w:color="000000" w:sz="4" w:space="0"/>
              <w:left w:val="single" w:color="000000" w:sz="4" w:space="0"/>
              <w:bottom w:val="single" w:color="000000" w:sz="4" w:space="0"/>
              <w:right w:val="single" w:color="000000" w:sz="4" w:space="0"/>
            </w:tcBorders>
            <w:noWrap w:val="0"/>
            <w:vAlign w:val="center"/>
          </w:tcPr>
          <w:p w14:paraId="21A7B33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CA0B9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0.19</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CC814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0.41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3C132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A3BE2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1C1A2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3EA07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27B379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0.41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795AC7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⑤</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B0108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629424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D03C1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62B715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p>
        </w:tc>
      </w:tr>
      <w:tr w14:paraId="19C28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12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55BE9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5F0AE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④钦州港路回填工程</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3AD04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1004" w:type="dxa"/>
            <w:tcBorders>
              <w:top w:val="single" w:color="000000" w:sz="4" w:space="0"/>
              <w:left w:val="single" w:color="000000" w:sz="4" w:space="0"/>
              <w:bottom w:val="single" w:color="000000" w:sz="4" w:space="0"/>
              <w:right w:val="single" w:color="000000" w:sz="4" w:space="0"/>
            </w:tcBorders>
            <w:noWrap w:val="0"/>
            <w:vAlign w:val="center"/>
          </w:tcPr>
          <w:p w14:paraId="03F63F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5410F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CDB3A4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F31C4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E989B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6.78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0833F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B8A1F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6.78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3F789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A86CA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5996D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1.26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30AF1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①②</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6F6AF2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5.52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94BFA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钦州港西港区供水水源管网改造工程</w:t>
            </w:r>
          </w:p>
        </w:tc>
      </w:tr>
      <w:tr w14:paraId="203C8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 w:hRule="atLeast"/>
        </w:trPr>
        <w:tc>
          <w:tcPr>
            <w:tcW w:w="12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E896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DA343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⑤钦州港路覆土工程</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3E13C2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1004" w:type="dxa"/>
            <w:tcBorders>
              <w:top w:val="single" w:color="000000" w:sz="4" w:space="0"/>
              <w:left w:val="single" w:color="000000" w:sz="4" w:space="0"/>
              <w:bottom w:val="single" w:color="000000" w:sz="4" w:space="0"/>
              <w:right w:val="single" w:color="000000" w:sz="4" w:space="0"/>
            </w:tcBorders>
            <w:noWrap w:val="0"/>
            <w:vAlign w:val="center"/>
          </w:tcPr>
          <w:p w14:paraId="67D8AB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9D6385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0D50A8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D81032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0.22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577E13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58284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0.19</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ABC94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0.41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521F4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9EF75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DF04F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0.41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94DD4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③</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7C90D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70175F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p>
        </w:tc>
      </w:tr>
      <w:tr w14:paraId="0522B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8D19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847110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小计</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9C495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0.22</w:t>
            </w:r>
          </w:p>
        </w:tc>
        <w:tc>
          <w:tcPr>
            <w:tcW w:w="1004" w:type="dxa"/>
            <w:tcBorders>
              <w:top w:val="single" w:color="000000" w:sz="4" w:space="0"/>
              <w:left w:val="single" w:color="000000" w:sz="4" w:space="0"/>
              <w:bottom w:val="single" w:color="000000" w:sz="4" w:space="0"/>
              <w:right w:val="single" w:color="000000" w:sz="4" w:space="0"/>
            </w:tcBorders>
            <w:noWrap w:val="0"/>
            <w:vAlign w:val="center"/>
          </w:tcPr>
          <w:p w14:paraId="1789D4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B203A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0.19</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81B1D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0.41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BDE574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0.22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3C720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6.78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F5DC75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0.19</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3DD1A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7.19</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26DC5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0.41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8A53F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D3420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1.67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05E22E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ACA7D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5.52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2DDE3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p>
        </w:tc>
      </w:tr>
      <w:tr w14:paraId="12478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89" w:type="dxa"/>
            <w:vMerge w:val="restart"/>
            <w:tcBorders>
              <w:top w:val="single" w:color="000000" w:sz="4" w:space="0"/>
              <w:left w:val="single" w:color="000000" w:sz="4" w:space="0"/>
              <w:bottom w:val="single" w:color="000000" w:sz="4" w:space="0"/>
              <w:right w:val="single" w:color="000000" w:sz="4" w:space="0"/>
            </w:tcBorders>
            <w:noWrap w:val="0"/>
            <w:vAlign w:val="center"/>
          </w:tcPr>
          <w:p w14:paraId="2C1AE70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金窝水库排水改造区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452BD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⑥清除工程</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90C15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0.37</w:t>
            </w:r>
          </w:p>
        </w:tc>
        <w:tc>
          <w:tcPr>
            <w:tcW w:w="1004" w:type="dxa"/>
            <w:tcBorders>
              <w:top w:val="single" w:color="000000" w:sz="4" w:space="0"/>
              <w:left w:val="single" w:color="000000" w:sz="4" w:space="0"/>
              <w:bottom w:val="single" w:color="000000" w:sz="4" w:space="0"/>
              <w:right w:val="single" w:color="000000" w:sz="4" w:space="0"/>
            </w:tcBorders>
            <w:noWrap w:val="0"/>
            <w:vAlign w:val="center"/>
          </w:tcPr>
          <w:p w14:paraId="13A670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CC00F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0.24</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36CB4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0.61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89C14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F737AF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CFE4FF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4592C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BF36A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0.61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5D2F1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⑨</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B3473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C9EBC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2F8A9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3DF52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p>
        </w:tc>
      </w:tr>
      <w:tr w14:paraId="6FECE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 w:hRule="atLeast"/>
        </w:trPr>
        <w:tc>
          <w:tcPr>
            <w:tcW w:w="12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5E78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911D0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⑦曲秀路回填工程</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E87AA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1004" w:type="dxa"/>
            <w:tcBorders>
              <w:top w:val="single" w:color="000000" w:sz="4" w:space="0"/>
              <w:left w:val="single" w:color="000000" w:sz="4" w:space="0"/>
              <w:bottom w:val="single" w:color="000000" w:sz="4" w:space="0"/>
              <w:right w:val="single" w:color="000000" w:sz="4" w:space="0"/>
            </w:tcBorders>
            <w:noWrap w:val="0"/>
            <w:vAlign w:val="center"/>
          </w:tcPr>
          <w:p w14:paraId="79009F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CDFCFC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691E9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C737C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EC0A6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15.56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D7BBF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D12D93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15.56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79A01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120D7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94B5F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0.13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1C0BE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⑩</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9DA2AB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15.43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CCFF8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钦州港西港区供水水源管网改造工程</w:t>
            </w:r>
          </w:p>
        </w:tc>
      </w:tr>
      <w:tr w14:paraId="53292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 w:hRule="atLeast"/>
        </w:trPr>
        <w:tc>
          <w:tcPr>
            <w:tcW w:w="12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295B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1669C5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⑧护岸工程</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AFC41A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1004" w:type="dxa"/>
            <w:tcBorders>
              <w:top w:val="single" w:color="000000" w:sz="4" w:space="0"/>
              <w:left w:val="single" w:color="000000" w:sz="4" w:space="0"/>
              <w:bottom w:val="single" w:color="000000" w:sz="4" w:space="0"/>
              <w:right w:val="single" w:color="000000" w:sz="4" w:space="0"/>
            </w:tcBorders>
            <w:noWrap w:val="0"/>
            <w:vAlign w:val="center"/>
          </w:tcPr>
          <w:p w14:paraId="21FBAF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9E9AB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0.46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D204F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0.46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855044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C9ACE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1.22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F0C9BF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69B9A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1.22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B3058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0.46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1A51B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⑨</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3F9DD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6746C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A77A1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1.22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A537C7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钦州港西港区供水水源管网改造工程</w:t>
            </w:r>
          </w:p>
        </w:tc>
      </w:tr>
      <w:tr w14:paraId="4CACC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2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2411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8483B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⑨曲秀路覆土工程</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73D8B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1004" w:type="dxa"/>
            <w:tcBorders>
              <w:top w:val="single" w:color="000000" w:sz="4" w:space="0"/>
              <w:left w:val="single" w:color="000000" w:sz="4" w:space="0"/>
              <w:bottom w:val="single" w:color="000000" w:sz="4" w:space="0"/>
              <w:right w:val="single" w:color="000000" w:sz="4" w:space="0"/>
            </w:tcBorders>
            <w:noWrap w:val="0"/>
            <w:vAlign w:val="center"/>
          </w:tcPr>
          <w:p w14:paraId="4D3186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D049F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70B7C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CF320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0.37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E77073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589C7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0C0EFD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1.07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0B6F4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FD4766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41EE1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1.07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09E3A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⑥⑧</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852E63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012DC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p>
        </w:tc>
      </w:tr>
      <w:tr w14:paraId="19E6C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2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7F73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7EAA6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⑩施工围堰</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CF497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1004" w:type="dxa"/>
            <w:tcBorders>
              <w:top w:val="single" w:color="000000" w:sz="4" w:space="0"/>
              <w:left w:val="single" w:color="000000" w:sz="4" w:space="0"/>
              <w:bottom w:val="single" w:color="000000" w:sz="4" w:space="0"/>
              <w:right w:val="single" w:color="000000" w:sz="4" w:space="0"/>
            </w:tcBorders>
            <w:noWrap w:val="0"/>
            <w:vAlign w:val="center"/>
          </w:tcPr>
          <w:p w14:paraId="6E05B0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54B83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3A9DE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2E8EA3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673B6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90CD6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C2C868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EF6885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0.13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5D5A1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F7446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46E31C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29CB6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0.13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6166C9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钦州港西港区供水水源管网改造工程</w:t>
            </w:r>
          </w:p>
        </w:tc>
      </w:tr>
      <w:tr w14:paraId="57032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8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76F393">
            <w:pPr>
              <w:keepNext w:val="0"/>
              <w:keepLines w:val="0"/>
              <w:widowControl/>
              <w:suppressLineNumbers w:val="0"/>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7434024">
            <w:pPr>
              <w:keepNext w:val="0"/>
              <w:keepLines w:val="0"/>
              <w:widowControl/>
              <w:suppressLineNumbers w:val="0"/>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小计</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2019A0F">
            <w:pPr>
              <w:keepNext w:val="0"/>
              <w:keepLines w:val="0"/>
              <w:widowControl/>
              <w:suppressLineNumbers w:val="0"/>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0.37</w:t>
            </w:r>
          </w:p>
        </w:tc>
        <w:tc>
          <w:tcPr>
            <w:tcW w:w="1004" w:type="dxa"/>
            <w:tcBorders>
              <w:top w:val="single" w:color="000000" w:sz="4" w:space="0"/>
              <w:left w:val="single" w:color="000000" w:sz="4" w:space="0"/>
              <w:bottom w:val="single" w:color="000000" w:sz="4" w:space="0"/>
              <w:right w:val="single" w:color="000000" w:sz="4" w:space="0"/>
            </w:tcBorders>
            <w:noWrap w:val="0"/>
            <w:vAlign w:val="center"/>
          </w:tcPr>
          <w:p w14:paraId="3898AA17">
            <w:pPr>
              <w:keepNext w:val="0"/>
              <w:keepLines w:val="0"/>
              <w:widowControl/>
              <w:suppressLineNumbers w:val="0"/>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437F21E">
            <w:pPr>
              <w:keepNext w:val="0"/>
              <w:keepLines w:val="0"/>
              <w:widowControl/>
              <w:suppressLineNumbers w:val="0"/>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920BA30">
            <w:pPr>
              <w:keepNext w:val="0"/>
              <w:keepLines w:val="0"/>
              <w:widowControl/>
              <w:suppressLineNumbers w:val="0"/>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1.07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5E88DF6">
            <w:pPr>
              <w:keepNext w:val="0"/>
              <w:keepLines w:val="0"/>
              <w:widowControl/>
              <w:suppressLineNumbers w:val="0"/>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0.37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1D0D0B8">
            <w:pPr>
              <w:keepNext w:val="0"/>
              <w:keepLines w:val="0"/>
              <w:widowControl/>
              <w:suppressLineNumbers w:val="0"/>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16.78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48F1E77">
            <w:pPr>
              <w:keepNext w:val="0"/>
              <w:keepLines w:val="0"/>
              <w:widowControl/>
              <w:suppressLineNumbers w:val="0"/>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5B27464">
            <w:pPr>
              <w:keepNext w:val="0"/>
              <w:keepLines w:val="0"/>
              <w:widowControl/>
              <w:suppressLineNumbers w:val="0"/>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17.85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9E9AB20">
            <w:pPr>
              <w:keepNext w:val="0"/>
              <w:keepLines w:val="0"/>
              <w:widowControl/>
              <w:suppressLineNumbers w:val="0"/>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7781B0A">
            <w:pPr>
              <w:keepNext w:val="0"/>
              <w:keepLines w:val="0"/>
              <w:widowControl/>
              <w:suppressLineNumbers w:val="0"/>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0EA1CE5">
            <w:pPr>
              <w:keepNext w:val="0"/>
              <w:keepLines w:val="0"/>
              <w:widowControl/>
              <w:suppressLineNumbers w:val="0"/>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B7A00F8">
            <w:pPr>
              <w:keepNext w:val="0"/>
              <w:keepLines w:val="0"/>
              <w:widowControl/>
              <w:suppressLineNumbers w:val="0"/>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355CB2A">
            <w:pPr>
              <w:keepNext w:val="0"/>
              <w:keepLines w:val="0"/>
              <w:widowControl/>
              <w:suppressLineNumbers w:val="0"/>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16.78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5484DE2">
            <w:pPr>
              <w:keepNext w:val="0"/>
              <w:keepLines w:val="0"/>
              <w:widowControl/>
              <w:suppressLineNumbers w:val="0"/>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p>
        </w:tc>
      </w:tr>
      <w:tr w14:paraId="3588B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789" w:type="dxa"/>
            <w:gridSpan w:val="2"/>
            <w:tcBorders>
              <w:top w:val="single" w:color="000000" w:sz="4" w:space="0"/>
              <w:left w:val="single" w:color="000000" w:sz="4" w:space="0"/>
              <w:bottom w:val="single" w:color="000000" w:sz="4" w:space="0"/>
              <w:right w:val="single" w:color="000000" w:sz="4" w:space="0"/>
            </w:tcBorders>
            <w:noWrap w:val="0"/>
            <w:vAlign w:val="center"/>
          </w:tcPr>
          <w:p w14:paraId="75BAFF5B">
            <w:pPr>
              <w:keepNext w:val="0"/>
              <w:keepLines w:val="0"/>
              <w:widowControl/>
              <w:suppressLineNumbers w:val="0"/>
              <w:spacing w:line="240" w:lineRule="auto"/>
              <w:jc w:val="center"/>
              <w:textAlignment w:val="center"/>
              <w:rPr>
                <w:rFonts w:hint="eastAsia" w:ascii="Times New Roman" w:hAnsi="Times New Roman" w:eastAsia="仿宋_GB2312" w:cs="Times New Roman"/>
                <w:i w:val="0"/>
                <w:iCs w:val="0"/>
                <w:color w:val="auto"/>
                <w:kern w:val="0"/>
                <w:sz w:val="21"/>
                <w:szCs w:val="21"/>
                <w:highlight w:val="none"/>
                <w:u w:val="single"/>
                <w:lang w:val="en-US" w:eastAsia="zh-CN" w:bidi="ar"/>
              </w:rPr>
            </w:pPr>
            <w:r>
              <w:rPr>
                <w:rFonts w:hint="eastAsia" w:ascii="Times New Roman" w:hAnsi="Times New Roman" w:eastAsia="仿宋_GB2312" w:cs="Times New Roman"/>
                <w:i w:val="0"/>
                <w:iCs w:val="0"/>
                <w:color w:val="auto"/>
                <w:kern w:val="0"/>
                <w:sz w:val="21"/>
                <w:szCs w:val="21"/>
                <w:highlight w:val="none"/>
                <w:u w:val="single"/>
                <w:lang w:val="en-US" w:eastAsia="zh-CN" w:bidi="ar"/>
              </w:rPr>
              <w:t>合计</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D75B15B">
            <w:pPr>
              <w:keepNext w:val="0"/>
              <w:keepLines w:val="0"/>
              <w:widowControl/>
              <w:suppressLineNumbers w:val="0"/>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0.59</w:t>
            </w:r>
          </w:p>
        </w:tc>
        <w:tc>
          <w:tcPr>
            <w:tcW w:w="1004" w:type="dxa"/>
            <w:tcBorders>
              <w:top w:val="single" w:color="000000" w:sz="4" w:space="0"/>
              <w:left w:val="single" w:color="000000" w:sz="4" w:space="0"/>
              <w:bottom w:val="single" w:color="000000" w:sz="4" w:space="0"/>
              <w:right w:val="single" w:color="000000" w:sz="4" w:space="0"/>
            </w:tcBorders>
            <w:noWrap w:val="0"/>
            <w:vAlign w:val="center"/>
          </w:tcPr>
          <w:p w14:paraId="504FC038">
            <w:pPr>
              <w:keepNext w:val="0"/>
              <w:keepLines w:val="0"/>
              <w:widowControl/>
              <w:suppressLineNumbers w:val="0"/>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2.26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72C25D6">
            <w:pPr>
              <w:keepNext w:val="0"/>
              <w:keepLines w:val="0"/>
              <w:widowControl/>
              <w:suppressLineNumbers w:val="0"/>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0.89</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AFE0D86">
            <w:pPr>
              <w:keepNext w:val="0"/>
              <w:keepLines w:val="0"/>
              <w:widowControl/>
              <w:suppressLineNumbers w:val="0"/>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3.77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100C1F1">
            <w:pPr>
              <w:keepNext w:val="0"/>
              <w:keepLines w:val="0"/>
              <w:widowControl/>
              <w:suppressLineNumbers w:val="0"/>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0.59</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66F5F2A">
            <w:pPr>
              <w:keepNext w:val="0"/>
              <w:keepLines w:val="0"/>
              <w:widowControl/>
              <w:suppressLineNumbers w:val="0"/>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24.56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E15FB95">
            <w:pPr>
              <w:keepNext w:val="0"/>
              <w:keepLines w:val="0"/>
              <w:widowControl/>
              <w:suppressLineNumbers w:val="0"/>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0.89</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A79060F">
            <w:pPr>
              <w:keepNext w:val="0"/>
              <w:keepLines w:val="0"/>
              <w:widowControl/>
              <w:suppressLineNumbers w:val="0"/>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26.07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76EDE1F">
            <w:pPr>
              <w:keepNext w:val="0"/>
              <w:keepLines w:val="0"/>
              <w:widowControl/>
              <w:suppressLineNumbers w:val="0"/>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2.87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47A076F">
            <w:pPr>
              <w:keepNext w:val="0"/>
              <w:keepLines w:val="0"/>
              <w:widowControl/>
              <w:suppressLineNumbers w:val="0"/>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4EC1703">
            <w:pPr>
              <w:keepNext w:val="0"/>
              <w:keepLines w:val="0"/>
              <w:widowControl/>
              <w:suppressLineNumbers w:val="0"/>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2.87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396BC4D">
            <w:pPr>
              <w:keepNext w:val="0"/>
              <w:keepLines w:val="0"/>
              <w:widowControl/>
              <w:suppressLineNumbers w:val="0"/>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CB5FA49">
            <w:pPr>
              <w:keepNext w:val="0"/>
              <w:keepLines w:val="0"/>
              <w:widowControl/>
              <w:suppressLineNumbers w:val="0"/>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r>
              <w:rPr>
                <w:rFonts w:hint="default" w:ascii="Times New Roman" w:hAnsi="Times New Roman" w:eastAsia="仿宋_GB2312" w:cs="Times New Roman"/>
                <w:i w:val="0"/>
                <w:iCs w:val="0"/>
                <w:color w:val="auto"/>
                <w:kern w:val="0"/>
                <w:sz w:val="21"/>
                <w:szCs w:val="21"/>
                <w:highlight w:val="none"/>
                <w:u w:val="single"/>
                <w:lang w:val="en-US" w:eastAsia="zh-CN" w:bidi="ar"/>
              </w:rPr>
              <w:t>22.3</w:t>
            </w:r>
            <w:r>
              <w:rPr>
                <w:rFonts w:hint="eastAsia" w:ascii="Times New Roman" w:hAnsi="Times New Roman" w:eastAsia="仿宋_GB2312" w:cs="Times New Roman"/>
                <w:i w:val="0"/>
                <w:iCs w:val="0"/>
                <w:color w:val="auto"/>
                <w:kern w:val="0"/>
                <w:sz w:val="21"/>
                <w:szCs w:val="21"/>
                <w:highlight w:val="none"/>
                <w:u w:val="singl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94C7050">
            <w:pPr>
              <w:keepNext w:val="0"/>
              <w:keepLines w:val="0"/>
              <w:widowControl/>
              <w:suppressLineNumbers w:val="0"/>
              <w:spacing w:line="240" w:lineRule="auto"/>
              <w:jc w:val="center"/>
              <w:textAlignment w:val="center"/>
              <w:rPr>
                <w:rFonts w:hint="default" w:ascii="Times New Roman" w:hAnsi="Times New Roman" w:eastAsia="仿宋_GB2312" w:cs="Times New Roman"/>
                <w:i w:val="0"/>
                <w:iCs w:val="0"/>
                <w:color w:val="auto"/>
                <w:kern w:val="0"/>
                <w:sz w:val="21"/>
                <w:szCs w:val="21"/>
                <w:highlight w:val="none"/>
                <w:u w:val="single"/>
                <w:lang w:val="en-US" w:eastAsia="zh-CN" w:bidi="ar"/>
              </w:rPr>
            </w:pPr>
          </w:p>
        </w:tc>
      </w:tr>
    </w:tbl>
    <w:p w14:paraId="6D40B1CC">
      <w:pPr>
        <w:pStyle w:val="684"/>
        <w:rPr>
          <w:rFonts w:hint="default" w:ascii="Times New Roman" w:hAnsi="Times New Roman" w:cs="Times New Roman"/>
          <w:color w:val="auto"/>
          <w:highlight w:val="none"/>
        </w:rPr>
      </w:pPr>
    </w:p>
    <w:p w14:paraId="7D29DB2C">
      <w:pPr>
        <w:pStyle w:val="684"/>
        <w:ind w:firstLine="453"/>
        <w:rPr>
          <w:rFonts w:hint="default" w:ascii="Times New Roman" w:hAnsi="Times New Roman" w:cs="Times New Roman"/>
          <w:color w:val="auto"/>
          <w:highlight w:val="none"/>
        </w:rPr>
        <w:sectPr>
          <w:pgSz w:w="16838" w:h="11906" w:orient="landscape"/>
          <w:pgMar w:top="1780" w:right="1418" w:bottom="1514" w:left="1276" w:header="737" w:footer="992" w:gutter="0"/>
          <w:cols w:space="720" w:num="1"/>
          <w:docGrid w:type="linesAndChars" w:linePitch="466" w:charSpace="-2738"/>
        </w:sectPr>
      </w:pPr>
    </w:p>
    <w:p w14:paraId="00BF1B17">
      <w:pPr>
        <w:pStyle w:val="588"/>
        <w:numPr>
          <w:ilvl w:val="0"/>
          <w:numId w:val="0"/>
        </w:numPr>
        <w:tabs>
          <w:tab w:val="clear" w:pos="0"/>
        </w:tabs>
        <w:ind w:leftChars="0"/>
        <w:jc w:val="both"/>
        <w:rPr>
          <w:rFonts w:hint="default" w:ascii="Times New Roman" w:hAnsi="Times New Roman" w:eastAsia="宋体" w:cs="Times New Roman"/>
          <w:color w:val="auto"/>
          <w:highlight w:val="none"/>
          <w:lang w:eastAsia="zh-CN"/>
        </w:rPr>
      </w:pPr>
      <w:bookmarkStart w:id="50" w:name="_Ref138777376"/>
      <w:r>
        <w:rPr>
          <w:rStyle w:val="135"/>
          <w:rFonts w:hint="default" w:ascii="Times New Roman" w:hAnsi="Times New Roman" w:eastAsia="仿宋_GB2312" w:cs="Times New Roman"/>
          <w:b/>
          <w:color w:val="auto"/>
          <w:sz w:val="24"/>
          <w:szCs w:val="24"/>
          <w:highlight w:val="none"/>
          <w:u w:val="none"/>
          <w:vertAlign w:val="superscript"/>
          <w:lang w:eastAsia="zh-CN"/>
        </w:rPr>
        <w:object>
          <v:shape id="_x0000_i1028" o:spt="75" type="#_x0000_t75" style="height:316.8pt;width:422.2pt;" o:ole="t" filled="f" o:preferrelative="t" stroked="f" coordsize="21600,21600">
            <v:path/>
            <v:fill on="f" focussize="0,0"/>
            <v:stroke on="f"/>
            <v:imagedata r:id="rId48" o:title=""/>
            <o:lock v:ext="edit" aspectratio="f"/>
            <w10:wrap type="none"/>
            <w10:anchorlock/>
          </v:shape>
          <o:OLEObject Type="Embed" ProgID="Visio.Drawing.11" ShapeID="_x0000_i1028" DrawAspect="Content" ObjectID="_1468075728" r:id="rId47">
            <o:LockedField>false</o:LockedField>
          </o:OLEObject>
        </w:object>
      </w:r>
    </w:p>
    <w:p w14:paraId="37D71A73">
      <w:pPr>
        <w:pStyle w:val="588"/>
        <w:bidi w:val="0"/>
        <w:ind w:left="0" w:leftChars="0" w:firstLine="0" w:firstLineChars="0"/>
        <w:rPr>
          <w:rFonts w:hint="default"/>
          <w:color w:val="auto"/>
          <w:highlight w:val="none"/>
          <w:u w:val="single"/>
        </w:rPr>
      </w:pPr>
      <w:r>
        <w:rPr>
          <w:rFonts w:hint="default"/>
          <w:color w:val="auto"/>
          <w:highlight w:val="none"/>
          <w:u w:val="single"/>
        </w:rPr>
        <w:t>工程土石方流向图框   单位：万m</w:t>
      </w:r>
      <w:bookmarkEnd w:id="50"/>
      <w:r>
        <w:rPr>
          <w:rFonts w:hint="default"/>
          <w:color w:val="auto"/>
          <w:highlight w:val="none"/>
          <w:u w:val="single"/>
          <w:vertAlign w:val="superscript"/>
          <w:lang w:val="en-US" w:eastAsia="zh-CN"/>
        </w:rPr>
        <w:t>3</w:t>
      </w:r>
    </w:p>
    <w:p w14:paraId="267F33C7">
      <w:pPr>
        <w:pStyle w:val="5"/>
        <w:bidi w:val="0"/>
        <w:ind w:left="452" w:leftChars="0" w:firstLine="0" w:firstLineChars="0"/>
        <w:rPr>
          <w:rFonts w:hint="default"/>
          <w:color w:val="auto"/>
          <w:highlight w:val="none"/>
        </w:rPr>
      </w:pPr>
      <w:bookmarkStart w:id="51" w:name="_Toc11203"/>
      <w:r>
        <w:rPr>
          <w:rFonts w:hint="eastAsia"/>
          <w:color w:val="auto"/>
          <w:highlight w:val="none"/>
          <w:lang w:eastAsia="zh-CN"/>
        </w:rPr>
        <w:t>表土平衡</w:t>
      </w:r>
    </w:p>
    <w:p w14:paraId="674D2843">
      <w:pPr>
        <w:pStyle w:val="913"/>
        <w:numPr>
          <w:ilvl w:val="0"/>
          <w:numId w:val="0"/>
        </w:numPr>
        <w:spacing w:line="360" w:lineRule="auto"/>
        <w:ind w:firstLine="454" w:firstLineChars="200"/>
        <w:rPr>
          <w:rFonts w:hint="default" w:ascii="Times New Roman" w:hAnsi="Times New Roman" w:eastAsia="宋体" w:cs="Times New Roman"/>
          <w:b w:val="0"/>
          <w:bCs/>
          <w:color w:val="auto"/>
          <w:sz w:val="24"/>
          <w:szCs w:val="24"/>
          <w:highlight w:val="none"/>
          <w:u w:val="single"/>
          <w:lang w:val="en-US" w:eastAsia="zh-CN"/>
        </w:rPr>
      </w:pPr>
      <w:r>
        <w:rPr>
          <w:rFonts w:hint="default" w:ascii="Times New Roman" w:hAnsi="Times New Roman" w:eastAsia="宋体" w:cs="Times New Roman"/>
          <w:b w:val="0"/>
          <w:bCs/>
          <w:color w:val="auto"/>
          <w:sz w:val="24"/>
          <w:szCs w:val="24"/>
          <w:highlight w:val="none"/>
          <w:u w:val="single"/>
          <w:lang w:val="en-US" w:eastAsia="zh-CN"/>
        </w:rPr>
        <w:t>为保护表土资源，施工时对场地内可剥离表土区域进行剥离表土，</w:t>
      </w:r>
      <w:r>
        <w:rPr>
          <w:rFonts w:hint="eastAsia" w:ascii="Times New Roman" w:hAnsi="Times New Roman" w:eastAsia="宋体" w:cs="Times New Roman"/>
          <w:b w:val="0"/>
          <w:bCs/>
          <w:color w:val="auto"/>
          <w:sz w:val="24"/>
          <w:szCs w:val="24"/>
          <w:highlight w:val="none"/>
          <w:u w:val="single"/>
          <w:lang w:val="en-US" w:eastAsia="zh-CN"/>
        </w:rPr>
        <w:t>耕地、其他草地</w:t>
      </w:r>
      <w:r>
        <w:rPr>
          <w:rFonts w:hint="default" w:ascii="Times New Roman" w:hAnsi="Times New Roman" w:eastAsia="宋体" w:cs="Times New Roman"/>
          <w:b w:val="0"/>
          <w:bCs/>
          <w:color w:val="auto"/>
          <w:sz w:val="24"/>
          <w:szCs w:val="24"/>
          <w:highlight w:val="none"/>
          <w:u w:val="single"/>
          <w:lang w:val="en-US" w:eastAsia="zh-CN"/>
        </w:rPr>
        <w:t>按10-30cm予以剥离，剥离表土量约0.59万m</w:t>
      </w:r>
      <w:r>
        <w:rPr>
          <w:rFonts w:hint="default" w:ascii="Times New Roman" w:hAnsi="Times New Roman" w:eastAsia="宋体" w:cs="Times New Roman"/>
          <w:b w:val="0"/>
          <w:bCs/>
          <w:color w:val="auto"/>
          <w:sz w:val="24"/>
          <w:szCs w:val="24"/>
          <w:highlight w:val="none"/>
          <w:u w:val="single"/>
          <w:vertAlign w:val="superscript"/>
          <w:lang w:val="en-US" w:eastAsia="zh-CN"/>
        </w:rPr>
        <w:t>3</w:t>
      </w:r>
      <w:r>
        <w:rPr>
          <w:rFonts w:hint="default" w:ascii="Times New Roman" w:hAnsi="Times New Roman" w:eastAsia="宋体" w:cs="Times New Roman"/>
          <w:b w:val="0"/>
          <w:bCs/>
          <w:color w:val="auto"/>
          <w:sz w:val="24"/>
          <w:szCs w:val="24"/>
          <w:highlight w:val="none"/>
          <w:u w:val="single"/>
          <w:lang w:val="en-US" w:eastAsia="zh-CN"/>
        </w:rPr>
        <w:t>，剥离表土全部运至临时中转场堆放，用于后期复耕恢复方向的绿化覆土。</w:t>
      </w:r>
    </w:p>
    <w:p w14:paraId="212C0E8A">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bCs w:val="0"/>
          <w:color w:val="auto"/>
          <w:sz w:val="24"/>
          <w:szCs w:val="24"/>
          <w:highlight w:val="none"/>
          <w:u w:val="single"/>
          <w:lang w:val="en-US" w:eastAsia="zh-CN"/>
        </w:rPr>
      </w:pPr>
      <w:r>
        <w:rPr>
          <w:rFonts w:hint="eastAsia" w:ascii="Times New Roman" w:hAnsi="Times New Roman" w:eastAsia="宋体" w:cs="Times New Roman"/>
          <w:b/>
          <w:bCs w:val="0"/>
          <w:color w:val="auto"/>
          <w:sz w:val="24"/>
          <w:szCs w:val="24"/>
          <w:highlight w:val="none"/>
          <w:u w:val="single"/>
          <w:lang w:val="en-US" w:eastAsia="zh-CN"/>
        </w:rPr>
        <w:t>表土剥离汇总表</w:t>
      </w:r>
    </w:p>
    <w:tbl>
      <w:tblPr>
        <w:tblStyle w:val="87"/>
        <w:tblW w:w="500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916"/>
        <w:gridCol w:w="1544"/>
        <w:gridCol w:w="1730"/>
        <w:gridCol w:w="1730"/>
        <w:gridCol w:w="1729"/>
      </w:tblGrid>
      <w:tr w14:paraId="631CBF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07" w:type="pct"/>
            <w:noWrap w:val="0"/>
            <w:vAlign w:val="center"/>
          </w:tcPr>
          <w:p w14:paraId="250986F3">
            <w:pPr>
              <w:widowControl/>
              <w:spacing w:line="240" w:lineRule="auto"/>
              <w:jc w:val="center"/>
              <w:rPr>
                <w:rFonts w:hint="default" w:ascii="Times New Roman" w:hAnsi="Times New Roman" w:eastAsia="宋体" w:cs="Times New Roman"/>
                <w:color w:val="auto"/>
                <w:kern w:val="0"/>
                <w:sz w:val="21"/>
                <w:szCs w:val="21"/>
                <w:highlight w:val="none"/>
                <w:u w:val="single"/>
              </w:rPr>
            </w:pPr>
            <w:r>
              <w:rPr>
                <w:rFonts w:hint="default" w:ascii="Times New Roman" w:hAnsi="Times New Roman" w:eastAsia="宋体" w:cs="Times New Roman"/>
                <w:color w:val="auto"/>
                <w:kern w:val="0"/>
                <w:sz w:val="21"/>
                <w:szCs w:val="21"/>
                <w:highlight w:val="none"/>
                <w:u w:val="single"/>
              </w:rPr>
              <w:t>项目名称</w:t>
            </w:r>
          </w:p>
        </w:tc>
        <w:tc>
          <w:tcPr>
            <w:tcW w:w="892" w:type="pct"/>
            <w:noWrap w:val="0"/>
            <w:vAlign w:val="center"/>
          </w:tcPr>
          <w:p w14:paraId="4256486D">
            <w:pPr>
              <w:widowControl/>
              <w:spacing w:line="240" w:lineRule="auto"/>
              <w:jc w:val="center"/>
              <w:rPr>
                <w:rFonts w:hint="default" w:ascii="Times New Roman" w:hAnsi="Times New Roman" w:eastAsia="宋体" w:cs="Times New Roman"/>
                <w:color w:val="auto"/>
                <w:kern w:val="0"/>
                <w:sz w:val="21"/>
                <w:szCs w:val="21"/>
                <w:highlight w:val="none"/>
                <w:u w:val="single"/>
              </w:rPr>
            </w:pPr>
            <w:r>
              <w:rPr>
                <w:rFonts w:hint="default" w:ascii="Times New Roman" w:hAnsi="Times New Roman" w:eastAsia="宋体" w:cs="Times New Roman"/>
                <w:color w:val="auto"/>
                <w:kern w:val="0"/>
                <w:sz w:val="21"/>
                <w:szCs w:val="21"/>
                <w:highlight w:val="none"/>
                <w:u w:val="single"/>
              </w:rPr>
              <w:t>表土剥离面积（hm</w:t>
            </w:r>
            <w:r>
              <w:rPr>
                <w:rFonts w:hint="default" w:ascii="Times New Roman" w:hAnsi="Times New Roman" w:eastAsia="宋体" w:cs="Times New Roman"/>
                <w:color w:val="auto"/>
                <w:kern w:val="0"/>
                <w:sz w:val="21"/>
                <w:szCs w:val="21"/>
                <w:highlight w:val="none"/>
                <w:u w:val="single"/>
                <w:vertAlign w:val="superscript"/>
              </w:rPr>
              <w:t>2</w:t>
            </w:r>
            <w:r>
              <w:rPr>
                <w:rFonts w:hint="default" w:ascii="Times New Roman" w:hAnsi="Times New Roman" w:eastAsia="宋体" w:cs="Times New Roman"/>
                <w:color w:val="auto"/>
                <w:kern w:val="0"/>
                <w:sz w:val="21"/>
                <w:szCs w:val="21"/>
                <w:highlight w:val="none"/>
                <w:u w:val="single"/>
              </w:rPr>
              <w:t>）</w:t>
            </w:r>
          </w:p>
        </w:tc>
        <w:tc>
          <w:tcPr>
            <w:tcW w:w="1000" w:type="pct"/>
            <w:noWrap w:val="0"/>
            <w:vAlign w:val="center"/>
          </w:tcPr>
          <w:p w14:paraId="2D1290DE">
            <w:pPr>
              <w:widowControl/>
              <w:spacing w:line="240" w:lineRule="auto"/>
              <w:jc w:val="center"/>
              <w:rPr>
                <w:rFonts w:hint="default" w:ascii="Times New Roman" w:hAnsi="Times New Roman" w:eastAsia="宋体" w:cs="Times New Roman"/>
                <w:color w:val="auto"/>
                <w:kern w:val="0"/>
                <w:sz w:val="21"/>
                <w:szCs w:val="21"/>
                <w:highlight w:val="none"/>
                <w:u w:val="single"/>
              </w:rPr>
            </w:pPr>
            <w:r>
              <w:rPr>
                <w:rFonts w:hint="default" w:ascii="Times New Roman" w:hAnsi="Times New Roman" w:eastAsia="宋体" w:cs="Times New Roman"/>
                <w:color w:val="auto"/>
                <w:kern w:val="0"/>
                <w:sz w:val="21"/>
                <w:szCs w:val="21"/>
                <w:highlight w:val="none"/>
                <w:u w:val="single"/>
              </w:rPr>
              <w:t>表土剥离厚度（cm）</w:t>
            </w:r>
          </w:p>
        </w:tc>
        <w:tc>
          <w:tcPr>
            <w:tcW w:w="1000" w:type="pct"/>
            <w:noWrap w:val="0"/>
            <w:vAlign w:val="center"/>
          </w:tcPr>
          <w:p w14:paraId="6043375B">
            <w:pPr>
              <w:widowControl/>
              <w:spacing w:line="240" w:lineRule="auto"/>
              <w:jc w:val="center"/>
              <w:rPr>
                <w:rFonts w:hint="default" w:ascii="Times New Roman" w:hAnsi="Times New Roman" w:eastAsia="宋体" w:cs="Times New Roman"/>
                <w:color w:val="auto"/>
                <w:kern w:val="0"/>
                <w:sz w:val="21"/>
                <w:szCs w:val="21"/>
                <w:highlight w:val="none"/>
                <w:u w:val="single"/>
              </w:rPr>
            </w:pPr>
            <w:r>
              <w:rPr>
                <w:rFonts w:hint="default" w:ascii="Times New Roman" w:hAnsi="Times New Roman" w:eastAsia="宋体" w:cs="Times New Roman"/>
                <w:color w:val="auto"/>
                <w:kern w:val="0"/>
                <w:sz w:val="21"/>
                <w:szCs w:val="21"/>
                <w:highlight w:val="none"/>
                <w:u w:val="single"/>
              </w:rPr>
              <w:t>表土剥离量（万m</w:t>
            </w:r>
            <w:r>
              <w:rPr>
                <w:rFonts w:hint="default" w:ascii="Times New Roman" w:hAnsi="Times New Roman" w:eastAsia="宋体" w:cs="Times New Roman"/>
                <w:color w:val="auto"/>
                <w:kern w:val="0"/>
                <w:sz w:val="21"/>
                <w:szCs w:val="21"/>
                <w:highlight w:val="none"/>
                <w:u w:val="single"/>
                <w:vertAlign w:val="superscript"/>
              </w:rPr>
              <w:t>3</w:t>
            </w:r>
            <w:r>
              <w:rPr>
                <w:rFonts w:hint="default" w:ascii="Times New Roman" w:hAnsi="Times New Roman" w:eastAsia="宋体" w:cs="Times New Roman"/>
                <w:color w:val="auto"/>
                <w:kern w:val="0"/>
                <w:sz w:val="21"/>
                <w:szCs w:val="21"/>
                <w:highlight w:val="none"/>
                <w:u w:val="single"/>
              </w:rPr>
              <w:t>）</w:t>
            </w:r>
          </w:p>
        </w:tc>
        <w:tc>
          <w:tcPr>
            <w:tcW w:w="999" w:type="pct"/>
            <w:noWrap w:val="0"/>
            <w:vAlign w:val="center"/>
          </w:tcPr>
          <w:p w14:paraId="10AC889B">
            <w:pPr>
              <w:widowControl/>
              <w:spacing w:line="240" w:lineRule="auto"/>
              <w:jc w:val="center"/>
              <w:rPr>
                <w:rFonts w:hint="default" w:ascii="Times New Roman" w:hAnsi="Times New Roman" w:eastAsia="宋体" w:cs="Times New Roman"/>
                <w:color w:val="auto"/>
                <w:kern w:val="0"/>
                <w:sz w:val="21"/>
                <w:szCs w:val="21"/>
                <w:highlight w:val="none"/>
                <w:u w:val="single"/>
              </w:rPr>
            </w:pPr>
            <w:r>
              <w:rPr>
                <w:rFonts w:hint="default" w:ascii="Times New Roman" w:hAnsi="Times New Roman" w:eastAsia="宋体" w:cs="Times New Roman"/>
                <w:color w:val="auto"/>
                <w:kern w:val="0"/>
                <w:sz w:val="21"/>
                <w:szCs w:val="21"/>
                <w:highlight w:val="none"/>
                <w:u w:val="single"/>
              </w:rPr>
              <w:t>覆土量（万m</w:t>
            </w:r>
            <w:r>
              <w:rPr>
                <w:rFonts w:hint="default" w:ascii="Times New Roman" w:hAnsi="Times New Roman" w:eastAsia="宋体" w:cs="Times New Roman"/>
                <w:color w:val="auto"/>
                <w:kern w:val="0"/>
                <w:sz w:val="21"/>
                <w:szCs w:val="21"/>
                <w:highlight w:val="none"/>
                <w:u w:val="single"/>
                <w:vertAlign w:val="superscript"/>
              </w:rPr>
              <w:t>3</w:t>
            </w:r>
            <w:r>
              <w:rPr>
                <w:rFonts w:hint="default" w:ascii="Times New Roman" w:hAnsi="Times New Roman" w:eastAsia="宋体" w:cs="Times New Roman"/>
                <w:color w:val="auto"/>
                <w:kern w:val="0"/>
                <w:sz w:val="21"/>
                <w:szCs w:val="21"/>
                <w:highlight w:val="none"/>
                <w:u w:val="single"/>
              </w:rPr>
              <w:t>）</w:t>
            </w:r>
          </w:p>
        </w:tc>
      </w:tr>
      <w:tr w14:paraId="5F9563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07" w:type="pct"/>
            <w:noWrap w:val="0"/>
            <w:vAlign w:val="center"/>
          </w:tcPr>
          <w:p w14:paraId="750E4589">
            <w:pPr>
              <w:widowControl/>
              <w:spacing w:line="240" w:lineRule="auto"/>
              <w:jc w:val="center"/>
              <w:rPr>
                <w:rFonts w:hint="default" w:ascii="Times New Roman" w:hAnsi="Times New Roman" w:eastAsia="宋体" w:cs="Times New Roman"/>
                <w:color w:val="auto"/>
                <w:kern w:val="0"/>
                <w:sz w:val="21"/>
                <w:szCs w:val="21"/>
                <w:highlight w:val="none"/>
                <w:u w:val="single"/>
              </w:rPr>
            </w:pPr>
            <w:r>
              <w:rPr>
                <w:rFonts w:hint="default" w:ascii="Times New Roman" w:hAnsi="Times New Roman" w:eastAsia="宋体" w:cs="Times New Roman"/>
                <w:color w:val="auto"/>
                <w:kern w:val="0"/>
                <w:sz w:val="21"/>
                <w:szCs w:val="21"/>
                <w:highlight w:val="none"/>
                <w:u w:val="single"/>
              </w:rPr>
              <w:t>锦绣大道排水改造区</w:t>
            </w:r>
          </w:p>
        </w:tc>
        <w:tc>
          <w:tcPr>
            <w:tcW w:w="892" w:type="pct"/>
            <w:noWrap w:val="0"/>
            <w:vAlign w:val="center"/>
          </w:tcPr>
          <w:p w14:paraId="1B9614FA">
            <w:pPr>
              <w:widowControl/>
              <w:spacing w:line="240" w:lineRule="auto"/>
              <w:jc w:val="center"/>
              <w:rPr>
                <w:rFonts w:hint="default" w:ascii="Times New Roman" w:hAnsi="Times New Roman" w:eastAsia="宋体" w:cs="Times New Roman"/>
                <w:color w:val="auto"/>
                <w:kern w:val="0"/>
                <w:sz w:val="21"/>
                <w:szCs w:val="21"/>
                <w:highlight w:val="none"/>
                <w:u w:val="single"/>
                <w:lang w:val="en-US" w:eastAsia="zh-CN"/>
              </w:rPr>
            </w:pPr>
            <w:r>
              <w:rPr>
                <w:rFonts w:hint="default" w:ascii="Times New Roman" w:hAnsi="Times New Roman" w:eastAsia="宋体" w:cs="Times New Roman"/>
                <w:color w:val="auto"/>
                <w:kern w:val="0"/>
                <w:sz w:val="21"/>
                <w:szCs w:val="21"/>
                <w:highlight w:val="none"/>
                <w:u w:val="single"/>
                <w:lang w:val="en-US" w:eastAsia="zh-CN"/>
              </w:rPr>
              <w:t>0.21</w:t>
            </w:r>
          </w:p>
        </w:tc>
        <w:tc>
          <w:tcPr>
            <w:tcW w:w="1000" w:type="pct"/>
            <w:noWrap w:val="0"/>
            <w:vAlign w:val="center"/>
          </w:tcPr>
          <w:p w14:paraId="71E6F2FC">
            <w:pPr>
              <w:widowControl/>
              <w:spacing w:line="240" w:lineRule="auto"/>
              <w:jc w:val="center"/>
              <w:rPr>
                <w:rFonts w:hint="default" w:ascii="Times New Roman" w:hAnsi="Times New Roman" w:eastAsia="宋体" w:cs="Times New Roman"/>
                <w:color w:val="auto"/>
                <w:kern w:val="0"/>
                <w:sz w:val="21"/>
                <w:szCs w:val="21"/>
                <w:highlight w:val="none"/>
                <w:u w:val="single"/>
              </w:rPr>
            </w:pPr>
            <w:r>
              <w:rPr>
                <w:rFonts w:hint="default" w:ascii="Times New Roman" w:hAnsi="Times New Roman" w:eastAsia="宋体" w:cs="Times New Roman"/>
                <w:i w:val="0"/>
                <w:iCs w:val="0"/>
                <w:color w:val="auto"/>
                <w:kern w:val="0"/>
                <w:sz w:val="21"/>
                <w:szCs w:val="21"/>
                <w:highlight w:val="none"/>
                <w:u w:val="single"/>
                <w:lang w:val="en-US" w:eastAsia="zh-CN" w:bidi="ar"/>
              </w:rPr>
              <w:t>10~30</w:t>
            </w:r>
          </w:p>
        </w:tc>
        <w:tc>
          <w:tcPr>
            <w:tcW w:w="1000" w:type="pct"/>
            <w:noWrap w:val="0"/>
            <w:vAlign w:val="center"/>
          </w:tcPr>
          <w:p w14:paraId="7FE2C306">
            <w:pPr>
              <w:widowControl/>
              <w:spacing w:line="240" w:lineRule="auto"/>
              <w:jc w:val="center"/>
              <w:rPr>
                <w:rFonts w:hint="default" w:ascii="Times New Roman" w:hAnsi="Times New Roman" w:eastAsia="宋体" w:cs="Times New Roman"/>
                <w:color w:val="auto"/>
                <w:kern w:val="0"/>
                <w:sz w:val="21"/>
                <w:szCs w:val="21"/>
                <w:highlight w:val="none"/>
                <w:u w:val="single"/>
                <w:lang w:val="en-US" w:eastAsia="zh-CN"/>
              </w:rPr>
            </w:pPr>
            <w:r>
              <w:rPr>
                <w:rFonts w:hint="default" w:ascii="Times New Roman" w:hAnsi="Times New Roman" w:eastAsia="宋体" w:cs="Times New Roman"/>
                <w:color w:val="auto"/>
                <w:kern w:val="0"/>
                <w:sz w:val="21"/>
                <w:szCs w:val="21"/>
                <w:highlight w:val="none"/>
                <w:u w:val="single"/>
                <w:lang w:val="en-US" w:eastAsia="zh-CN"/>
              </w:rPr>
              <w:t>0.03</w:t>
            </w:r>
          </w:p>
        </w:tc>
        <w:tc>
          <w:tcPr>
            <w:tcW w:w="999" w:type="pct"/>
            <w:noWrap w:val="0"/>
            <w:vAlign w:val="center"/>
          </w:tcPr>
          <w:p w14:paraId="6ABEC22E">
            <w:pPr>
              <w:widowControl/>
              <w:spacing w:line="240" w:lineRule="auto"/>
              <w:jc w:val="center"/>
              <w:rPr>
                <w:rFonts w:hint="default" w:ascii="Times New Roman" w:hAnsi="Times New Roman" w:eastAsia="宋体" w:cs="Times New Roman"/>
                <w:color w:val="auto"/>
                <w:kern w:val="0"/>
                <w:sz w:val="21"/>
                <w:szCs w:val="21"/>
                <w:highlight w:val="none"/>
                <w:u w:val="single"/>
              </w:rPr>
            </w:pPr>
            <w:r>
              <w:rPr>
                <w:rFonts w:hint="default" w:ascii="Times New Roman" w:hAnsi="Times New Roman" w:eastAsia="宋体" w:cs="Times New Roman"/>
                <w:color w:val="auto"/>
                <w:kern w:val="0"/>
                <w:sz w:val="21"/>
                <w:szCs w:val="21"/>
                <w:highlight w:val="none"/>
                <w:u w:val="single"/>
                <w:lang w:val="en-US" w:eastAsia="zh-CN"/>
              </w:rPr>
              <w:t>0.03</w:t>
            </w:r>
          </w:p>
        </w:tc>
      </w:tr>
      <w:tr w14:paraId="3722BE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07" w:type="pct"/>
            <w:noWrap w:val="0"/>
            <w:vAlign w:val="center"/>
          </w:tcPr>
          <w:p w14:paraId="6CF366F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钦州港路排水工程区</w:t>
            </w:r>
          </w:p>
        </w:tc>
        <w:tc>
          <w:tcPr>
            <w:tcW w:w="892" w:type="pct"/>
            <w:tcBorders>
              <w:top w:val="single" w:color="auto" w:sz="4" w:space="0"/>
              <w:left w:val="single" w:color="auto" w:sz="4" w:space="0"/>
              <w:bottom w:val="single" w:color="auto" w:sz="4" w:space="0"/>
              <w:right w:val="single" w:color="auto" w:sz="4" w:space="0"/>
            </w:tcBorders>
            <w:noWrap w:val="0"/>
            <w:vAlign w:val="center"/>
          </w:tcPr>
          <w:p w14:paraId="61F52FE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0.77</w:t>
            </w:r>
          </w:p>
        </w:tc>
        <w:tc>
          <w:tcPr>
            <w:tcW w:w="1000" w:type="pct"/>
            <w:noWrap w:val="0"/>
            <w:vAlign w:val="center"/>
          </w:tcPr>
          <w:p w14:paraId="1427BDD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10~30</w:t>
            </w:r>
          </w:p>
        </w:tc>
        <w:tc>
          <w:tcPr>
            <w:tcW w:w="1000" w:type="pct"/>
            <w:noWrap w:val="0"/>
            <w:vAlign w:val="center"/>
          </w:tcPr>
          <w:p w14:paraId="528B3BC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0.22</w:t>
            </w:r>
          </w:p>
        </w:tc>
        <w:tc>
          <w:tcPr>
            <w:tcW w:w="999" w:type="pct"/>
            <w:noWrap w:val="0"/>
            <w:vAlign w:val="center"/>
          </w:tcPr>
          <w:p w14:paraId="4584D97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0.22</w:t>
            </w:r>
          </w:p>
        </w:tc>
      </w:tr>
      <w:tr w14:paraId="405884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07" w:type="pct"/>
            <w:noWrap w:val="0"/>
            <w:vAlign w:val="center"/>
          </w:tcPr>
          <w:p w14:paraId="380621A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城市更新排水改造区</w:t>
            </w:r>
          </w:p>
        </w:tc>
        <w:tc>
          <w:tcPr>
            <w:tcW w:w="892" w:type="pct"/>
            <w:tcBorders>
              <w:top w:val="single" w:color="auto" w:sz="4" w:space="0"/>
              <w:left w:val="single" w:color="auto" w:sz="4" w:space="0"/>
              <w:bottom w:val="single" w:color="auto" w:sz="4" w:space="0"/>
              <w:right w:val="single" w:color="auto" w:sz="4" w:space="0"/>
            </w:tcBorders>
            <w:noWrap w:val="0"/>
            <w:vAlign w:val="center"/>
          </w:tcPr>
          <w:p w14:paraId="42156DA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1.83</w:t>
            </w:r>
          </w:p>
        </w:tc>
        <w:tc>
          <w:tcPr>
            <w:tcW w:w="1000" w:type="pct"/>
            <w:noWrap w:val="0"/>
            <w:vAlign w:val="center"/>
          </w:tcPr>
          <w:p w14:paraId="72B7512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10~30</w:t>
            </w:r>
          </w:p>
        </w:tc>
        <w:tc>
          <w:tcPr>
            <w:tcW w:w="1000" w:type="pct"/>
            <w:noWrap w:val="0"/>
            <w:vAlign w:val="center"/>
          </w:tcPr>
          <w:p w14:paraId="27D0F6D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0.37</w:t>
            </w:r>
          </w:p>
        </w:tc>
        <w:tc>
          <w:tcPr>
            <w:tcW w:w="999" w:type="pct"/>
            <w:noWrap w:val="0"/>
            <w:vAlign w:val="center"/>
          </w:tcPr>
          <w:p w14:paraId="3B32866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0.37</w:t>
            </w:r>
          </w:p>
        </w:tc>
      </w:tr>
      <w:tr w14:paraId="360036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07" w:type="pct"/>
            <w:noWrap w:val="0"/>
            <w:vAlign w:val="center"/>
          </w:tcPr>
          <w:p w14:paraId="7193FE0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合计</w:t>
            </w:r>
          </w:p>
        </w:tc>
        <w:tc>
          <w:tcPr>
            <w:tcW w:w="892" w:type="pct"/>
            <w:tcBorders>
              <w:top w:val="nil"/>
              <w:left w:val="single" w:color="auto" w:sz="4" w:space="0"/>
              <w:right w:val="single" w:color="auto" w:sz="4" w:space="0"/>
            </w:tcBorders>
            <w:noWrap w:val="0"/>
            <w:vAlign w:val="center"/>
          </w:tcPr>
          <w:p w14:paraId="0A83553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eastAsia" w:ascii="Times New Roman" w:hAnsi="Times New Roman" w:eastAsia="宋体" w:cs="Times New Roman"/>
                <w:i w:val="0"/>
                <w:iCs w:val="0"/>
                <w:color w:val="auto"/>
                <w:kern w:val="0"/>
                <w:sz w:val="21"/>
                <w:szCs w:val="21"/>
                <w:highlight w:val="none"/>
                <w:u w:val="single"/>
                <w:lang w:val="en-US" w:eastAsia="zh-CN" w:bidi="ar"/>
              </w:rPr>
              <w:t>/</w:t>
            </w:r>
          </w:p>
        </w:tc>
        <w:tc>
          <w:tcPr>
            <w:tcW w:w="1000" w:type="pct"/>
            <w:noWrap w:val="0"/>
            <w:vAlign w:val="center"/>
          </w:tcPr>
          <w:p w14:paraId="16D1E71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eastAsia" w:ascii="Times New Roman" w:hAnsi="Times New Roman" w:eastAsia="宋体" w:cs="Times New Roman"/>
                <w:i w:val="0"/>
                <w:iCs w:val="0"/>
                <w:color w:val="auto"/>
                <w:kern w:val="0"/>
                <w:sz w:val="21"/>
                <w:szCs w:val="21"/>
                <w:highlight w:val="none"/>
                <w:u w:val="single"/>
                <w:lang w:val="en-US" w:eastAsia="zh-CN" w:bidi="ar"/>
              </w:rPr>
              <w:t>/</w:t>
            </w:r>
          </w:p>
        </w:tc>
        <w:tc>
          <w:tcPr>
            <w:tcW w:w="1000" w:type="pct"/>
            <w:noWrap w:val="0"/>
            <w:vAlign w:val="center"/>
          </w:tcPr>
          <w:p w14:paraId="4E81A0F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0.59</w:t>
            </w:r>
          </w:p>
        </w:tc>
        <w:tc>
          <w:tcPr>
            <w:tcW w:w="999" w:type="pct"/>
            <w:noWrap w:val="0"/>
            <w:vAlign w:val="center"/>
          </w:tcPr>
          <w:p w14:paraId="18E8EB9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single"/>
                <w:lang w:val="en-US" w:eastAsia="zh-CN" w:bidi="ar"/>
              </w:rPr>
            </w:pPr>
            <w:r>
              <w:rPr>
                <w:rFonts w:hint="default" w:ascii="Times New Roman" w:hAnsi="Times New Roman" w:eastAsia="宋体" w:cs="Times New Roman"/>
                <w:i w:val="0"/>
                <w:iCs w:val="0"/>
                <w:color w:val="auto"/>
                <w:kern w:val="0"/>
                <w:sz w:val="21"/>
                <w:szCs w:val="21"/>
                <w:highlight w:val="none"/>
                <w:u w:val="single"/>
                <w:lang w:val="en-US" w:eastAsia="zh-CN" w:bidi="ar"/>
              </w:rPr>
              <w:t>0.59</w:t>
            </w:r>
          </w:p>
        </w:tc>
      </w:tr>
    </w:tbl>
    <w:p w14:paraId="1F030B5E">
      <w:pPr>
        <w:rPr>
          <w:rFonts w:hint="default" w:ascii="Times New Roman" w:hAnsi="Times New Roman" w:eastAsia="仿宋_GB2312" w:cs="Times New Roman"/>
          <w:color w:val="auto"/>
          <w:sz w:val="24"/>
          <w:szCs w:val="24"/>
          <w:highlight w:val="none"/>
          <w:u w:val="none"/>
        </w:rPr>
      </w:pPr>
      <w:bookmarkStart w:id="52" w:name="_Toc28253"/>
      <w:r>
        <w:rPr>
          <w:rFonts w:hint="default" w:ascii="Times New Roman" w:hAnsi="Times New Roman" w:eastAsia="仿宋_GB2312" w:cs="Times New Roman"/>
          <w:color w:val="auto"/>
          <w:sz w:val="24"/>
          <w:szCs w:val="24"/>
          <w:highlight w:val="none"/>
          <w:u w:val="none"/>
        </w:rPr>
        <w:object>
          <v:shape id="_x0000_i1029" o:spt="75" type="#_x0000_t75" style="height:179.7pt;width:416.2pt;" o:ole="t" filled="f" o:preferrelative="t" stroked="f" coordsize="21600,21600">
            <v:path/>
            <v:fill on="f" focussize="0,0"/>
            <v:stroke on="f"/>
            <v:imagedata r:id="rId50" o:title=""/>
            <o:lock v:ext="edit" aspectratio="f"/>
            <w10:wrap type="none"/>
            <w10:anchorlock/>
          </v:shape>
          <o:OLEObject Type="Embed" ProgID="Visio.Drawing.11" ShapeID="_x0000_i1029" DrawAspect="Content" ObjectID="_1468075729" r:id="rId49">
            <o:LockedField>false</o:LockedField>
          </o:OLEObject>
        </w:object>
      </w:r>
      <w:bookmarkEnd w:id="52"/>
    </w:p>
    <w:p w14:paraId="7CEBA172">
      <w:pPr>
        <w:pStyle w:val="588"/>
        <w:bidi w:val="0"/>
        <w:ind w:left="0" w:leftChars="0" w:firstLine="0" w:firstLineChars="0"/>
        <w:rPr>
          <w:rFonts w:hint="default" w:ascii="Times New Roman" w:hAnsi="Times New Roman" w:eastAsia="仿宋_GB2312" w:cs="Times New Roman"/>
          <w:b/>
          <w:color w:val="auto"/>
          <w:sz w:val="24"/>
          <w:szCs w:val="24"/>
          <w:highlight w:val="none"/>
          <w:u w:val="single"/>
        </w:rPr>
      </w:pPr>
      <w:r>
        <w:rPr>
          <w:rFonts w:hint="eastAsia" w:ascii="Times New Roman" w:hAnsi="Times New Roman" w:eastAsia="仿宋_GB2312" w:cs="Times New Roman"/>
          <w:b/>
          <w:color w:val="auto"/>
          <w:sz w:val="24"/>
          <w:szCs w:val="24"/>
          <w:highlight w:val="none"/>
          <w:u w:val="single"/>
          <w:lang w:val="en-US" w:eastAsia="zh-CN"/>
        </w:rPr>
        <w:t xml:space="preserve"> </w:t>
      </w:r>
      <w:r>
        <w:rPr>
          <w:rFonts w:hint="default" w:ascii="Times New Roman" w:hAnsi="Times New Roman" w:eastAsia="仿宋_GB2312" w:cs="Times New Roman"/>
          <w:b/>
          <w:color w:val="auto"/>
          <w:sz w:val="24"/>
          <w:szCs w:val="24"/>
          <w:highlight w:val="none"/>
          <w:u w:val="single"/>
        </w:rPr>
        <w:t>表土流向框图       单位：万m</w:t>
      </w:r>
      <w:r>
        <w:rPr>
          <w:rFonts w:hint="default" w:ascii="Times New Roman" w:hAnsi="Times New Roman" w:eastAsia="仿宋_GB2312" w:cs="Times New Roman"/>
          <w:b/>
          <w:color w:val="auto"/>
          <w:sz w:val="24"/>
          <w:szCs w:val="24"/>
          <w:highlight w:val="none"/>
          <w:u w:val="single"/>
          <w:vertAlign w:val="superscript"/>
        </w:rPr>
        <w:t>3</w:t>
      </w:r>
    </w:p>
    <w:p w14:paraId="576FA88B">
      <w:pPr>
        <w:pStyle w:val="4"/>
        <w:bidi w:val="0"/>
        <w:ind w:left="678" w:leftChars="0" w:firstLine="0" w:firstLineChars="0"/>
        <w:rPr>
          <w:rFonts w:hint="default"/>
          <w:color w:val="auto"/>
          <w:highlight w:val="none"/>
        </w:rPr>
      </w:pPr>
      <w:r>
        <w:rPr>
          <w:rFonts w:hint="default"/>
          <w:color w:val="auto"/>
          <w:highlight w:val="none"/>
        </w:rPr>
        <w:t>施工期污染源强分析</w:t>
      </w:r>
      <w:bookmarkEnd w:id="51"/>
    </w:p>
    <w:p w14:paraId="2E02D267">
      <w:pPr>
        <w:pStyle w:val="5"/>
        <w:bidi w:val="0"/>
        <w:ind w:left="452" w:leftChars="0" w:firstLine="0" w:firstLineChars="0"/>
        <w:rPr>
          <w:rFonts w:hint="default"/>
          <w:color w:val="auto"/>
          <w:highlight w:val="none"/>
          <w:u w:val="single"/>
        </w:rPr>
      </w:pPr>
      <w:r>
        <w:rPr>
          <w:rFonts w:hint="default"/>
          <w:color w:val="auto"/>
          <w:highlight w:val="none"/>
          <w:u w:val="single"/>
          <w:lang w:eastAsia="zh-CN"/>
        </w:rPr>
        <w:t>施工工艺流程</w:t>
      </w:r>
      <w:r>
        <w:rPr>
          <w:rFonts w:hint="eastAsia"/>
          <w:color w:val="auto"/>
          <w:highlight w:val="none"/>
          <w:u w:val="single"/>
          <w:lang w:eastAsia="zh-CN"/>
        </w:rPr>
        <w:t>及产污节点图</w:t>
      </w:r>
    </w:p>
    <w:p w14:paraId="44CE365C">
      <w:pPr>
        <w:numPr>
          <w:ilvl w:val="0"/>
          <w:numId w:val="30"/>
        </w:numPr>
        <w:adjustRightInd w:val="0"/>
        <w:snapToGrid w:val="0"/>
        <w:spacing w:line="360" w:lineRule="auto"/>
        <w:ind w:firstLine="454" w:firstLineChars="20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排水管改造工艺流程</w:t>
      </w:r>
      <w:r>
        <w:rPr>
          <w:rFonts w:hint="eastAsia" w:ascii="Times New Roman" w:cs="Times New Roman"/>
          <w:b/>
          <w:bCs/>
          <w:color w:val="auto"/>
          <w:highlight w:val="none"/>
          <w:lang w:val="en-US" w:eastAsia="zh-CN"/>
        </w:rPr>
        <w:t>产污节点图</w:t>
      </w:r>
    </w:p>
    <w:p w14:paraId="65EAF71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highlight w:val="none"/>
        </w:rPr>
        <w:object>
          <v:shape id="_x0000_i1030" o:spt="75" type="#_x0000_t75" style="height:131.5pt;width:433.2pt;" o:ole="t" filled="f" o:preferrelative="t" stroked="f" coordsize="21600,21600">
            <v:path/>
            <v:fill on="f" focussize="0,0"/>
            <v:stroke on="f"/>
            <v:imagedata r:id="rId52" o:title=""/>
            <o:lock v:ext="edit" aspectratio="t"/>
            <w10:wrap type="none"/>
            <w10:anchorlock/>
          </v:shape>
          <o:OLEObject Type="Embed" ProgID="Visio.Drawing.11" ShapeID="_x0000_i1030" DrawAspect="Content" ObjectID="_1468075730" r:id="rId51">
            <o:LockedField>false</o:LockedField>
          </o:OLEObject>
        </w:object>
      </w:r>
    </w:p>
    <w:p w14:paraId="036134B5">
      <w:pPr>
        <w:pStyle w:val="588"/>
        <w:bidi w:val="0"/>
        <w:ind w:left="0" w:leftChars="0" w:firstLine="0" w:firstLineChars="0"/>
        <w:rPr>
          <w:rFonts w:hint="default"/>
          <w:color w:val="auto"/>
          <w:highlight w:val="none"/>
          <w:lang w:val="en-US" w:eastAsia="zh-CN"/>
        </w:rPr>
      </w:pPr>
      <w:r>
        <w:rPr>
          <w:rFonts w:hint="default"/>
          <w:color w:val="auto"/>
          <w:highlight w:val="none"/>
          <w:lang w:val="en-US" w:eastAsia="zh-CN"/>
        </w:rPr>
        <w:t>排水改造施工流程图</w:t>
      </w:r>
    </w:p>
    <w:p w14:paraId="6E10A5AB">
      <w:pPr>
        <w:pStyle w:val="913"/>
        <w:numPr>
          <w:ilvl w:val="0"/>
          <w:numId w:val="0"/>
        </w:numPr>
        <w:spacing w:line="360" w:lineRule="auto"/>
        <w:ind w:firstLine="454" w:firstLineChars="200"/>
        <w:rPr>
          <w:rFonts w:hint="eastAsia" w:ascii="Times New Roman" w:eastAsia="宋体" w:cs="Times New Roman"/>
          <w:b w:val="0"/>
          <w:bCs/>
          <w:color w:val="auto"/>
          <w:sz w:val="24"/>
          <w:szCs w:val="24"/>
          <w:highlight w:val="none"/>
          <w:u w:val="single"/>
          <w:lang w:val="en-US" w:eastAsia="zh-CN"/>
        </w:rPr>
      </w:pPr>
      <w:r>
        <w:rPr>
          <w:rFonts w:hint="eastAsia" w:ascii="Times New Roman" w:eastAsia="宋体" w:cs="Times New Roman"/>
          <w:b w:val="0"/>
          <w:bCs/>
          <w:color w:val="auto"/>
          <w:sz w:val="24"/>
          <w:szCs w:val="24"/>
          <w:highlight w:val="none"/>
          <w:u w:val="single"/>
          <w:lang w:val="en-US" w:eastAsia="zh-CN"/>
        </w:rPr>
        <w:t>排水管布设工程产生较大影响的施工环节为沟槽开挖。根据项目建设特点，项目位于锦绣大道、钦州港路、曲绣路设置雨水排水管，其中锦绣大道排水管段需要位于已建成道路开挖雨水排水管沟槽。钦州港路曲绣路回填至一定高度后顺接排水管布设，沟槽开挖产生的影响较小。</w:t>
      </w:r>
    </w:p>
    <w:p w14:paraId="133DC86F">
      <w:pPr>
        <w:pStyle w:val="913"/>
        <w:numPr>
          <w:ilvl w:val="0"/>
          <w:numId w:val="0"/>
        </w:numPr>
        <w:spacing w:line="360" w:lineRule="auto"/>
        <w:ind w:firstLine="454" w:firstLineChars="200"/>
        <w:rPr>
          <w:rFonts w:hint="default" w:ascii="Times New Roman" w:eastAsia="宋体" w:cs="Times New Roman"/>
          <w:b w:val="0"/>
          <w:bCs/>
          <w:color w:val="auto"/>
          <w:sz w:val="24"/>
          <w:szCs w:val="24"/>
          <w:highlight w:val="none"/>
          <w:u w:val="single"/>
          <w:lang w:val="en-US" w:eastAsia="zh-CN"/>
        </w:rPr>
      </w:pPr>
      <w:r>
        <w:rPr>
          <w:rFonts w:hint="eastAsia" w:ascii="Times New Roman" w:eastAsia="宋体" w:cs="Times New Roman"/>
          <w:b w:val="0"/>
          <w:bCs/>
          <w:color w:val="auto"/>
          <w:sz w:val="24"/>
          <w:szCs w:val="24"/>
          <w:highlight w:val="none"/>
          <w:u w:val="single"/>
          <w:lang w:val="en-US" w:eastAsia="zh-CN"/>
        </w:rPr>
        <w:t>锦绣大道排水改造段靠近敏感点大岭脚村，施工应关注施工扬尘和施工噪声对敏感点的影响并提出相应防护措施。</w:t>
      </w:r>
    </w:p>
    <w:p w14:paraId="4D6A7B02">
      <w:pPr>
        <w:numPr>
          <w:ilvl w:val="0"/>
          <w:numId w:val="30"/>
        </w:numPr>
        <w:adjustRightInd w:val="0"/>
        <w:snapToGrid w:val="0"/>
        <w:spacing w:line="360" w:lineRule="auto"/>
        <w:ind w:firstLine="454" w:firstLineChars="200"/>
        <w:rPr>
          <w:rFonts w:hint="default" w:ascii="Times New Roman" w:hAnsi="Times New Roman" w:eastAsia="宋体" w:cs="Times New Roman"/>
          <w:b/>
          <w:bCs/>
          <w:color w:val="auto"/>
          <w:highlight w:val="none"/>
          <w:lang w:val="en-US" w:eastAsia="zh-CN"/>
        </w:rPr>
      </w:pPr>
      <w:r>
        <w:rPr>
          <w:rFonts w:hint="eastAsia" w:ascii="Times New Roman" w:cs="Times New Roman"/>
          <w:b/>
          <w:bCs/>
          <w:color w:val="auto"/>
          <w:highlight w:val="none"/>
          <w:lang w:val="en-US" w:eastAsia="zh-CN"/>
        </w:rPr>
        <w:t>排水明沟工程流程简述</w:t>
      </w:r>
    </w:p>
    <w:p w14:paraId="1BFF9933">
      <w:pPr>
        <w:numPr>
          <w:ilvl w:val="0"/>
          <w:numId w:val="0"/>
        </w:numPr>
        <w:adjustRightInd w:val="0"/>
        <w:snapToGrid w:val="0"/>
        <w:spacing w:line="360" w:lineRule="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object>
          <v:shape id="_x0000_i1031" o:spt="75" type="#_x0000_t75" style="height:243.25pt;width:417.75pt;" o:ole="t" filled="f" o:preferrelative="t" stroked="f" coordsize="21600,21600">
            <v:path/>
            <v:fill on="f" focussize="0,0"/>
            <v:stroke on="f"/>
            <v:imagedata r:id="rId54" o:title=""/>
            <o:lock v:ext="edit" aspectratio="t"/>
            <w10:wrap type="none"/>
            <w10:anchorlock/>
          </v:shape>
          <o:OLEObject Type="Embed" ProgID="Visio.Drawing.11" ShapeID="_x0000_i1031" DrawAspect="Content" ObjectID="_1468075731" r:id="rId53">
            <o:LockedField>false</o:LockedField>
          </o:OLEObject>
        </w:object>
      </w:r>
    </w:p>
    <w:p w14:paraId="3FED67A0">
      <w:pPr>
        <w:pStyle w:val="588"/>
        <w:bidi w:val="0"/>
        <w:ind w:left="0" w:leftChars="0" w:firstLine="0" w:firstLineChars="0"/>
        <w:rPr>
          <w:rFonts w:hint="default"/>
          <w:color w:val="auto"/>
          <w:highlight w:val="none"/>
          <w:lang w:val="en-US" w:eastAsia="zh-CN"/>
        </w:rPr>
      </w:pPr>
      <w:r>
        <w:rPr>
          <w:rFonts w:hint="eastAsia"/>
          <w:color w:val="auto"/>
          <w:highlight w:val="none"/>
          <w:lang w:val="en-US" w:eastAsia="zh-CN"/>
        </w:rPr>
        <w:t>排水明沟施工图</w:t>
      </w:r>
    </w:p>
    <w:p w14:paraId="5C56F1A1">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eastAsia"/>
          <w:color w:val="auto"/>
          <w:highlight w:val="none"/>
          <w:u w:val="single"/>
          <w:lang w:val="en-US" w:eastAsia="zh-CN"/>
        </w:rPr>
      </w:pPr>
      <w:r>
        <w:rPr>
          <w:rFonts w:hint="eastAsia"/>
          <w:color w:val="auto"/>
          <w:highlight w:val="none"/>
          <w:u w:val="single"/>
          <w:lang w:val="en-US" w:eastAsia="zh-CN"/>
        </w:rPr>
        <w:t>排水沟工程</w:t>
      </w:r>
      <w:r>
        <w:rPr>
          <w:rFonts w:hint="eastAsia" w:ascii="Times New Roman" w:eastAsia="宋体" w:cs="Times New Roman"/>
          <w:b w:val="0"/>
          <w:bCs/>
          <w:color w:val="auto"/>
          <w:sz w:val="24"/>
          <w:szCs w:val="24"/>
          <w:highlight w:val="none"/>
          <w:u w:val="single"/>
          <w:lang w:val="en-US" w:eastAsia="zh-CN"/>
        </w:rPr>
        <w:t>产生较大影响的施工环节</w:t>
      </w:r>
      <w:r>
        <w:rPr>
          <w:rFonts w:hint="eastAsia"/>
          <w:color w:val="auto"/>
          <w:highlight w:val="none"/>
          <w:u w:val="single"/>
          <w:lang w:val="en-US" w:eastAsia="zh-CN"/>
        </w:rPr>
        <w:t>为基坑开挖。根据项目建设特点，本项目位于锦绣大道、水系改造段终点设置排水明沟，其中锦绣大道位于陆域施工，不涉及水域，水系改造段终点段排水沟现状为虾塘，施工需顺接水系改造段围堰搭设和河床导流后进行干式清淤。</w:t>
      </w:r>
    </w:p>
    <w:p w14:paraId="44B334AA">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eastAsia" w:ascii="宋体" w:hAnsi="Times New Roman" w:eastAsia="宋体" w:cs="Times New Roman"/>
          <w:color w:val="auto"/>
          <w:highlight w:val="none"/>
          <w:u w:val="single"/>
          <w:lang w:val="en-US" w:eastAsia="zh-CN"/>
        </w:rPr>
        <w:sectPr>
          <w:headerReference r:id="rId11" w:type="even"/>
          <w:pgSz w:w="11906" w:h="16838"/>
          <w:pgMar w:top="1418" w:right="1514" w:bottom="1314" w:left="1780" w:header="737" w:footer="992" w:gutter="0"/>
          <w:cols w:space="720" w:num="1"/>
          <w:docGrid w:type="linesAndChars" w:linePitch="466" w:charSpace="-2738"/>
        </w:sectPr>
      </w:pPr>
      <w:r>
        <w:rPr>
          <w:rFonts w:hint="eastAsia" w:ascii="宋体" w:hAnsi="Times New Roman" w:eastAsia="宋体" w:cs="Times New Roman"/>
          <w:color w:val="auto"/>
          <w:highlight w:val="none"/>
          <w:u w:val="single"/>
          <w:lang w:val="en-US" w:eastAsia="zh-CN"/>
        </w:rPr>
        <w:t>项目锦绣大道排水明沟建设不受钦州港排水工程、水系改造工程施工时序制约，施工单位应合理安排施工时序，同期开展锦绣大道排水管敷设和锦绣大道排水明沟施工，避免施工对周边敏感点产生较大影响。</w:t>
      </w:r>
    </w:p>
    <w:p w14:paraId="023E5E33">
      <w:pPr>
        <w:numPr>
          <w:ilvl w:val="0"/>
          <w:numId w:val="30"/>
        </w:numPr>
        <w:adjustRightInd w:val="0"/>
        <w:snapToGrid w:val="0"/>
        <w:spacing w:line="360" w:lineRule="auto"/>
        <w:ind w:firstLine="454" w:firstLineChars="20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水系改造</w:t>
      </w:r>
      <w:r>
        <w:rPr>
          <w:rFonts w:hint="eastAsia" w:ascii="Times New Roman" w:cs="Times New Roman"/>
          <w:b/>
          <w:bCs/>
          <w:color w:val="auto"/>
          <w:highlight w:val="none"/>
          <w:lang w:val="en-US" w:eastAsia="zh-CN"/>
        </w:rPr>
        <w:t>段、钦州港路排水改造段</w:t>
      </w:r>
      <w:r>
        <w:rPr>
          <w:rFonts w:hint="default" w:ascii="Times New Roman" w:hAnsi="Times New Roman" w:eastAsia="宋体" w:cs="Times New Roman"/>
          <w:b/>
          <w:bCs/>
          <w:color w:val="auto"/>
          <w:highlight w:val="none"/>
          <w:lang w:val="en-US" w:eastAsia="zh-CN"/>
        </w:rPr>
        <w:t>施工工艺流程简述</w:t>
      </w:r>
    </w:p>
    <w:p w14:paraId="3093D34F">
      <w:pPr>
        <w:pStyle w:val="588"/>
        <w:numPr>
          <w:ilvl w:val="0"/>
          <w:numId w:val="0"/>
        </w:numPr>
        <w:bidi w:val="0"/>
        <w:ind w:leftChars="0"/>
        <w:jc w:val="center"/>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object>
          <v:shape id="_x0000_i1032" o:spt="75" type="#_x0000_t75" style="height:396.35pt;width:648.85pt;" o:ole="t" filled="f" o:preferrelative="t" stroked="f" coordsize="21600,21600">
            <v:path/>
            <v:fill on="f" focussize="0,0"/>
            <v:stroke on="f"/>
            <v:imagedata r:id="rId56" o:title=""/>
            <o:lock v:ext="edit" aspectratio="t"/>
            <w10:wrap type="none"/>
            <w10:anchorlock/>
          </v:shape>
          <o:OLEObject Type="Embed" ProgID="Visio.Drawing.11" ShapeID="_x0000_i1032" DrawAspect="Content" ObjectID="_1468075732" r:id="rId55">
            <o:LockedField>false</o:LockedField>
          </o:OLEObject>
        </w:object>
      </w:r>
    </w:p>
    <w:p w14:paraId="2B3B37AA">
      <w:pPr>
        <w:pStyle w:val="588"/>
        <w:bidi w:val="0"/>
        <w:ind w:left="0" w:leftChars="0" w:firstLine="0" w:firstLineChars="0"/>
        <w:rPr>
          <w:rFonts w:hint="default"/>
          <w:color w:val="auto"/>
          <w:highlight w:val="none"/>
          <w:lang w:val="en-US" w:eastAsia="zh-CN"/>
        </w:rPr>
        <w:sectPr>
          <w:pgSz w:w="16838" w:h="11906" w:orient="landscape"/>
          <w:pgMar w:top="1440" w:right="1080" w:bottom="1440" w:left="1080" w:header="737" w:footer="992" w:gutter="0"/>
          <w:cols w:space="720" w:num="1"/>
          <w:docGrid w:type="linesAndChars" w:linePitch="466" w:charSpace="-2738"/>
        </w:sectPr>
      </w:pPr>
      <w:r>
        <w:rPr>
          <w:rFonts w:hint="default"/>
          <w:color w:val="auto"/>
          <w:highlight w:val="none"/>
          <w:lang w:val="en-US" w:eastAsia="zh-CN"/>
        </w:rPr>
        <w:t xml:space="preserve"> 水系改造施工流程图</w:t>
      </w:r>
    </w:p>
    <w:p w14:paraId="3B57841C">
      <w:pPr>
        <w:pageBreakBefore w:val="0"/>
        <w:widowControl w:val="0"/>
        <w:kinsoku/>
        <w:wordWrap/>
        <w:overflowPunct/>
        <w:topLinePunct w:val="0"/>
        <w:autoSpaceDE/>
        <w:autoSpaceDN/>
        <w:bidi w:val="0"/>
        <w:adjustRightInd w:val="0"/>
        <w:snapToGrid w:val="0"/>
        <w:spacing w:line="360" w:lineRule="auto"/>
        <w:ind w:firstLine="454" w:firstLineChars="200"/>
        <w:textAlignment w:val="auto"/>
        <w:rPr>
          <w:rFonts w:hint="eastAsia"/>
          <w:color w:val="auto"/>
          <w:highlight w:val="none"/>
          <w:u w:val="single"/>
          <w:lang w:val="en-US" w:eastAsia="zh-CN"/>
        </w:rPr>
      </w:pPr>
      <w:r>
        <w:rPr>
          <w:rFonts w:hint="eastAsia"/>
          <w:color w:val="auto"/>
          <w:highlight w:val="none"/>
          <w:u w:val="single"/>
          <w:lang w:val="en-US" w:eastAsia="zh-CN"/>
        </w:rPr>
        <w:t>水系改造段挡土墙及土堤护岸施工产生较大环境影响的环节为施工围堰、河床导流及基坑排水。水系改造段施工需先搭设好施工围堰、进行河床导流，基坑排水，对施工区底部进行干式清淤换填，建设扶壁式挡土墙后，在挡土墙背部填土，同步进行道路回填和土堤护岸施工。</w:t>
      </w:r>
    </w:p>
    <w:p w14:paraId="68883D53">
      <w:pPr>
        <w:pageBreakBefore w:val="0"/>
        <w:widowControl w:val="0"/>
        <w:tabs>
          <w:tab w:val="left" w:pos="3927"/>
        </w:tabs>
        <w:kinsoku/>
        <w:wordWrap/>
        <w:overflowPunct/>
        <w:topLinePunct w:val="0"/>
        <w:autoSpaceDE/>
        <w:autoSpaceDN/>
        <w:bidi w:val="0"/>
        <w:adjustRightInd w:val="0"/>
        <w:snapToGrid w:val="0"/>
        <w:spacing w:line="360" w:lineRule="auto"/>
        <w:ind w:firstLine="454" w:firstLineChars="200"/>
        <w:textAlignment w:val="auto"/>
        <w:rPr>
          <w:rFonts w:hint="default"/>
          <w:color w:val="auto"/>
          <w:highlight w:val="none"/>
          <w:lang w:val="en-US" w:eastAsia="zh-CN"/>
        </w:rPr>
      </w:pPr>
      <w:r>
        <w:rPr>
          <w:rFonts w:hint="eastAsia" w:ascii="宋体" w:hAnsi="Times New Roman" w:eastAsia="宋体" w:cs="Times New Roman"/>
          <w:color w:val="auto"/>
          <w:highlight w:val="none"/>
          <w:u w:val="single"/>
          <w:lang w:val="en-US" w:eastAsia="zh-CN"/>
        </w:rPr>
        <w:t>水系改造段涉及道路回填，与钦州港路段排水工程同期开展，搭建施工围堰、河床导流后，对围堰内进行基坑排水。做好围水、导水、排水工作后对施工场地内的淤泥进行干式清淤换填，道路回填至一定标高后修建扶壁式挡土墙，挡墙施工完毕对进行道路回填，土堤护岸建设，道路回填至一定标高后铺设雨水排管。</w:t>
      </w:r>
    </w:p>
    <w:p w14:paraId="4EC5CC38">
      <w:pPr>
        <w:pStyle w:val="5"/>
        <w:bidi w:val="0"/>
        <w:ind w:left="452" w:leftChars="0" w:firstLine="0" w:firstLineChars="0"/>
        <w:rPr>
          <w:rFonts w:hint="default"/>
          <w:color w:val="auto"/>
          <w:highlight w:val="none"/>
        </w:rPr>
      </w:pPr>
      <w:r>
        <w:rPr>
          <w:rFonts w:hint="default"/>
          <w:color w:val="auto"/>
          <w:highlight w:val="none"/>
        </w:rPr>
        <w:t>施工期生态影响</w:t>
      </w:r>
    </w:p>
    <w:p w14:paraId="4BD71C35">
      <w:pPr>
        <w:numPr>
          <w:ilvl w:val="0"/>
          <w:numId w:val="31"/>
        </w:numPr>
        <w:ind w:firstLine="416"/>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highlight w:val="none"/>
        </w:rPr>
        <w:t>工程对占地的影响</w:t>
      </w:r>
    </w:p>
    <w:p w14:paraId="179EC8B8">
      <w:pPr>
        <w:pStyle w:val="913"/>
        <w:numPr>
          <w:ilvl w:val="0"/>
          <w:numId w:val="0"/>
        </w:numPr>
        <w:spacing w:line="360" w:lineRule="auto"/>
        <w:ind w:firstLine="454" w:firstLineChars="200"/>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t>工程永久占地以及施工过程中土方、建筑材料临时堆放，将不可避免地破坏植被。项目总占地5.71hm</w:t>
      </w:r>
      <w:r>
        <w:rPr>
          <w:rFonts w:hint="default" w:ascii="Times New Roman" w:hAnsi="Times New Roman" w:eastAsia="宋体" w:cs="Times New Roman"/>
          <w:color w:val="auto"/>
          <w:kern w:val="0"/>
          <w:sz w:val="24"/>
          <w:szCs w:val="24"/>
          <w:highlight w:val="none"/>
          <w:u w:val="none"/>
          <w:vertAlign w:val="superscript"/>
          <w:lang w:val="en-US" w:eastAsia="zh-CN"/>
        </w:rPr>
        <w:t>2</w:t>
      </w:r>
      <w:r>
        <w:rPr>
          <w:rFonts w:hint="default" w:ascii="Times New Roman" w:hAnsi="Times New Roman" w:eastAsia="宋体" w:cs="Times New Roman"/>
          <w:color w:val="auto"/>
          <w:kern w:val="0"/>
          <w:sz w:val="24"/>
          <w:szCs w:val="24"/>
          <w:highlight w:val="none"/>
          <w:u w:val="none"/>
          <w:lang w:val="en-US" w:eastAsia="zh-CN"/>
        </w:rPr>
        <w:t>，其中永久占地1.34hm</w:t>
      </w:r>
      <w:r>
        <w:rPr>
          <w:rFonts w:hint="default" w:ascii="Times New Roman" w:hAnsi="Times New Roman" w:eastAsia="宋体" w:cs="Times New Roman"/>
          <w:color w:val="auto"/>
          <w:kern w:val="0"/>
          <w:sz w:val="24"/>
          <w:szCs w:val="24"/>
          <w:highlight w:val="none"/>
          <w:u w:val="none"/>
          <w:vertAlign w:val="superscript"/>
          <w:lang w:val="en-US" w:eastAsia="zh-CN"/>
        </w:rPr>
        <w:t>2</w:t>
      </w:r>
      <w:r>
        <w:rPr>
          <w:rFonts w:hint="default" w:ascii="Times New Roman" w:hAnsi="Times New Roman" w:eastAsia="宋体" w:cs="Times New Roman"/>
          <w:color w:val="auto"/>
          <w:kern w:val="0"/>
          <w:sz w:val="24"/>
          <w:szCs w:val="24"/>
          <w:highlight w:val="none"/>
          <w:u w:val="none"/>
          <w:lang w:val="en-US" w:eastAsia="zh-CN"/>
        </w:rPr>
        <w:t>，临时占地4.37hm</w:t>
      </w:r>
      <w:r>
        <w:rPr>
          <w:rFonts w:hint="default" w:ascii="Times New Roman" w:hAnsi="Times New Roman" w:eastAsia="宋体" w:cs="Times New Roman"/>
          <w:color w:val="auto"/>
          <w:kern w:val="0"/>
          <w:sz w:val="24"/>
          <w:szCs w:val="24"/>
          <w:highlight w:val="none"/>
          <w:u w:val="none"/>
          <w:vertAlign w:val="superscript"/>
          <w:lang w:val="en-US" w:eastAsia="zh-CN"/>
        </w:rPr>
        <w:t>2</w:t>
      </w:r>
      <w:r>
        <w:rPr>
          <w:rFonts w:hint="default" w:ascii="Times New Roman" w:hAnsi="Times New Roman" w:eastAsia="宋体" w:cs="Times New Roman"/>
          <w:color w:val="auto"/>
          <w:kern w:val="0"/>
          <w:sz w:val="24"/>
          <w:szCs w:val="24"/>
          <w:highlight w:val="none"/>
          <w:u w:val="none"/>
          <w:lang w:val="en-US" w:eastAsia="zh-CN"/>
        </w:rPr>
        <w:t>。项目占地类型为城镇乡村道路用地、水域及水利设施用地、耕地、空闲地等，不涉及基本农田和公益林、红树林等敏感区域。工程永久占地对评价区内的自然植被的破坏是长期的，不可恢复的，而临时占地可在工程结束后逐步恢复植被。临时占地（临时堆场）施工结束通过播撒草籽等措施及时对临时占地进行恢复，基本恢复到建设前的情况，不会对附近环境造成影响。</w:t>
      </w:r>
    </w:p>
    <w:p w14:paraId="536D24CF">
      <w:pPr>
        <w:numPr>
          <w:ilvl w:val="0"/>
          <w:numId w:val="31"/>
        </w:numPr>
        <w:ind w:firstLine="416"/>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lang w:val="en-US" w:eastAsia="zh-CN"/>
        </w:rPr>
        <w:t>对陆生生态影响因素</w:t>
      </w:r>
    </w:p>
    <w:p w14:paraId="436E2657">
      <w:pPr>
        <w:pStyle w:val="913"/>
        <w:numPr>
          <w:ilvl w:val="0"/>
          <w:numId w:val="0"/>
        </w:numPr>
        <w:spacing w:line="360" w:lineRule="auto"/>
        <w:ind w:firstLine="454" w:firstLineChars="200"/>
        <w:rPr>
          <w:rFonts w:hint="default" w:ascii="Times New Roman" w:hAnsi="Times New Roman" w:eastAsia="宋体" w:cs="Times New Roman"/>
          <w:b w:val="0"/>
          <w:bCs/>
          <w:color w:val="auto"/>
          <w:sz w:val="24"/>
          <w:szCs w:val="24"/>
          <w:highlight w:val="none"/>
          <w:lang w:val="en-US"/>
        </w:rPr>
      </w:pPr>
      <w:r>
        <w:rPr>
          <w:rFonts w:hint="default" w:ascii="Times New Roman" w:hAnsi="Times New Roman" w:eastAsia="宋体" w:cs="Times New Roman"/>
          <w:b w:val="0"/>
          <w:bCs/>
          <w:color w:val="auto"/>
          <w:sz w:val="24"/>
          <w:szCs w:val="24"/>
          <w:highlight w:val="none"/>
          <w:lang w:val="en-US" w:eastAsia="zh-CN"/>
        </w:rPr>
        <w:t>项目施工对陆生植物的直接影响主要表现在项目施工占地及施工活动造成植被的破坏，植被生物量的损失。施工噪声及施工活动直接影响陆生野生动物觅食、栖息等行为活动，施工产生的噪声、扬尘等直接造成区域生境质量下降，间接影响区域陆生野生动物分布范围；随施工结束后，部分影响将会消失。</w:t>
      </w:r>
    </w:p>
    <w:p w14:paraId="0C81670F">
      <w:pPr>
        <w:numPr>
          <w:ilvl w:val="0"/>
          <w:numId w:val="31"/>
        </w:numPr>
        <w:ind w:firstLine="416"/>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对</w:t>
      </w:r>
      <w:r>
        <w:rPr>
          <w:rFonts w:hint="default" w:ascii="Times New Roman" w:hAnsi="Times New Roman" w:eastAsia="宋体" w:cs="Times New Roman"/>
          <w:b/>
          <w:bCs/>
          <w:color w:val="auto"/>
          <w:sz w:val="24"/>
          <w:szCs w:val="24"/>
          <w:highlight w:val="none"/>
        </w:rPr>
        <w:t>水生生物影响</w:t>
      </w:r>
      <w:r>
        <w:rPr>
          <w:rFonts w:hint="default" w:ascii="Times New Roman" w:hAnsi="Times New Roman" w:eastAsia="宋体" w:cs="Times New Roman"/>
          <w:b/>
          <w:bCs/>
          <w:color w:val="auto"/>
          <w:sz w:val="24"/>
          <w:szCs w:val="24"/>
          <w:highlight w:val="none"/>
          <w:lang w:val="en-US" w:eastAsia="zh-CN"/>
        </w:rPr>
        <w:t>因素</w:t>
      </w:r>
    </w:p>
    <w:p w14:paraId="35B127EE">
      <w:pPr>
        <w:pStyle w:val="913"/>
        <w:numPr>
          <w:ilvl w:val="0"/>
          <w:numId w:val="0"/>
        </w:numPr>
        <w:spacing w:line="360" w:lineRule="auto"/>
        <w:ind w:firstLine="454" w:firstLineChars="20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项目施工对水生生态的影响主要表现在围堰施工可能造成水体扰动，局部水体的悬浮物增加，影响现有景观，对鱼类、水生动植物产生影响。</w:t>
      </w:r>
      <w:r>
        <w:rPr>
          <w:rFonts w:hint="eastAsia" w:ascii="Times New Roman" w:eastAsia="宋体" w:cs="Times New Roman"/>
          <w:b w:val="0"/>
          <w:bCs/>
          <w:color w:val="auto"/>
          <w:sz w:val="24"/>
          <w:szCs w:val="24"/>
          <w:highlight w:val="none"/>
          <w:u w:val="single"/>
          <w:lang w:val="en-US" w:eastAsia="zh-CN"/>
        </w:rPr>
        <w:t>河道设置围堰进行导流后，施工范围内水生生境被破坏，可快速移动的水生生物迁移至周边相似生境，部分不可移动或移动缓慢的水生生物因清淤施工而死亡。河道导流后，地表径流发生改变，原河道无生态流量保障，水生生物生境被破坏，部分不可迁移的水生生物死亡。</w:t>
      </w:r>
    </w:p>
    <w:p w14:paraId="1292C9F8">
      <w:pPr>
        <w:numPr>
          <w:ilvl w:val="0"/>
          <w:numId w:val="31"/>
        </w:numPr>
        <w:ind w:firstLine="416"/>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sz w:val="24"/>
          <w:szCs w:val="24"/>
          <w:highlight w:val="none"/>
        </w:rPr>
        <w:t>水土流失影响</w:t>
      </w:r>
    </w:p>
    <w:p w14:paraId="6C3D295D">
      <w:pPr>
        <w:pStyle w:val="913"/>
        <w:numPr>
          <w:ilvl w:val="0"/>
          <w:numId w:val="0"/>
        </w:numPr>
        <w:spacing w:line="360" w:lineRule="auto"/>
        <w:ind w:firstLine="454" w:firstLineChars="20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工程施工对地表植被造成占压与损坏，造成地表抗蚀能力降低；土石方开挖、填筑，造成地貌形态改变，土壤结构破坏，裸露面积增加，将加剧施工区域内水土流失；临建工程的建设必然破坏地表植被，施工中若未进行防护易引发水土流失；此外，土料场大量的取土、渣料的弃渣都极易受到水力侵蚀，造成水土流失。由于工程土石方开挖量较大，施工过程中临时堆放如不妥善处理，尤其是河滩地区，将导致工程活动区域土地表层植被破坏，地表破碎度增加，植被覆盖率降低，水土流失增大，对周围区域局部生态环境造成不利影响。</w:t>
      </w:r>
    </w:p>
    <w:p w14:paraId="7FA949C3">
      <w:pPr>
        <w:pStyle w:val="5"/>
        <w:bidi w:val="0"/>
        <w:ind w:left="452" w:leftChars="0" w:firstLine="0" w:firstLineChars="0"/>
        <w:rPr>
          <w:rFonts w:hint="default"/>
          <w:color w:val="auto"/>
          <w:highlight w:val="none"/>
        </w:rPr>
      </w:pPr>
      <w:bookmarkStart w:id="53" w:name="_Ref151362798"/>
      <w:r>
        <w:rPr>
          <w:rFonts w:hint="default"/>
          <w:color w:val="auto"/>
          <w:highlight w:val="none"/>
        </w:rPr>
        <w:t>施工期废气源强</w:t>
      </w:r>
      <w:bookmarkEnd w:id="53"/>
    </w:p>
    <w:p w14:paraId="6864D8D9">
      <w:pPr>
        <w:ind w:firstLine="416"/>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施工期废气主要为施工扬尘、</w:t>
      </w:r>
      <w:r>
        <w:rPr>
          <w:rFonts w:hint="default" w:ascii="Times New Roman" w:hAnsi="Times New Roman" w:cs="Times New Roman"/>
          <w:bCs/>
          <w:color w:val="auto"/>
          <w:highlight w:val="none"/>
          <w:lang w:val="en-US" w:eastAsia="zh-CN"/>
        </w:rPr>
        <w:t>运输</w:t>
      </w:r>
      <w:r>
        <w:rPr>
          <w:rFonts w:hint="default" w:ascii="Times New Roman" w:hAnsi="Times New Roman" w:cs="Times New Roman"/>
          <w:bCs/>
          <w:color w:val="auto"/>
          <w:highlight w:val="none"/>
        </w:rPr>
        <w:t>扬尘、施工机械及运输车辆尾气</w:t>
      </w:r>
      <w:r>
        <w:rPr>
          <w:rFonts w:hint="default" w:ascii="Times New Roman" w:hAnsi="Times New Roman" w:cs="Times New Roman"/>
          <w:bCs/>
          <w:color w:val="auto"/>
          <w:highlight w:val="none"/>
          <w:lang w:eastAsia="zh-CN"/>
        </w:rPr>
        <w:t>、</w:t>
      </w:r>
      <w:r>
        <w:rPr>
          <w:rFonts w:hint="eastAsia"/>
          <w:color w:val="auto"/>
          <w:highlight w:val="none"/>
          <w:lang w:eastAsia="zh-CN"/>
        </w:rPr>
        <w:t>临时中转场及道路回填区扬尘、</w:t>
      </w:r>
      <w:r>
        <w:rPr>
          <w:rFonts w:hint="default" w:ascii="Times New Roman" w:hAnsi="Times New Roman" w:cs="Times New Roman"/>
          <w:bCs/>
          <w:color w:val="auto"/>
          <w:highlight w:val="none"/>
          <w:lang w:val="en-US" w:eastAsia="zh-CN"/>
        </w:rPr>
        <w:t>淤泥恶臭</w:t>
      </w:r>
      <w:r>
        <w:rPr>
          <w:rFonts w:hint="default" w:ascii="Times New Roman" w:hAnsi="Times New Roman" w:cs="Times New Roman"/>
          <w:bCs/>
          <w:color w:val="auto"/>
          <w:highlight w:val="none"/>
        </w:rPr>
        <w:t>。</w:t>
      </w:r>
    </w:p>
    <w:p w14:paraId="2FB2D59F">
      <w:pPr>
        <w:pStyle w:val="410"/>
        <w:numPr>
          <w:ilvl w:val="0"/>
          <w:numId w:val="32"/>
        </w:numPr>
        <w:ind w:left="0" w:leftChars="0" w:firstLine="416" w:firstLineChars="0"/>
        <w:rPr>
          <w:rFonts w:hint="default" w:ascii="Times New Roman" w:hAnsi="Times New Roman" w:cs="Times New Roman"/>
          <w:b/>
          <w:color w:val="auto"/>
          <w:highlight w:val="none"/>
        </w:rPr>
      </w:pPr>
      <w:r>
        <w:rPr>
          <w:rFonts w:hint="default" w:ascii="Times New Roman" w:hAnsi="Times New Roman" w:cs="Times New Roman"/>
          <w:b/>
          <w:color w:val="auto"/>
          <w:highlight w:val="none"/>
        </w:rPr>
        <w:t>施工扬尘</w:t>
      </w:r>
    </w:p>
    <w:p w14:paraId="63CF6985">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施工扬尘是指工程施工过程中产生的对大气造成污染的悬浮颗粒物和可吸入颗粒物等一般性粉尘。施工扬尘产生量的影响因素有：</w:t>
      </w:r>
    </w:p>
    <w:p w14:paraId="518C23DE">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①土壤或建筑材料的含水量，含水量高的材料不易飞扬。</w:t>
      </w:r>
    </w:p>
    <w:p w14:paraId="4F5BFD31">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土壤或建筑材料的粒径大小，颗粒大的物料不易飞扬，土壤颗粒物的粒径分布大概是粒径大于0.1mm的占76%左右，粒径在0.05～0.10mm的占15%左右，粒径在0.03～0.05mm的占5%左右，粒径小于0.03mm的占4%左右；在没有风力的作用下，粒径小于0.015mm的颗粒能够飞扬，当风速为3～5m/s时，粒径为0.015～0.03mm的颗粒也会被风吹扬。</w:t>
      </w:r>
    </w:p>
    <w:p w14:paraId="2993D0E1">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③气候条件，风速大，湿度小易产生扬尘。</w:t>
      </w:r>
    </w:p>
    <w:p w14:paraId="55B17485">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④运输车辆和施工机械的运行速度对扬尘的产生量也很明显，速度高，扬尘产生量大。</w:t>
      </w:r>
    </w:p>
    <w:p w14:paraId="06AE8AEB">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施工扬尘产生量根据《扬尘源颗粒物排放清单编制技术指南（试行）》中施工扬尘源排放计算公式进行计算，公式如下：</w:t>
      </w:r>
    </w:p>
    <w:p w14:paraId="5109A214">
      <w:pPr>
        <w:keepNext w:val="0"/>
        <w:keepLines w:val="0"/>
        <w:pageBreakBefore w:val="0"/>
        <w:widowControl w:val="0"/>
        <w:kinsoku/>
        <w:wordWrap/>
        <w:overflowPunct/>
        <w:topLinePunct w:val="0"/>
        <w:autoSpaceDE/>
        <w:autoSpaceDN/>
        <w:bidi w:val="0"/>
        <w:adjustRightInd/>
        <w:snapToGrid/>
        <w:spacing w:before="31" w:line="190" w:lineRule="auto"/>
        <w:ind w:left="0"/>
        <w:jc w:val="center"/>
        <w:textAlignment w:val="auto"/>
        <w:rPr>
          <w:rFonts w:hint="default" w:ascii="Times New Roman" w:hAnsi="Times New Roman" w:eastAsia="Times New Roman" w:cs="Times New Roman"/>
          <w:color w:val="auto"/>
          <w:sz w:val="24"/>
          <w:szCs w:val="24"/>
          <w:highlight w:val="none"/>
        </w:rPr>
      </w:pPr>
      <w:r>
        <w:rPr>
          <w:rFonts w:hint="default" w:ascii="Times New Roman" w:hAnsi="Times New Roman" w:eastAsia="Times New Roman" w:cs="Times New Roman"/>
          <w:color w:val="auto"/>
          <w:sz w:val="24"/>
          <w:szCs w:val="24"/>
          <w:highlight w:val="none"/>
        </w:rPr>
        <w:t>Wci</w:t>
      </w:r>
      <w:r>
        <w:rPr>
          <w:rFonts w:hint="default" w:ascii="Times New Roman" w:hAnsi="Times New Roman" w:eastAsia="Times New Roman" w:cs="Times New Roman"/>
          <w:color w:val="auto"/>
          <w:spacing w:val="11"/>
          <w:sz w:val="24"/>
          <w:szCs w:val="24"/>
          <w:highlight w:val="none"/>
        </w:rPr>
        <w:t>=</w:t>
      </w:r>
      <w:r>
        <w:rPr>
          <w:rFonts w:hint="default" w:ascii="Times New Roman" w:hAnsi="Times New Roman" w:eastAsia="Times New Roman" w:cs="Times New Roman"/>
          <w:color w:val="auto"/>
          <w:sz w:val="24"/>
          <w:szCs w:val="24"/>
          <w:highlight w:val="none"/>
        </w:rPr>
        <w:t>Eci</w:t>
      </w:r>
      <w:r>
        <w:rPr>
          <w:rFonts w:hint="default" w:ascii="Times New Roman" w:hAnsi="Times New Roman" w:eastAsia="Times New Roman" w:cs="Times New Roman"/>
          <w:color w:val="auto"/>
          <w:spacing w:val="11"/>
          <w:sz w:val="24"/>
          <w:szCs w:val="24"/>
          <w:highlight w:val="none"/>
        </w:rPr>
        <w:t>×</w:t>
      </w:r>
      <w:r>
        <w:rPr>
          <w:rFonts w:hint="default" w:ascii="Times New Roman" w:hAnsi="Times New Roman" w:eastAsia="Times New Roman" w:cs="Times New Roman"/>
          <w:color w:val="auto"/>
          <w:sz w:val="24"/>
          <w:szCs w:val="24"/>
          <w:highlight w:val="none"/>
        </w:rPr>
        <w:t>Ac</w:t>
      </w:r>
      <w:r>
        <w:rPr>
          <w:rFonts w:hint="default" w:ascii="Times New Roman" w:hAnsi="Times New Roman" w:eastAsia="Times New Roman" w:cs="Times New Roman"/>
          <w:color w:val="auto"/>
          <w:spacing w:val="11"/>
          <w:sz w:val="24"/>
          <w:szCs w:val="24"/>
          <w:highlight w:val="none"/>
        </w:rPr>
        <w:t>×T</w:t>
      </w:r>
    </w:p>
    <w:p w14:paraId="658D07E2">
      <w:pPr>
        <w:keepNext w:val="0"/>
        <w:keepLines w:val="0"/>
        <w:pageBreakBefore w:val="0"/>
        <w:widowControl w:val="0"/>
        <w:kinsoku/>
        <w:wordWrap/>
        <w:overflowPunct/>
        <w:topLinePunct w:val="0"/>
        <w:autoSpaceDE/>
        <w:autoSpaceDN/>
        <w:bidi w:val="0"/>
        <w:adjustRightInd/>
        <w:snapToGrid/>
        <w:spacing w:before="226" w:line="219" w:lineRule="auto"/>
        <w:ind w:lef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color w:val="auto"/>
          <w:spacing w:val="-1"/>
          <w:sz w:val="24"/>
          <w:szCs w:val="24"/>
          <w:highlight w:val="none"/>
        </w:rPr>
        <w:t>Eci=2.69×10</w:t>
      </w:r>
      <w:r>
        <w:rPr>
          <w:rFonts w:hint="default" w:ascii="Times New Roman" w:hAnsi="Times New Roman" w:eastAsia="Times New Roman" w:cs="Times New Roman"/>
          <w:color w:val="auto"/>
          <w:spacing w:val="-1"/>
          <w:position w:val="10"/>
          <w:sz w:val="16"/>
          <w:szCs w:val="16"/>
          <w:highlight w:val="none"/>
        </w:rPr>
        <w:t>-4</w:t>
      </w:r>
      <w:r>
        <w:rPr>
          <w:rFonts w:hint="default" w:ascii="Times New Roman" w:hAnsi="Times New Roman" w:eastAsia="Times New Roman" w:cs="Times New Roman"/>
          <w:color w:val="auto"/>
          <w:spacing w:val="-1"/>
          <w:sz w:val="24"/>
          <w:szCs w:val="24"/>
          <w:highlight w:val="none"/>
        </w:rPr>
        <w:t>×</w:t>
      </w:r>
      <w:r>
        <w:rPr>
          <w:rFonts w:hint="default" w:ascii="Times New Roman" w:hAnsi="Times New Roman" w:eastAsia="宋体" w:cs="Times New Roman"/>
          <w:color w:val="auto"/>
          <w:spacing w:val="-1"/>
          <w:sz w:val="24"/>
          <w:szCs w:val="24"/>
          <w:highlight w:val="none"/>
        </w:rPr>
        <w:t>（</w:t>
      </w:r>
      <w:r>
        <w:rPr>
          <w:rFonts w:hint="default" w:ascii="Times New Roman" w:hAnsi="Times New Roman" w:eastAsia="Times New Roman" w:cs="Times New Roman"/>
          <w:color w:val="auto"/>
          <w:spacing w:val="-1"/>
          <w:sz w:val="24"/>
          <w:szCs w:val="24"/>
          <w:highlight w:val="none"/>
        </w:rPr>
        <w:t>1-η</w:t>
      </w:r>
      <w:r>
        <w:rPr>
          <w:rFonts w:hint="default" w:ascii="Times New Roman" w:hAnsi="Times New Roman" w:eastAsia="宋体" w:cs="Times New Roman"/>
          <w:color w:val="auto"/>
          <w:spacing w:val="-1"/>
          <w:sz w:val="24"/>
          <w:szCs w:val="24"/>
          <w:highlight w:val="none"/>
        </w:rPr>
        <w:t>)</w:t>
      </w:r>
    </w:p>
    <w:p w14:paraId="6368F13D">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式中：</w:t>
      </w:r>
    </w:p>
    <w:p w14:paraId="4478E032">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w:t>
      </w:r>
      <w:r>
        <w:rPr>
          <w:rFonts w:hint="default" w:ascii="Times New Roman" w:hAnsi="Times New Roman" w:eastAsia="宋体" w:cs="Times New Roman"/>
          <w:color w:val="auto"/>
          <w:highlight w:val="none"/>
          <w:vertAlign w:val="subscript"/>
        </w:rPr>
        <w:t>Ci</w:t>
      </w:r>
      <w:r>
        <w:rPr>
          <w:rFonts w:hint="default" w:ascii="Times New Roman" w:hAnsi="Times New Roman" w:eastAsia="宋体" w:cs="Times New Roman"/>
          <w:color w:val="auto"/>
          <w:highlight w:val="none"/>
        </w:rPr>
        <w:t>为施工扬尘源中扬尘总排放量，t/a。</w:t>
      </w:r>
    </w:p>
    <w:p w14:paraId="1D098F5A">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E</w:t>
      </w:r>
      <w:r>
        <w:rPr>
          <w:rFonts w:hint="default" w:ascii="Times New Roman" w:hAnsi="Times New Roman" w:eastAsia="宋体" w:cs="Times New Roman"/>
          <w:color w:val="auto"/>
          <w:highlight w:val="none"/>
          <w:vertAlign w:val="subscript"/>
        </w:rPr>
        <w:t>Ci</w:t>
      </w:r>
      <w:r>
        <w:rPr>
          <w:rFonts w:hint="default" w:ascii="Times New Roman" w:hAnsi="Times New Roman" w:eastAsia="宋体" w:cs="Times New Roman"/>
          <w:color w:val="auto"/>
          <w:highlight w:val="none"/>
        </w:rPr>
        <w:t>为整个施工工地扬尘的平均排放系数，t/（㎡•月）。</w:t>
      </w:r>
    </w:p>
    <w:p w14:paraId="61FFD4D0">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vertAlign w:val="subscript"/>
        </w:rPr>
        <w:t>C</w:t>
      </w:r>
      <w:r>
        <w:rPr>
          <w:rFonts w:hint="default" w:ascii="Times New Roman" w:hAnsi="Times New Roman" w:eastAsia="宋体" w:cs="Times New Roman"/>
          <w:color w:val="auto"/>
          <w:highlight w:val="none"/>
        </w:rPr>
        <w:t>为施工区域面积，㎡。</w:t>
      </w:r>
    </w:p>
    <w:p w14:paraId="59D5D4BC">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T为工地的施工月份数，一般按施工天数/30计算。</w:t>
      </w:r>
    </w:p>
    <w:p w14:paraId="447423B7">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η为污染控制技术对扬尘的去除效率，%。</w:t>
      </w:r>
    </w:p>
    <w:p w14:paraId="631F5DB9">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根据以上公式估算建筑施工区域的排放总量。</w:t>
      </w:r>
      <w:r>
        <w:rPr>
          <w:rFonts w:hint="default" w:ascii="Times New Roman" w:hAnsi="Times New Roman" w:eastAsia="宋体" w:cs="Times New Roman"/>
          <w:color w:val="auto"/>
          <w:highlight w:val="none"/>
          <w:lang w:val="en-US" w:eastAsia="zh-CN"/>
        </w:rPr>
        <w:t>项目三个区域</w:t>
      </w:r>
      <w:r>
        <w:rPr>
          <w:rFonts w:hint="default" w:ascii="Times New Roman" w:hAnsi="Times New Roman" w:eastAsia="宋体" w:cs="Times New Roman"/>
          <w:color w:val="auto"/>
          <w:highlight w:val="none"/>
        </w:rPr>
        <w:t>同时施工区域面积取</w:t>
      </w:r>
      <w:r>
        <w:rPr>
          <w:rFonts w:hint="default" w:ascii="Times New Roman" w:hAnsi="Times New Roman" w:eastAsia="宋体" w:cs="Times New Roman"/>
          <w:color w:val="auto"/>
          <w:highlight w:val="none"/>
          <w:lang w:val="en-US" w:eastAsia="zh-CN"/>
        </w:rPr>
        <w:t>总占地5.71</w:t>
      </w:r>
      <w:r>
        <w:rPr>
          <w:rFonts w:hint="default" w:ascii="Times New Roman" w:hAnsi="Times New Roman" w:eastAsia="宋体" w:cs="Times New Roman"/>
          <w:color w:val="auto"/>
          <w:highlight w:val="none"/>
        </w:rPr>
        <w:t>hm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，主体施工期</w:t>
      </w:r>
      <w:r>
        <w:rPr>
          <w:rFonts w:hint="default" w:ascii="Times New Roman" w:hAnsi="Times New Roman" w:eastAsia="宋体" w:cs="Times New Roman"/>
          <w:color w:val="auto"/>
          <w:highlight w:val="none"/>
          <w:lang w:val="en-US" w:eastAsia="zh-CN"/>
        </w:rPr>
        <w:t>12</w:t>
      </w:r>
      <w:r>
        <w:rPr>
          <w:rFonts w:hint="default" w:ascii="Times New Roman" w:hAnsi="Times New Roman" w:eastAsia="宋体" w:cs="Times New Roman"/>
          <w:color w:val="auto"/>
          <w:highlight w:val="none"/>
        </w:rPr>
        <w:t>个月，项目施工开挖预洒水喷淋，</w:t>
      </w:r>
      <w:r>
        <w:rPr>
          <w:rFonts w:hint="default" w:ascii="Times New Roman" w:hAnsi="Times New Roman" w:eastAsia="宋体" w:cs="Times New Roman"/>
          <w:color w:val="auto"/>
          <w:highlight w:val="none"/>
          <w:lang w:val="en-US" w:eastAsia="zh-CN"/>
        </w:rPr>
        <w:t>回填</w:t>
      </w:r>
      <w:r>
        <w:rPr>
          <w:rFonts w:hint="default" w:ascii="Times New Roman" w:hAnsi="Times New Roman" w:eastAsia="宋体" w:cs="Times New Roman"/>
          <w:color w:val="auto"/>
          <w:highlight w:val="none"/>
        </w:rPr>
        <w:t>喷淋洒水降尘，每个场地设置</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套雾炮除尘器除尘，对施工场地进行喷雾抑尘，施工场地边界采取尼龙网、栏板围挡，</w:t>
      </w:r>
      <w:r>
        <w:rPr>
          <w:rFonts w:hint="default" w:ascii="Times New Roman" w:hAnsi="Times New Roman" w:eastAsia="宋体" w:cs="Times New Roman"/>
          <w:color w:val="auto"/>
          <w:highlight w:val="none"/>
          <w:lang w:val="en-US" w:eastAsia="zh-CN"/>
        </w:rPr>
        <w:t>综合</w:t>
      </w:r>
      <w:r>
        <w:rPr>
          <w:rFonts w:hint="default" w:ascii="Times New Roman" w:hAnsi="Times New Roman" w:eastAsia="宋体" w:cs="Times New Roman"/>
          <w:color w:val="auto"/>
          <w:highlight w:val="none"/>
        </w:rPr>
        <w:t>粉尘控制效率</w:t>
      </w:r>
      <w:r>
        <w:rPr>
          <w:rFonts w:hint="default" w:ascii="Times New Roman" w:hAnsi="Times New Roman" w:eastAsia="宋体" w:cs="Times New Roman"/>
          <w:color w:val="auto"/>
          <w:highlight w:val="none"/>
          <w:lang w:val="en-US" w:eastAsia="zh-CN"/>
        </w:rPr>
        <w:t>取75</w:t>
      </w:r>
      <w:r>
        <w:rPr>
          <w:rFonts w:hint="default" w:ascii="Times New Roman" w:hAnsi="Times New Roman" w:eastAsia="宋体" w:cs="Times New Roman"/>
          <w:color w:val="auto"/>
          <w:highlight w:val="none"/>
        </w:rPr>
        <w:t>%。则项目施工期施工粉尘产生量为</w:t>
      </w:r>
      <w:r>
        <w:rPr>
          <w:rFonts w:hint="default" w:ascii="Times New Roman" w:hAnsi="Times New Roman" w:eastAsia="宋体" w:cs="Times New Roman"/>
          <w:color w:val="auto"/>
          <w:highlight w:val="none"/>
          <w:lang w:val="en-US" w:eastAsia="zh-CN"/>
        </w:rPr>
        <w:t>4.60</w:t>
      </w:r>
      <w:r>
        <w:rPr>
          <w:rFonts w:hint="default" w:ascii="Times New Roman" w:hAnsi="Times New Roman" w:eastAsia="宋体" w:cs="Times New Roman"/>
          <w:color w:val="auto"/>
          <w:highlight w:val="none"/>
        </w:rPr>
        <w:t>t</w:t>
      </w:r>
      <w:r>
        <w:rPr>
          <w:rFonts w:hint="eastAsia" w:ascii="Times New Roman" w:cs="Times New Roman"/>
          <w:color w:val="auto"/>
          <w:highlight w:val="none"/>
          <w:lang w:eastAsia="zh-CN"/>
        </w:rPr>
        <w:t>，</w:t>
      </w:r>
      <w:r>
        <w:rPr>
          <w:rFonts w:hint="default" w:ascii="Times New Roman" w:hAnsi="Times New Roman" w:eastAsia="宋体" w:cs="Times New Roman"/>
          <w:color w:val="auto"/>
          <w:highlight w:val="none"/>
        </w:rPr>
        <w:t>。</w:t>
      </w:r>
    </w:p>
    <w:p w14:paraId="65D926F6">
      <w:pPr>
        <w:pStyle w:val="410"/>
        <w:numPr>
          <w:ilvl w:val="0"/>
          <w:numId w:val="32"/>
        </w:numPr>
        <w:ind w:left="0" w:leftChars="0" w:firstLine="416" w:firstLineChars="0"/>
        <w:rPr>
          <w:rFonts w:hint="default" w:ascii="Times New Roman" w:hAnsi="Times New Roman" w:cs="Times New Roman"/>
          <w:b/>
          <w:color w:val="auto"/>
          <w:highlight w:val="none"/>
          <w:u w:val="none"/>
        </w:rPr>
      </w:pPr>
      <w:r>
        <w:rPr>
          <w:rFonts w:hint="default" w:ascii="Times New Roman" w:hAnsi="Times New Roman" w:cs="Times New Roman"/>
          <w:b/>
          <w:color w:val="auto"/>
          <w:highlight w:val="none"/>
          <w:u w:val="none"/>
          <w:lang w:val="en-US" w:eastAsia="zh-CN"/>
        </w:rPr>
        <w:t>交通运输</w:t>
      </w:r>
      <w:r>
        <w:rPr>
          <w:rFonts w:hint="default" w:ascii="Times New Roman" w:hAnsi="Times New Roman" w:cs="Times New Roman"/>
          <w:b/>
          <w:color w:val="auto"/>
          <w:highlight w:val="none"/>
          <w:u w:val="none"/>
        </w:rPr>
        <w:t>扬尘</w:t>
      </w:r>
    </w:p>
    <w:p w14:paraId="702FF75D">
      <w:pPr>
        <w:ind w:firstLine="416"/>
        <w:rPr>
          <w:rFonts w:hint="default" w:ascii="Times New Roman" w:hAnsi="Times New Roman" w:eastAsia="宋体" w:cs="Times New Roman"/>
          <w:bCs/>
          <w:color w:val="auto"/>
          <w:highlight w:val="none"/>
          <w:u w:val="none"/>
        </w:rPr>
      </w:pPr>
      <w:r>
        <w:rPr>
          <w:rFonts w:hint="default" w:ascii="Times New Roman" w:hAnsi="Times New Roman" w:eastAsia="宋体" w:cs="Times New Roman"/>
          <w:bCs/>
          <w:color w:val="auto"/>
          <w:highlight w:val="none"/>
          <w:u w:val="none"/>
        </w:rPr>
        <w:t>施工车辆在道路行驶会产生道路扬尘，其扬尘强度与路面种类、气候干湿以及汽车行驶速度等因素有关。项目内部运输方式为采用自卸汽车将渣土、建筑垃圾等运离施工区及石料、钢材，土方等运至施工区，运输公路为泥结石压实路面，产生的污染主要为运输扬尘。</w:t>
      </w:r>
    </w:p>
    <w:p w14:paraId="67CED58D">
      <w:pPr>
        <w:ind w:firstLine="416"/>
        <w:rPr>
          <w:rFonts w:hint="default" w:ascii="Times New Roman" w:hAnsi="Times New Roman" w:eastAsia="宋体" w:cs="Times New Roman"/>
          <w:bCs/>
          <w:color w:val="auto"/>
          <w:highlight w:val="none"/>
          <w:u w:val="none"/>
        </w:rPr>
      </w:pPr>
      <w:r>
        <w:rPr>
          <w:rFonts w:hint="default" w:ascii="Times New Roman" w:hAnsi="Times New Roman" w:eastAsia="宋体" w:cs="Times New Roman"/>
          <w:bCs/>
          <w:color w:val="auto"/>
          <w:highlight w:val="none"/>
          <w:u w:val="none"/>
        </w:rPr>
        <w:t>运输扬尘产生量根据《扬尘源颗粒物排放清单编制技术指南（试行）》中道路扬尘源排放计算公式进行计算，公式如下：</w:t>
      </w:r>
    </w:p>
    <w:p w14:paraId="7350560D">
      <w:pPr>
        <w:spacing w:before="102" w:line="224" w:lineRule="auto"/>
        <w:ind w:left="2920"/>
        <w:rPr>
          <w:rFonts w:hint="default" w:ascii="Times New Roman" w:hAnsi="Times New Roman" w:eastAsia="Times New Roman" w:cs="Times New Roman"/>
          <w:color w:val="auto"/>
          <w:sz w:val="18"/>
          <w:szCs w:val="18"/>
          <w:highlight w:val="none"/>
        </w:rPr>
      </w:pPr>
      <w:r>
        <w:rPr>
          <w:rFonts w:hint="default" w:ascii="Times New Roman" w:hAnsi="Times New Roman" w:eastAsia="Times New Roman" w:cs="Times New Roman"/>
          <w:color w:val="auto"/>
          <w:sz w:val="28"/>
          <w:szCs w:val="28"/>
          <w:highlight w:val="none"/>
        </w:rPr>
        <w:t>W</w:t>
      </w:r>
      <w:r>
        <w:rPr>
          <w:rFonts w:hint="default" w:ascii="Times New Roman" w:hAnsi="Times New Roman" w:eastAsia="Times New Roman" w:cs="Times New Roman"/>
          <w:color w:val="auto"/>
          <w:position w:val="-3"/>
          <w:sz w:val="18"/>
          <w:szCs w:val="18"/>
          <w:highlight w:val="none"/>
        </w:rPr>
        <w:t>Ri</w:t>
      </w:r>
      <w:r>
        <w:rPr>
          <w:rFonts w:hint="default" w:ascii="Times New Roman" w:hAnsi="Times New Roman" w:eastAsia="Times New Roman" w:cs="Times New Roman"/>
          <w:color w:val="auto"/>
          <w:spacing w:val="18"/>
          <w:sz w:val="28"/>
          <w:szCs w:val="28"/>
          <w:highlight w:val="none"/>
        </w:rPr>
        <w:t>=</w:t>
      </w:r>
      <w:r>
        <w:rPr>
          <w:rFonts w:hint="default" w:ascii="Times New Roman" w:hAnsi="Times New Roman" w:eastAsia="Times New Roman" w:cs="Times New Roman"/>
          <w:color w:val="auto"/>
          <w:sz w:val="28"/>
          <w:szCs w:val="28"/>
          <w:highlight w:val="none"/>
        </w:rPr>
        <w:t>E</w:t>
      </w:r>
      <w:r>
        <w:rPr>
          <w:rFonts w:hint="default" w:ascii="Times New Roman" w:hAnsi="Times New Roman" w:eastAsia="Times New Roman" w:cs="Times New Roman"/>
          <w:color w:val="auto"/>
          <w:position w:val="-3"/>
          <w:sz w:val="18"/>
          <w:szCs w:val="18"/>
          <w:highlight w:val="none"/>
        </w:rPr>
        <w:t>UPi</w:t>
      </w:r>
      <w:r>
        <w:rPr>
          <w:rFonts w:hint="default" w:ascii="Times New Roman" w:hAnsi="Times New Roman" w:eastAsia="宋体" w:cs="Times New Roman"/>
          <w:color w:val="auto"/>
          <w:spacing w:val="18"/>
          <w:sz w:val="28"/>
          <w:szCs w:val="28"/>
          <w:highlight w:val="none"/>
        </w:rPr>
        <w:t>³</w:t>
      </w:r>
      <w:r>
        <w:rPr>
          <w:rFonts w:hint="default" w:ascii="Times New Roman" w:hAnsi="Times New Roman" w:eastAsia="Times New Roman" w:cs="Times New Roman"/>
          <w:color w:val="auto"/>
          <w:sz w:val="28"/>
          <w:szCs w:val="28"/>
          <w:highlight w:val="none"/>
        </w:rPr>
        <w:t>L</w:t>
      </w:r>
      <w:r>
        <w:rPr>
          <w:rFonts w:hint="default" w:ascii="Times New Roman" w:hAnsi="Times New Roman" w:eastAsia="Times New Roman" w:cs="Times New Roman"/>
          <w:color w:val="auto"/>
          <w:position w:val="-3"/>
          <w:sz w:val="18"/>
          <w:szCs w:val="18"/>
          <w:highlight w:val="none"/>
        </w:rPr>
        <w:t>R</w:t>
      </w:r>
      <w:r>
        <w:rPr>
          <w:rFonts w:hint="default" w:ascii="Times New Roman" w:hAnsi="Times New Roman" w:eastAsia="宋体" w:cs="Times New Roman"/>
          <w:color w:val="auto"/>
          <w:spacing w:val="18"/>
          <w:sz w:val="28"/>
          <w:szCs w:val="28"/>
          <w:highlight w:val="none"/>
        </w:rPr>
        <w:t>³</w:t>
      </w:r>
      <w:r>
        <w:rPr>
          <w:rFonts w:hint="default" w:ascii="Times New Roman" w:hAnsi="Times New Roman" w:eastAsia="Times New Roman" w:cs="Times New Roman"/>
          <w:color w:val="auto"/>
          <w:sz w:val="28"/>
          <w:szCs w:val="28"/>
          <w:highlight w:val="none"/>
        </w:rPr>
        <w:t>N</w:t>
      </w:r>
      <w:r>
        <w:rPr>
          <w:rFonts w:hint="default" w:ascii="Times New Roman" w:hAnsi="Times New Roman" w:eastAsia="Times New Roman" w:cs="Times New Roman"/>
          <w:color w:val="auto"/>
          <w:position w:val="-3"/>
          <w:sz w:val="18"/>
          <w:szCs w:val="18"/>
          <w:highlight w:val="none"/>
        </w:rPr>
        <w:t>R</w:t>
      </w:r>
      <w:r>
        <w:rPr>
          <w:rFonts w:hint="default" w:ascii="Times New Roman" w:hAnsi="Times New Roman" w:eastAsia="宋体" w:cs="Times New Roman"/>
          <w:color w:val="auto"/>
          <w:spacing w:val="18"/>
          <w:sz w:val="28"/>
          <w:szCs w:val="28"/>
          <w:highlight w:val="none"/>
        </w:rPr>
        <w:t>³</w:t>
      </w:r>
      <w:r>
        <w:rPr>
          <w:rFonts w:hint="default" w:ascii="Times New Roman" w:hAnsi="Times New Roman" w:eastAsia="Times New Roman" w:cs="Times New Roman"/>
          <w:color w:val="auto"/>
          <w:spacing w:val="18"/>
          <w:sz w:val="28"/>
          <w:szCs w:val="28"/>
          <w:highlight w:val="none"/>
        </w:rPr>
        <w:t>(1-</w:t>
      </w:r>
      <w:r>
        <w:rPr>
          <w:rFonts w:hint="default" w:ascii="Times New Roman" w:hAnsi="Times New Roman" w:eastAsia="Times New Roman" w:cs="Times New Roman"/>
          <w:i/>
          <w:iCs/>
          <w:color w:val="auto"/>
          <w:sz w:val="28"/>
          <w:szCs w:val="28"/>
          <w:highlight w:val="none"/>
        </w:rPr>
        <w:t>n</w:t>
      </w:r>
      <w:r>
        <w:rPr>
          <w:rFonts w:hint="default" w:ascii="Times New Roman" w:hAnsi="Times New Roman" w:eastAsia="Times New Roman" w:cs="Times New Roman"/>
          <w:color w:val="auto"/>
          <w:position w:val="-3"/>
          <w:sz w:val="18"/>
          <w:szCs w:val="18"/>
          <w:highlight w:val="none"/>
        </w:rPr>
        <w:t>r</w:t>
      </w:r>
      <w:r>
        <w:rPr>
          <w:rFonts w:hint="default" w:ascii="Times New Roman" w:hAnsi="Times New Roman" w:eastAsia="Times New Roman" w:cs="Times New Roman"/>
          <w:color w:val="auto"/>
          <w:spacing w:val="18"/>
          <w:sz w:val="28"/>
          <w:szCs w:val="28"/>
          <w:highlight w:val="none"/>
        </w:rPr>
        <w:t>/365)</w:t>
      </w:r>
      <w:r>
        <w:rPr>
          <w:rFonts w:hint="default" w:ascii="Times New Roman" w:hAnsi="Times New Roman" w:eastAsia="宋体" w:cs="Times New Roman"/>
          <w:color w:val="auto"/>
          <w:spacing w:val="18"/>
          <w:sz w:val="28"/>
          <w:szCs w:val="28"/>
          <w:highlight w:val="none"/>
        </w:rPr>
        <w:t>³</w:t>
      </w:r>
      <w:r>
        <w:rPr>
          <w:rFonts w:hint="default" w:ascii="Times New Roman" w:hAnsi="Times New Roman" w:eastAsia="Times New Roman" w:cs="Times New Roman"/>
          <w:color w:val="auto"/>
          <w:spacing w:val="18"/>
          <w:sz w:val="28"/>
          <w:szCs w:val="28"/>
          <w:highlight w:val="none"/>
        </w:rPr>
        <w:t>10</w:t>
      </w:r>
      <w:r>
        <w:rPr>
          <w:rFonts w:hint="default" w:ascii="Times New Roman" w:hAnsi="Times New Roman" w:eastAsia="Times New Roman" w:cs="Times New Roman"/>
          <w:color w:val="auto"/>
          <w:spacing w:val="18"/>
          <w:position w:val="13"/>
          <w:sz w:val="18"/>
          <w:szCs w:val="18"/>
          <w:highlight w:val="none"/>
        </w:rPr>
        <w:t>-6</w:t>
      </w:r>
    </w:p>
    <w:p w14:paraId="50640583">
      <w:pPr>
        <w:spacing w:before="91" w:line="235" w:lineRule="auto"/>
        <w:ind w:left="6622"/>
        <w:jc w:val="right"/>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highlight w:val="none"/>
          <w:u w:val="none"/>
        </w:rPr>
        <w:t>-公式（2.5-1）</w:t>
      </w:r>
    </w:p>
    <w:p w14:paraId="5DEFDFA1">
      <w:pPr>
        <w:spacing w:before="302" w:line="220" w:lineRule="auto"/>
        <w:ind w:left="52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6"/>
          <w:sz w:val="24"/>
          <w:szCs w:val="24"/>
          <w:highlight w:val="none"/>
        </w:rPr>
        <w:t>式中：</w:t>
      </w:r>
    </w:p>
    <w:p w14:paraId="12B8B62B">
      <w:pPr>
        <w:ind w:firstLine="416"/>
        <w:rPr>
          <w:rFonts w:hint="default" w:ascii="Times New Roman" w:hAnsi="Times New Roman" w:eastAsia="宋体" w:cs="Times New Roman"/>
          <w:bCs/>
          <w:color w:val="auto"/>
          <w:highlight w:val="none"/>
          <w:u w:val="none"/>
        </w:rPr>
      </w:pPr>
      <w:r>
        <w:rPr>
          <w:rFonts w:hint="default" w:ascii="Times New Roman" w:hAnsi="Times New Roman" w:eastAsia="宋体" w:cs="Times New Roman"/>
          <w:bCs/>
          <w:color w:val="auto"/>
          <w:highlight w:val="none"/>
          <w:u w:val="none"/>
        </w:rPr>
        <w:t>W</w:t>
      </w:r>
      <w:r>
        <w:rPr>
          <w:rFonts w:hint="default" w:ascii="Times New Roman" w:hAnsi="Times New Roman" w:eastAsia="宋体" w:cs="Times New Roman"/>
          <w:bCs/>
          <w:i/>
          <w:iCs/>
          <w:color w:val="auto"/>
          <w:highlight w:val="none"/>
          <w:u w:val="none"/>
          <w:vertAlign w:val="subscript"/>
        </w:rPr>
        <w:t>Ri</w:t>
      </w:r>
      <w:r>
        <w:rPr>
          <w:rFonts w:hint="default" w:ascii="Times New Roman" w:hAnsi="Times New Roman" w:eastAsia="宋体" w:cs="Times New Roman"/>
          <w:bCs/>
          <w:color w:val="auto"/>
          <w:highlight w:val="none"/>
          <w:u w:val="none"/>
        </w:rPr>
        <w:t>为道路扬尘源中颗粒物扬尘的总排放量，t/a。</w:t>
      </w:r>
    </w:p>
    <w:p w14:paraId="18BF030B">
      <w:pPr>
        <w:ind w:firstLine="416"/>
        <w:rPr>
          <w:rFonts w:hint="default" w:ascii="Times New Roman" w:hAnsi="Times New Roman" w:eastAsia="宋体" w:cs="Times New Roman"/>
          <w:bCs/>
          <w:color w:val="auto"/>
          <w:highlight w:val="none"/>
          <w:u w:val="none"/>
        </w:rPr>
      </w:pPr>
      <w:r>
        <w:rPr>
          <w:rFonts w:hint="default" w:ascii="Times New Roman" w:hAnsi="Times New Roman" w:eastAsia="宋体" w:cs="Times New Roman"/>
          <w:bCs/>
          <w:color w:val="auto"/>
          <w:highlight w:val="none"/>
          <w:u w:val="none"/>
        </w:rPr>
        <w:t>E</w:t>
      </w:r>
      <w:r>
        <w:rPr>
          <w:rFonts w:hint="default" w:ascii="Times New Roman" w:hAnsi="Times New Roman" w:eastAsia="宋体" w:cs="Times New Roman"/>
          <w:bCs/>
          <w:i/>
          <w:iCs/>
          <w:color w:val="auto"/>
          <w:highlight w:val="none"/>
          <w:u w:val="none"/>
          <w:vertAlign w:val="subscript"/>
        </w:rPr>
        <w:t>UPi</w:t>
      </w:r>
      <w:r>
        <w:rPr>
          <w:rFonts w:hint="default" w:ascii="Times New Roman" w:hAnsi="Times New Roman" w:eastAsia="宋体" w:cs="Times New Roman"/>
          <w:bCs/>
          <w:color w:val="auto"/>
          <w:highlight w:val="none"/>
          <w:u w:val="none"/>
        </w:rPr>
        <w:t>为道路扬尘源中扬尘平均排放系数，g/（km•辆），未铺装路面按公式（2.5-2）计算。</w:t>
      </w:r>
    </w:p>
    <w:p w14:paraId="3D3DE41E">
      <w:pPr>
        <w:ind w:firstLine="416"/>
        <w:rPr>
          <w:rFonts w:hint="default" w:ascii="Times New Roman" w:hAnsi="Times New Roman" w:eastAsia="宋体" w:cs="Times New Roman"/>
          <w:bCs/>
          <w:color w:val="auto"/>
          <w:highlight w:val="none"/>
          <w:u w:val="none"/>
        </w:rPr>
      </w:pPr>
      <w:r>
        <w:rPr>
          <w:rFonts w:hint="default" w:ascii="Times New Roman" w:hAnsi="Times New Roman" w:eastAsia="宋体" w:cs="Times New Roman"/>
          <w:bCs/>
          <w:color w:val="auto"/>
          <w:highlight w:val="none"/>
          <w:u w:val="none"/>
        </w:rPr>
        <w:t>L</w:t>
      </w:r>
      <w:r>
        <w:rPr>
          <w:rFonts w:hint="default" w:ascii="Times New Roman" w:hAnsi="Times New Roman" w:eastAsia="宋体" w:cs="Times New Roman"/>
          <w:bCs/>
          <w:i/>
          <w:iCs/>
          <w:color w:val="auto"/>
          <w:highlight w:val="none"/>
          <w:u w:val="none"/>
          <w:vertAlign w:val="subscript"/>
        </w:rPr>
        <w:t>R</w:t>
      </w:r>
      <w:r>
        <w:rPr>
          <w:rFonts w:hint="default" w:ascii="Times New Roman" w:hAnsi="Times New Roman" w:eastAsia="宋体" w:cs="Times New Roman"/>
          <w:bCs/>
          <w:color w:val="auto"/>
          <w:highlight w:val="none"/>
          <w:u w:val="none"/>
        </w:rPr>
        <w:t>为道路长度，平均运距</w:t>
      </w:r>
      <w:r>
        <w:rPr>
          <w:rFonts w:hint="default" w:ascii="Times New Roman" w:hAnsi="Times New Roman" w:eastAsia="宋体" w:cs="Times New Roman"/>
          <w:bCs/>
          <w:color w:val="auto"/>
          <w:highlight w:val="none"/>
          <w:u w:val="none"/>
          <w:lang w:val="en-US" w:eastAsia="zh-CN"/>
        </w:rPr>
        <w:t>1.2</w:t>
      </w:r>
      <w:r>
        <w:rPr>
          <w:rFonts w:hint="default" w:ascii="Times New Roman" w:hAnsi="Times New Roman" w:eastAsia="宋体" w:cs="Times New Roman"/>
          <w:bCs/>
          <w:color w:val="auto"/>
          <w:highlight w:val="none"/>
          <w:u w:val="none"/>
        </w:rPr>
        <w:t>km。</w:t>
      </w:r>
    </w:p>
    <w:p w14:paraId="52C07647">
      <w:pPr>
        <w:ind w:firstLine="416"/>
        <w:rPr>
          <w:rFonts w:hint="default" w:ascii="Times New Roman" w:hAnsi="Times New Roman" w:eastAsia="宋体" w:cs="Times New Roman"/>
          <w:bCs/>
          <w:color w:val="auto"/>
          <w:highlight w:val="none"/>
          <w:u w:val="none"/>
        </w:rPr>
      </w:pPr>
      <w:r>
        <w:rPr>
          <w:rFonts w:hint="default" w:ascii="Times New Roman" w:hAnsi="Times New Roman" w:eastAsia="宋体" w:cs="Times New Roman"/>
          <w:bCs/>
          <w:color w:val="auto"/>
          <w:highlight w:val="none"/>
          <w:u w:val="none"/>
        </w:rPr>
        <w:t>N</w:t>
      </w:r>
      <w:r>
        <w:rPr>
          <w:rFonts w:hint="default" w:ascii="Times New Roman" w:hAnsi="Times New Roman" w:eastAsia="宋体" w:cs="Times New Roman"/>
          <w:bCs/>
          <w:i/>
          <w:iCs/>
          <w:color w:val="auto"/>
          <w:highlight w:val="none"/>
          <w:u w:val="none"/>
          <w:vertAlign w:val="subscript"/>
        </w:rPr>
        <w:t>R</w:t>
      </w:r>
      <w:r>
        <w:rPr>
          <w:rFonts w:hint="default" w:ascii="Times New Roman" w:hAnsi="Times New Roman" w:eastAsia="宋体" w:cs="Times New Roman"/>
          <w:bCs/>
          <w:color w:val="auto"/>
          <w:highlight w:val="none"/>
          <w:u w:val="none"/>
        </w:rPr>
        <w:t>为一定时期内车辆在该段道路上的平均车流量，</w:t>
      </w:r>
      <w:r>
        <w:rPr>
          <w:rFonts w:hint="default" w:ascii="Times New Roman" w:hAnsi="Times New Roman" w:eastAsia="宋体" w:cs="Times New Roman"/>
          <w:bCs/>
          <w:color w:val="auto"/>
          <w:highlight w:val="none"/>
          <w:u w:val="none"/>
          <w:lang w:val="en-US" w:eastAsia="zh-CN"/>
        </w:rPr>
        <w:t>13020</w:t>
      </w:r>
      <w:r>
        <w:rPr>
          <w:rFonts w:hint="default" w:ascii="Times New Roman" w:hAnsi="Times New Roman" w:eastAsia="宋体" w:cs="Times New Roman"/>
          <w:bCs/>
          <w:color w:val="auto"/>
          <w:highlight w:val="none"/>
          <w:u w:val="none"/>
        </w:rPr>
        <w:t>辆/a（渣土运输及土方回填计）。</w:t>
      </w:r>
    </w:p>
    <w:p w14:paraId="566DC34C">
      <w:pPr>
        <w:ind w:firstLine="416"/>
        <w:rPr>
          <w:rFonts w:hint="default" w:ascii="Times New Roman" w:hAnsi="Times New Roman" w:eastAsia="宋体" w:cs="Times New Roman"/>
          <w:bCs/>
          <w:color w:val="auto"/>
          <w:highlight w:val="none"/>
          <w:u w:val="none"/>
        </w:rPr>
      </w:pPr>
      <w:r>
        <w:rPr>
          <w:rFonts w:hint="default" w:ascii="Times New Roman" w:hAnsi="Times New Roman" w:eastAsia="宋体" w:cs="Times New Roman"/>
          <w:bCs/>
          <w:color w:val="auto"/>
          <w:highlight w:val="none"/>
          <w:u w:val="none"/>
        </w:rPr>
        <w:t>nr为不起尘天数，可使用一年中降水量大于0.25mm/d的天数表示，项目取120天。</w:t>
      </w:r>
    </w:p>
    <w:p w14:paraId="474B6599">
      <w:pPr>
        <w:ind w:firstLine="416"/>
        <w:rPr>
          <w:rFonts w:hint="default" w:ascii="Times New Roman" w:hAnsi="Times New Roman" w:eastAsia="宋体" w:cs="Times New Roman"/>
          <w:bCs/>
          <w:color w:val="auto"/>
          <w:highlight w:val="none"/>
          <w:u w:val="none"/>
        </w:rPr>
      </w:pPr>
      <w:r>
        <w:rPr>
          <w:rFonts w:hint="default" w:ascii="Times New Roman" w:hAnsi="Times New Roman" w:eastAsia="宋体" w:cs="Times New Roman"/>
          <w:bCs/>
          <w:color w:val="auto"/>
          <w:highlight w:val="none"/>
          <w:u w:val="none"/>
        </w:rPr>
        <w:t>对于未铺装路面，扬尘排放系数按以下公式计算：</w:t>
      </w:r>
    </w:p>
    <w:p w14:paraId="24E7D045">
      <w:pPr>
        <w:ind w:firstLine="416"/>
        <w:jc w:val="center"/>
        <w:rPr>
          <w:rFonts w:hint="default" w:ascii="Times New Roman" w:hAnsi="Times New Roman" w:eastAsia="宋体" w:cs="Times New Roman"/>
          <w:bCs/>
          <w:color w:val="auto"/>
          <w:highlight w:val="none"/>
          <w:u w:val="none"/>
        </w:rPr>
      </w:pPr>
      <w:r>
        <w:rPr>
          <w:rFonts w:hint="default" w:ascii="Times New Roman" w:hAnsi="Times New Roman" w:eastAsia="宋体" w:cs="Times New Roman"/>
          <w:bCs/>
          <w:color w:val="auto"/>
          <w:highlight w:val="none"/>
          <w:u w:val="none"/>
        </w:rPr>
        <w:drawing>
          <wp:inline distT="0" distB="0" distL="114300" distR="114300">
            <wp:extent cx="3220720" cy="447675"/>
            <wp:effectExtent l="0" t="0" r="17780" b="9525"/>
            <wp:docPr id="48" name="IM 104"/>
            <wp:cNvGraphicFramePr/>
            <a:graphic xmlns:a="http://schemas.openxmlformats.org/drawingml/2006/main">
              <a:graphicData uri="http://schemas.openxmlformats.org/drawingml/2006/picture">
                <pic:pic xmlns:pic="http://schemas.openxmlformats.org/drawingml/2006/picture">
                  <pic:nvPicPr>
                    <pic:cNvPr id="48" name="IM 104"/>
                    <pic:cNvPicPr/>
                  </pic:nvPicPr>
                  <pic:blipFill>
                    <a:blip r:embed="rId57"/>
                    <a:stretch>
                      <a:fillRect/>
                    </a:stretch>
                  </pic:blipFill>
                  <pic:spPr>
                    <a:xfrm>
                      <a:off x="0" y="0"/>
                      <a:ext cx="3220720" cy="447675"/>
                    </a:xfrm>
                    <a:prstGeom prst="rect">
                      <a:avLst/>
                    </a:prstGeom>
                    <a:noFill/>
                    <a:ln>
                      <a:noFill/>
                    </a:ln>
                  </pic:spPr>
                </pic:pic>
              </a:graphicData>
            </a:graphic>
          </wp:inline>
        </w:drawing>
      </w:r>
    </w:p>
    <w:p w14:paraId="3F724247">
      <w:pPr>
        <w:ind w:firstLine="416"/>
        <w:jc w:val="right"/>
        <w:rPr>
          <w:rFonts w:hint="default" w:ascii="Times New Roman" w:hAnsi="Times New Roman" w:eastAsia="宋体" w:cs="Times New Roman"/>
          <w:bCs/>
          <w:color w:val="auto"/>
          <w:highlight w:val="none"/>
          <w:u w:val="none"/>
        </w:rPr>
      </w:pPr>
      <w:r>
        <w:rPr>
          <w:rFonts w:hint="default" w:ascii="Times New Roman" w:hAnsi="Times New Roman" w:eastAsia="宋体" w:cs="Times New Roman"/>
          <w:bCs/>
          <w:color w:val="auto"/>
          <w:highlight w:val="none"/>
          <w:u w:val="none"/>
        </w:rPr>
        <w:t>-公式（2.5-2）</w:t>
      </w:r>
    </w:p>
    <w:p w14:paraId="11F63309">
      <w:pPr>
        <w:ind w:firstLine="416"/>
        <w:rPr>
          <w:rFonts w:hint="default" w:ascii="Times New Roman" w:hAnsi="Times New Roman" w:eastAsia="宋体" w:cs="Times New Roman"/>
          <w:bCs/>
          <w:color w:val="auto"/>
          <w:highlight w:val="none"/>
          <w:u w:val="none"/>
        </w:rPr>
      </w:pPr>
      <w:r>
        <w:rPr>
          <w:rFonts w:hint="default" w:ascii="Times New Roman" w:hAnsi="Times New Roman" w:eastAsia="宋体" w:cs="Times New Roman"/>
          <w:bCs/>
          <w:color w:val="auto"/>
          <w:highlight w:val="none"/>
          <w:u w:val="none"/>
        </w:rPr>
        <w:t>式中：</w:t>
      </w:r>
    </w:p>
    <w:p w14:paraId="0874A5FF">
      <w:pPr>
        <w:ind w:firstLine="416"/>
        <w:rPr>
          <w:rFonts w:hint="default" w:ascii="Times New Roman" w:hAnsi="Times New Roman" w:eastAsia="宋体" w:cs="Times New Roman"/>
          <w:bCs/>
          <w:color w:val="auto"/>
          <w:highlight w:val="none"/>
          <w:u w:val="none"/>
        </w:rPr>
      </w:pPr>
      <w:r>
        <w:rPr>
          <w:rFonts w:hint="default" w:ascii="Times New Roman" w:hAnsi="Times New Roman" w:eastAsia="宋体" w:cs="Times New Roman"/>
          <w:bCs/>
          <w:color w:val="auto"/>
          <w:highlight w:val="none"/>
          <w:u w:val="none"/>
        </w:rPr>
        <w:t>E</w:t>
      </w:r>
      <w:r>
        <w:rPr>
          <w:rFonts w:hint="default" w:ascii="Times New Roman" w:hAnsi="Times New Roman" w:eastAsia="宋体" w:cs="Times New Roman"/>
          <w:bCs/>
          <w:color w:val="auto"/>
          <w:highlight w:val="none"/>
          <w:u w:val="none"/>
          <w:vertAlign w:val="subscript"/>
        </w:rPr>
        <w:t>UPi</w:t>
      </w:r>
      <w:r>
        <w:rPr>
          <w:rFonts w:hint="default" w:ascii="Times New Roman" w:hAnsi="Times New Roman" w:eastAsia="宋体" w:cs="Times New Roman"/>
          <w:bCs/>
          <w:color w:val="auto"/>
          <w:highlight w:val="none"/>
          <w:u w:val="none"/>
        </w:rPr>
        <w:t>为未铺装道路扬尘排放系数，g/km。</w:t>
      </w:r>
    </w:p>
    <w:p w14:paraId="2FA761A7">
      <w:pPr>
        <w:ind w:firstLine="416"/>
        <w:rPr>
          <w:rFonts w:hint="default" w:ascii="Times New Roman" w:hAnsi="Times New Roman" w:eastAsia="宋体" w:cs="Times New Roman"/>
          <w:bCs/>
          <w:color w:val="auto"/>
          <w:highlight w:val="none"/>
          <w:u w:val="none"/>
        </w:rPr>
      </w:pPr>
      <w:r>
        <w:rPr>
          <w:rFonts w:hint="default" w:ascii="Times New Roman" w:hAnsi="Times New Roman" w:eastAsia="宋体" w:cs="Times New Roman"/>
          <w:bCs/>
          <w:color w:val="auto"/>
          <w:highlight w:val="none"/>
          <w:u w:val="none"/>
        </w:rPr>
        <w:t>ki为产生的扬尘的粒度乘数，粒度乘数按照《技术指南》表7取值，系数如表2.5-9。s为道路表面有效积尘率，30%。</w:t>
      </w:r>
    </w:p>
    <w:p w14:paraId="05DD4F36">
      <w:pPr>
        <w:ind w:firstLine="416"/>
        <w:rPr>
          <w:rFonts w:hint="default" w:ascii="Times New Roman" w:hAnsi="Times New Roman" w:eastAsia="宋体" w:cs="Times New Roman"/>
          <w:bCs/>
          <w:color w:val="auto"/>
          <w:highlight w:val="none"/>
          <w:u w:val="none"/>
        </w:rPr>
      </w:pPr>
      <w:r>
        <w:rPr>
          <w:rFonts w:hint="default" w:ascii="Times New Roman" w:hAnsi="Times New Roman" w:eastAsia="宋体" w:cs="Times New Roman"/>
          <w:bCs/>
          <w:color w:val="auto"/>
          <w:highlight w:val="none"/>
          <w:u w:val="none"/>
        </w:rPr>
        <w:t>v为平均车速，km/h，指通过某等级道路所有车辆的平均车速，v=20km/h。</w:t>
      </w:r>
    </w:p>
    <w:p w14:paraId="7A441178">
      <w:pPr>
        <w:ind w:firstLine="416"/>
        <w:rPr>
          <w:rFonts w:hint="default" w:ascii="Times New Roman" w:hAnsi="Times New Roman" w:eastAsia="宋体" w:cs="Times New Roman"/>
          <w:bCs/>
          <w:color w:val="auto"/>
          <w:highlight w:val="none"/>
          <w:u w:val="none"/>
        </w:rPr>
      </w:pPr>
      <w:r>
        <w:rPr>
          <w:rFonts w:hint="default" w:ascii="Times New Roman" w:hAnsi="Times New Roman" w:eastAsia="宋体" w:cs="Times New Roman"/>
          <w:bCs/>
          <w:color w:val="auto"/>
          <w:highlight w:val="none"/>
          <w:u w:val="none"/>
        </w:rPr>
        <w:t>M为道路积尘含水率，8%。</w:t>
      </w:r>
    </w:p>
    <w:p w14:paraId="300166C6">
      <w:pPr>
        <w:ind w:firstLine="416"/>
        <w:rPr>
          <w:rFonts w:hint="default" w:ascii="Times New Roman" w:hAnsi="Times New Roman" w:cs="Times New Roman"/>
          <w:color w:val="auto"/>
          <w:highlight w:val="none"/>
        </w:rPr>
      </w:pPr>
      <w:r>
        <w:rPr>
          <w:rFonts w:hint="default" w:ascii="Times New Roman" w:hAnsi="Times New Roman" w:eastAsia="宋体" w:cs="Times New Roman"/>
          <w:bCs/>
          <w:color w:val="auto"/>
          <w:highlight w:val="none"/>
          <w:u w:val="none"/>
        </w:rPr>
        <w:t>η为污染控制技术对扬尘的去除效率，%，洒水4</w:t>
      </w:r>
      <w:r>
        <w:rPr>
          <w:rFonts w:hint="default" w:ascii="Times New Roman" w:hAnsi="Times New Roman" w:eastAsia="宋体" w:cs="Times New Roman"/>
          <w:bCs/>
          <w:color w:val="auto"/>
          <w:highlight w:val="none"/>
          <w:u w:val="none"/>
          <w:lang w:eastAsia="zh-CN"/>
        </w:rPr>
        <w:t>次/天</w:t>
      </w:r>
      <w:r>
        <w:rPr>
          <w:rFonts w:hint="default" w:ascii="Times New Roman" w:hAnsi="Times New Roman" w:eastAsia="宋体" w:cs="Times New Roman"/>
          <w:bCs/>
          <w:color w:val="auto"/>
          <w:highlight w:val="none"/>
          <w:u w:val="none"/>
        </w:rPr>
        <w:t>，项目在施工区设置喷淋洒水，及雾炮机除尘，对场区进行喷雾抑尘，抑制粉尘，抑尘效率80%。</w:t>
      </w:r>
    </w:p>
    <w:p w14:paraId="59F0B85D">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b w:val="0"/>
          <w:bCs w:val="0"/>
          <w:color w:val="auto"/>
          <w:highlight w:val="none"/>
        </w:rPr>
      </w:pPr>
      <w:r>
        <w:rPr>
          <w:rFonts w:hint="default"/>
          <w:b w:val="0"/>
          <w:bCs w:val="0"/>
          <w:color w:val="auto"/>
          <w:highlight w:val="none"/>
        </w:rPr>
        <w:t>未铺装道路产生的颗粒物的粒度及系数a、b的取值</w:t>
      </w:r>
    </w:p>
    <w:tbl>
      <w:tblPr>
        <w:tblStyle w:val="1679"/>
        <w:tblW w:w="0" w:type="auto"/>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4551"/>
        <w:gridCol w:w="4089"/>
      </w:tblGrid>
      <w:tr w14:paraId="6DE4AE1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4551" w:type="dxa"/>
            <w:noWrap w:val="0"/>
            <w:vAlign w:val="top"/>
          </w:tcPr>
          <w:p w14:paraId="3278086C">
            <w:pPr>
              <w:pStyle w:val="1647"/>
              <w:spacing w:before="66" w:line="221" w:lineRule="auto"/>
              <w:ind w:left="2333"/>
              <w:rPr>
                <w:rFonts w:hint="default" w:ascii="Times New Roman" w:hAnsi="Times New Roman" w:cs="Times New Roman"/>
                <w:color w:val="auto"/>
                <w:highlight w:val="none"/>
              </w:rPr>
            </w:pPr>
            <w:r>
              <w:rPr>
                <w:rFonts w:hint="default" w:ascii="Times New Roman" w:hAnsi="Times New Roman" w:cs="Times New Roman"/>
                <w:b/>
                <w:bCs/>
                <w:color w:val="auto"/>
                <w:spacing w:val="-4"/>
                <w:highlight w:val="none"/>
              </w:rPr>
              <w:t>未铺装道路</w:t>
            </w:r>
          </w:p>
        </w:tc>
        <w:tc>
          <w:tcPr>
            <w:tcW w:w="4089" w:type="dxa"/>
            <w:noWrap w:val="0"/>
            <w:vAlign w:val="top"/>
          </w:tcPr>
          <w:p w14:paraId="2DC78CBB">
            <w:pPr>
              <w:spacing w:before="105" w:line="187" w:lineRule="auto"/>
              <w:ind w:left="2384"/>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b/>
                <w:bCs/>
                <w:color w:val="auto"/>
                <w:spacing w:val="-2"/>
                <w:sz w:val="21"/>
                <w:szCs w:val="21"/>
                <w:highlight w:val="none"/>
              </w:rPr>
              <w:t>TSP</w:t>
            </w:r>
          </w:p>
        </w:tc>
      </w:tr>
      <w:tr w14:paraId="2511AEE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4551" w:type="dxa"/>
            <w:noWrap w:val="0"/>
            <w:vAlign w:val="top"/>
          </w:tcPr>
          <w:p w14:paraId="72E7F236">
            <w:pPr>
              <w:spacing w:before="96" w:line="191" w:lineRule="auto"/>
              <w:ind w:left="2488"/>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K(g/km)</w:t>
            </w:r>
          </w:p>
        </w:tc>
        <w:tc>
          <w:tcPr>
            <w:tcW w:w="4089" w:type="dxa"/>
            <w:noWrap w:val="0"/>
            <w:vAlign w:val="top"/>
          </w:tcPr>
          <w:p w14:paraId="57DCB757">
            <w:pPr>
              <w:spacing w:before="96" w:line="221" w:lineRule="auto"/>
              <w:ind w:left="2303"/>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3"/>
                <w:sz w:val="21"/>
                <w:szCs w:val="21"/>
                <w:highlight w:val="none"/>
              </w:rPr>
              <w:t>1691.4</w:t>
            </w:r>
          </w:p>
        </w:tc>
      </w:tr>
      <w:tr w14:paraId="0FEFF57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4551" w:type="dxa"/>
            <w:noWrap w:val="0"/>
            <w:vAlign w:val="top"/>
          </w:tcPr>
          <w:p w14:paraId="76412492">
            <w:pPr>
              <w:spacing w:before="107" w:line="187" w:lineRule="auto"/>
              <w:ind w:left="2772"/>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A</w:t>
            </w:r>
          </w:p>
        </w:tc>
        <w:tc>
          <w:tcPr>
            <w:tcW w:w="4089" w:type="dxa"/>
            <w:noWrap w:val="0"/>
            <w:vAlign w:val="top"/>
          </w:tcPr>
          <w:p w14:paraId="1C993961">
            <w:pPr>
              <w:spacing w:before="103" w:line="214" w:lineRule="auto"/>
              <w:ind w:left="2444"/>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0.3</w:t>
            </w:r>
          </w:p>
        </w:tc>
      </w:tr>
      <w:tr w14:paraId="7DED127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4551" w:type="dxa"/>
            <w:noWrap w:val="0"/>
            <w:vAlign w:val="top"/>
          </w:tcPr>
          <w:p w14:paraId="19FAD40E">
            <w:pPr>
              <w:spacing w:before="116" w:line="184" w:lineRule="auto"/>
              <w:ind w:left="2781"/>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B</w:t>
            </w:r>
          </w:p>
        </w:tc>
        <w:tc>
          <w:tcPr>
            <w:tcW w:w="4089" w:type="dxa"/>
            <w:noWrap w:val="0"/>
            <w:vAlign w:val="top"/>
          </w:tcPr>
          <w:p w14:paraId="308C6027">
            <w:pPr>
              <w:spacing w:before="110" w:line="231" w:lineRule="auto"/>
              <w:ind w:left="2444"/>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0.3</w:t>
            </w:r>
          </w:p>
        </w:tc>
      </w:tr>
    </w:tbl>
    <w:p w14:paraId="5B83C287">
      <w:pPr>
        <w:ind w:firstLine="416"/>
        <w:rPr>
          <w:rFonts w:hint="default" w:ascii="Times New Roman" w:hAnsi="Times New Roman" w:eastAsia="宋体" w:cs="Times New Roman"/>
          <w:bCs/>
          <w:color w:val="auto"/>
          <w:highlight w:val="none"/>
          <w:u w:val="none"/>
        </w:rPr>
      </w:pPr>
      <w:r>
        <w:rPr>
          <w:rFonts w:hint="default" w:ascii="Times New Roman" w:hAnsi="Times New Roman" w:eastAsia="宋体" w:cs="Times New Roman"/>
          <w:bCs/>
          <w:color w:val="auto"/>
          <w:highlight w:val="none"/>
          <w:u w:val="none"/>
        </w:rPr>
        <w:t>根据计算，无措施控制下，项目道路扬尘总排放量WRi为</w:t>
      </w:r>
      <w:r>
        <w:rPr>
          <w:rFonts w:hint="default" w:ascii="Times New Roman" w:hAnsi="Times New Roman" w:eastAsia="宋体" w:cs="Times New Roman"/>
          <w:bCs/>
          <w:color w:val="auto"/>
          <w:highlight w:val="none"/>
          <w:u w:val="none"/>
          <w:lang w:val="en-US" w:eastAsia="zh-CN"/>
        </w:rPr>
        <w:t>0.6039</w:t>
      </w:r>
      <w:r>
        <w:rPr>
          <w:rFonts w:hint="default" w:ascii="Times New Roman" w:hAnsi="Times New Roman" w:eastAsia="宋体" w:cs="Times New Roman"/>
          <w:bCs/>
          <w:color w:val="auto"/>
          <w:highlight w:val="none"/>
          <w:u w:val="none"/>
        </w:rPr>
        <w:t>t/a，通过采取对道路压实；</w:t>
      </w:r>
      <w:r>
        <w:rPr>
          <w:rFonts w:hint="default" w:ascii="Times New Roman" w:hAnsi="Times New Roman" w:eastAsia="宋体" w:cs="Times New Roman"/>
          <w:bCs/>
          <w:color w:val="auto"/>
          <w:highlight w:val="none"/>
          <w:u w:val="none"/>
        </w:rPr>
        <w:tab/>
      </w:r>
      <w:r>
        <w:rPr>
          <w:rFonts w:hint="default" w:ascii="Times New Roman" w:hAnsi="Times New Roman" w:eastAsia="宋体" w:cs="Times New Roman"/>
          <w:bCs/>
          <w:color w:val="auto"/>
          <w:highlight w:val="none"/>
          <w:u w:val="none"/>
        </w:rPr>
        <w:t>施工道路进出口设置洗车平台，清洗车身和车轮，车厢采用篷布覆盖等遮蔽措施，避免物料沿途抛洒；同时通过加强管理，限制车速，禁止超载；道路定期人工清扫浮尘积土，并配备1辆洒水车对路面定时洒水，每天不少于4次；干燥天气或风力较大时可适当增加洒水次数，综合除尘效率70%，则项目运输扬尘排放量为</w:t>
      </w:r>
      <w:r>
        <w:rPr>
          <w:rFonts w:hint="eastAsia" w:ascii="Times New Roman" w:cs="Times New Roman"/>
          <w:bCs/>
          <w:color w:val="auto"/>
          <w:highlight w:val="none"/>
          <w:u w:val="none"/>
          <w:lang w:val="en-US" w:eastAsia="zh-CN"/>
        </w:rPr>
        <w:t>0.18117</w:t>
      </w:r>
      <w:r>
        <w:rPr>
          <w:rFonts w:hint="default" w:ascii="Times New Roman" w:hAnsi="Times New Roman" w:eastAsia="宋体" w:cs="Times New Roman"/>
          <w:bCs/>
          <w:color w:val="auto"/>
          <w:highlight w:val="none"/>
          <w:u w:val="none"/>
        </w:rPr>
        <w:t>t/a，运输道路扬尘排放情况见</w:t>
      </w:r>
      <w:r>
        <w:rPr>
          <w:rFonts w:hint="default" w:ascii="Times New Roman" w:hAnsi="Times New Roman" w:eastAsia="宋体" w:cs="Times New Roman"/>
          <w:bCs/>
          <w:color w:val="auto"/>
          <w:highlight w:val="none"/>
          <w:u w:val="none"/>
          <w:lang w:val="en-US"/>
        </w:rPr>
        <w:fldChar w:fldCharType="begin"/>
      </w:r>
      <w:r>
        <w:rPr>
          <w:rFonts w:hint="default" w:ascii="Times New Roman" w:hAnsi="Times New Roman" w:eastAsia="宋体" w:cs="Times New Roman"/>
          <w:bCs/>
          <w:color w:val="auto"/>
          <w:highlight w:val="none"/>
          <w:u w:val="none"/>
          <w:lang w:val="en-US"/>
        </w:rPr>
        <w:instrText xml:space="preserve"> REF _Ref1924 \r \h </w:instrText>
      </w:r>
      <w:r>
        <w:rPr>
          <w:rFonts w:hint="default" w:ascii="Times New Roman" w:hAnsi="Times New Roman" w:eastAsia="宋体" w:cs="Times New Roman"/>
          <w:bCs/>
          <w:color w:val="auto"/>
          <w:highlight w:val="none"/>
          <w:u w:val="none"/>
          <w:lang w:val="en-US"/>
        </w:rPr>
        <w:fldChar w:fldCharType="separate"/>
      </w:r>
      <w:r>
        <w:rPr>
          <w:rFonts w:hint="default" w:ascii="Times New Roman" w:hAnsi="Times New Roman" w:eastAsia="宋体" w:cs="Times New Roman"/>
          <w:bCs/>
          <w:color w:val="auto"/>
          <w:highlight w:val="none"/>
          <w:u w:val="none"/>
          <w:lang w:val="en-US"/>
        </w:rPr>
        <w:t>表2.7-3</w:t>
      </w:r>
      <w:r>
        <w:rPr>
          <w:rFonts w:hint="default" w:ascii="Times New Roman" w:hAnsi="Times New Roman" w:eastAsia="宋体" w:cs="Times New Roman"/>
          <w:bCs/>
          <w:color w:val="auto"/>
          <w:highlight w:val="none"/>
          <w:u w:val="none"/>
          <w:lang w:val="en-US"/>
        </w:rPr>
        <w:fldChar w:fldCharType="end"/>
      </w:r>
      <w:r>
        <w:rPr>
          <w:rFonts w:hint="default" w:ascii="Times New Roman" w:hAnsi="Times New Roman" w:eastAsia="宋体" w:cs="Times New Roman"/>
          <w:bCs/>
          <w:color w:val="auto"/>
          <w:highlight w:val="none"/>
          <w:u w:val="none"/>
        </w:rPr>
        <w:t>。</w:t>
      </w:r>
    </w:p>
    <w:p w14:paraId="45E1F543">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bookmarkStart w:id="54" w:name="_Ref1924"/>
      <w:r>
        <w:rPr>
          <w:rFonts w:hint="default"/>
          <w:color w:val="auto"/>
          <w:highlight w:val="none"/>
        </w:rPr>
        <w:t>运输扬尘排放情况一览表</w:t>
      </w:r>
      <w:bookmarkEnd w:id="54"/>
    </w:p>
    <w:tbl>
      <w:tblPr>
        <w:tblStyle w:val="1679"/>
        <w:tblpPr w:leftFromText="180" w:rightFromText="180" w:vertAnchor="text" w:horzAnchor="page" w:tblpX="1556" w:tblpY="129"/>
        <w:tblOverlap w:val="never"/>
        <w:tblW w:w="0" w:type="auto"/>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2892"/>
        <w:gridCol w:w="2876"/>
        <w:gridCol w:w="2871"/>
      </w:tblGrid>
      <w:tr w14:paraId="62B42E9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2892" w:type="dxa"/>
            <w:noWrap w:val="0"/>
            <w:vAlign w:val="top"/>
          </w:tcPr>
          <w:p w14:paraId="4F0B8681">
            <w:pPr>
              <w:pStyle w:val="1647"/>
              <w:spacing w:before="69" w:line="221" w:lineRule="auto"/>
              <w:ind w:left="1478"/>
              <w:rPr>
                <w:rFonts w:hint="default" w:ascii="Times New Roman" w:hAnsi="Times New Roman" w:cs="Times New Roman"/>
                <w:color w:val="auto"/>
                <w:highlight w:val="none"/>
              </w:rPr>
            </w:pPr>
            <w:r>
              <w:rPr>
                <w:rFonts w:hint="default" w:ascii="Times New Roman" w:hAnsi="Times New Roman" w:cs="Times New Roman"/>
                <w:color w:val="auto"/>
                <w:spacing w:val="-3"/>
                <w:highlight w:val="none"/>
              </w:rPr>
              <w:t>项目</w:t>
            </w:r>
          </w:p>
        </w:tc>
        <w:tc>
          <w:tcPr>
            <w:tcW w:w="2876" w:type="dxa"/>
            <w:noWrap w:val="0"/>
            <w:vAlign w:val="top"/>
          </w:tcPr>
          <w:p w14:paraId="3E43CC37">
            <w:pPr>
              <w:pStyle w:val="1647"/>
              <w:spacing w:before="69" w:line="228" w:lineRule="auto"/>
              <w:ind w:left="1217"/>
              <w:rPr>
                <w:rFonts w:hint="default" w:ascii="Times New Roman" w:hAnsi="Times New Roman" w:eastAsia="Times New Roman" w:cs="Times New Roman"/>
                <w:color w:val="auto"/>
                <w:highlight w:val="none"/>
              </w:rPr>
            </w:pPr>
            <w:r>
              <w:rPr>
                <w:rFonts w:hint="default" w:ascii="Times New Roman" w:hAnsi="Times New Roman" w:cs="Times New Roman"/>
                <w:color w:val="auto"/>
                <w:spacing w:val="-2"/>
                <w:highlight w:val="none"/>
              </w:rPr>
              <w:t>产生量</w:t>
            </w:r>
            <w:r>
              <w:rPr>
                <w:rFonts w:hint="default" w:ascii="Times New Roman" w:hAnsi="Times New Roman" w:eastAsia="Times New Roman" w:cs="Times New Roman"/>
                <w:color w:val="auto"/>
                <w:spacing w:val="-2"/>
                <w:highlight w:val="none"/>
              </w:rPr>
              <w:t>t/a</w:t>
            </w:r>
          </w:p>
        </w:tc>
        <w:tc>
          <w:tcPr>
            <w:tcW w:w="2871" w:type="dxa"/>
            <w:noWrap w:val="0"/>
            <w:vAlign w:val="top"/>
          </w:tcPr>
          <w:p w14:paraId="263A9376">
            <w:pPr>
              <w:pStyle w:val="1647"/>
              <w:spacing w:before="69" w:line="228" w:lineRule="auto"/>
              <w:ind w:left="1218"/>
              <w:rPr>
                <w:rFonts w:hint="default" w:ascii="Times New Roman" w:hAnsi="Times New Roman" w:eastAsia="Times New Roman" w:cs="Times New Roman"/>
                <w:color w:val="auto"/>
                <w:highlight w:val="none"/>
              </w:rPr>
            </w:pPr>
            <w:r>
              <w:rPr>
                <w:rFonts w:hint="default" w:ascii="Times New Roman" w:hAnsi="Times New Roman" w:cs="Times New Roman"/>
                <w:color w:val="auto"/>
                <w:spacing w:val="-2"/>
                <w:highlight w:val="none"/>
              </w:rPr>
              <w:t>排放量</w:t>
            </w:r>
            <w:r>
              <w:rPr>
                <w:rFonts w:hint="default" w:ascii="Times New Roman" w:hAnsi="Times New Roman" w:eastAsia="Times New Roman" w:cs="Times New Roman"/>
                <w:color w:val="auto"/>
                <w:spacing w:val="-2"/>
                <w:highlight w:val="none"/>
              </w:rPr>
              <w:t>t/a</w:t>
            </w:r>
          </w:p>
        </w:tc>
      </w:tr>
      <w:tr w14:paraId="39C8E71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2892" w:type="dxa"/>
            <w:noWrap w:val="0"/>
            <w:vAlign w:val="top"/>
          </w:tcPr>
          <w:p w14:paraId="796B7E64">
            <w:pPr>
              <w:pStyle w:val="1647"/>
              <w:spacing w:before="75" w:line="221" w:lineRule="auto"/>
              <w:ind w:left="1055"/>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运输道路粉尘</w:t>
            </w:r>
          </w:p>
        </w:tc>
        <w:tc>
          <w:tcPr>
            <w:tcW w:w="2876" w:type="dxa"/>
            <w:noWrap w:val="0"/>
            <w:vAlign w:val="top"/>
          </w:tcPr>
          <w:p w14:paraId="620C4556">
            <w:pPr>
              <w:spacing w:before="108" w:line="233" w:lineRule="auto"/>
              <w:ind w:left="142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1"/>
                <w:sz w:val="21"/>
                <w:szCs w:val="21"/>
                <w:highlight w:val="none"/>
                <w:lang w:val="en-US" w:eastAsia="zh-CN"/>
              </w:rPr>
              <w:t>0.6039</w:t>
            </w:r>
          </w:p>
        </w:tc>
        <w:tc>
          <w:tcPr>
            <w:tcW w:w="2871" w:type="dxa"/>
            <w:noWrap w:val="0"/>
            <w:vAlign w:val="top"/>
          </w:tcPr>
          <w:p w14:paraId="20FAF2CE">
            <w:pPr>
              <w:spacing w:before="108" w:line="233" w:lineRule="auto"/>
              <w:ind w:left="1426"/>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0.18117</w:t>
            </w:r>
          </w:p>
        </w:tc>
      </w:tr>
    </w:tbl>
    <w:p w14:paraId="1CD28F8A">
      <w:pPr>
        <w:spacing w:line="148" w:lineRule="exact"/>
        <w:rPr>
          <w:rFonts w:hint="default" w:ascii="Times New Roman" w:hAnsi="Times New Roman" w:cs="Times New Roman"/>
          <w:color w:val="auto"/>
          <w:highlight w:val="none"/>
        </w:rPr>
      </w:pPr>
    </w:p>
    <w:p w14:paraId="3F0D3DB8">
      <w:pPr>
        <w:ind w:firstLine="416"/>
        <w:rPr>
          <w:rFonts w:hint="default" w:ascii="Times New Roman" w:hAnsi="Times New Roman" w:eastAsia="宋体" w:cs="Times New Roman"/>
          <w:bCs/>
          <w:color w:val="auto"/>
          <w:highlight w:val="none"/>
          <w:u w:val="none"/>
        </w:rPr>
      </w:pPr>
      <w:r>
        <w:rPr>
          <w:rFonts w:hint="default" w:ascii="Times New Roman" w:hAnsi="Times New Roman" w:eastAsia="宋体" w:cs="Times New Roman"/>
          <w:bCs/>
          <w:color w:val="auto"/>
          <w:highlight w:val="none"/>
          <w:u w:val="none"/>
        </w:rPr>
        <w:t>根据类似施工场地现场测定，当施工阶段对汽车行驶路面勤洒水（每天4～5次），可使空气中粉尘量减少70%左右，当施工场地洒水频率为4～5</w:t>
      </w:r>
      <w:r>
        <w:rPr>
          <w:rFonts w:hint="default" w:ascii="Times New Roman" w:hAnsi="Times New Roman" w:eastAsia="宋体" w:cs="Times New Roman"/>
          <w:bCs/>
          <w:color w:val="auto"/>
          <w:highlight w:val="none"/>
          <w:u w:val="none"/>
          <w:lang w:eastAsia="zh-CN"/>
        </w:rPr>
        <w:t>次/天</w:t>
      </w:r>
      <w:r>
        <w:rPr>
          <w:rFonts w:hint="default" w:ascii="Times New Roman" w:hAnsi="Times New Roman" w:eastAsia="宋体" w:cs="Times New Roman"/>
          <w:bCs/>
          <w:color w:val="auto"/>
          <w:highlight w:val="none"/>
          <w:u w:val="none"/>
        </w:rPr>
        <w:t>时，扬尘造成的TSP污染距离可缩小到20～50m范围内，扬尘对周围环境的污染影响范围可得到有效控制，降低对大气环境的污染影响。因此，通过采取施工场区洒水抑尘、车辆减速慢行等措施，可以有效降低运输扬尘起尘量。</w:t>
      </w:r>
    </w:p>
    <w:p w14:paraId="57E904FF">
      <w:pPr>
        <w:pStyle w:val="410"/>
        <w:numPr>
          <w:ilvl w:val="0"/>
          <w:numId w:val="32"/>
        </w:numPr>
        <w:ind w:left="0" w:leftChars="0" w:firstLine="416" w:firstLineChars="0"/>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lang w:val="en-US" w:eastAsia="zh-CN"/>
        </w:rPr>
        <w:t>施工</w:t>
      </w:r>
      <w:r>
        <w:rPr>
          <w:rFonts w:hint="default" w:ascii="Times New Roman" w:hAnsi="Times New Roman" w:eastAsia="宋体" w:cs="Times New Roman"/>
          <w:b/>
          <w:color w:val="auto"/>
          <w:highlight w:val="none"/>
        </w:rPr>
        <w:t>机械</w:t>
      </w:r>
      <w:r>
        <w:rPr>
          <w:rFonts w:hint="default" w:ascii="Times New Roman" w:hAnsi="Times New Roman" w:eastAsia="宋体" w:cs="Times New Roman"/>
          <w:b/>
          <w:color w:val="auto"/>
          <w:highlight w:val="none"/>
          <w:lang w:val="en-US" w:eastAsia="zh-CN"/>
        </w:rPr>
        <w:t>及运输车辆</w:t>
      </w:r>
      <w:r>
        <w:rPr>
          <w:rFonts w:hint="default" w:ascii="Times New Roman" w:hAnsi="Times New Roman" w:eastAsia="宋体" w:cs="Times New Roman"/>
          <w:b/>
          <w:color w:val="auto"/>
          <w:highlight w:val="none"/>
        </w:rPr>
        <w:t>尾气</w:t>
      </w:r>
    </w:p>
    <w:p w14:paraId="05A92735">
      <w:pPr>
        <w:ind w:firstLine="416"/>
        <w:rPr>
          <w:rFonts w:hint="default" w:ascii="Times New Roman" w:hAnsi="Times New Roman" w:eastAsia="宋体" w:cs="Times New Roman"/>
          <w:bCs/>
          <w:color w:val="auto"/>
          <w:highlight w:val="none"/>
          <w:u w:val="none"/>
          <w:lang w:val="en-US" w:eastAsia="zh-CN"/>
        </w:rPr>
      </w:pPr>
      <w:r>
        <w:rPr>
          <w:rFonts w:hint="default" w:ascii="Times New Roman" w:hAnsi="Times New Roman" w:eastAsia="宋体" w:cs="Times New Roman"/>
          <w:bCs/>
          <w:color w:val="auto"/>
          <w:highlight w:val="none"/>
          <w:u w:val="none"/>
        </w:rPr>
        <w:t>项目施工过程所使用的工程机械主要以柴油为燃料，重型机械尾气排放量较大。运输车辆在施工场地内和运输沿线道路均会排放少量汽车尾气。尾气中主要污染物有CO、NO2、THC等。据统计，项目施工期间约消耗柴油</w:t>
      </w:r>
      <w:r>
        <w:rPr>
          <w:rFonts w:hint="default" w:ascii="Times New Roman" w:hAnsi="Times New Roman" w:eastAsia="宋体" w:cs="Times New Roman"/>
          <w:bCs/>
          <w:color w:val="auto"/>
          <w:highlight w:val="none"/>
          <w:u w:val="none"/>
          <w:lang w:val="en-US" w:eastAsia="zh-CN"/>
        </w:rPr>
        <w:t>45</w:t>
      </w:r>
      <w:r>
        <w:rPr>
          <w:rFonts w:hint="default" w:ascii="Times New Roman" w:hAnsi="Times New Roman" w:eastAsia="宋体" w:cs="Times New Roman"/>
          <w:bCs/>
          <w:color w:val="auto"/>
          <w:highlight w:val="none"/>
          <w:u w:val="none"/>
        </w:rPr>
        <w:t>t，根据《水利水电工程施工环境保护技术规程》（DL/T5260-2010）附录F，项目施工期燃油废气排放情况见表</w:t>
      </w:r>
      <w:r>
        <w:rPr>
          <w:rFonts w:hint="eastAsia" w:ascii="Times New Roman" w:cs="Times New Roman"/>
          <w:bCs/>
          <w:color w:val="auto"/>
          <w:highlight w:val="none"/>
          <w:u w:val="none"/>
          <w:lang w:val="en-US" w:eastAsia="zh-CN"/>
        </w:rPr>
        <w:t>2.7-4</w:t>
      </w:r>
    </w:p>
    <w:p w14:paraId="7D7376D6">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color w:val="auto"/>
          <w:highlight w:val="none"/>
        </w:rPr>
      </w:pPr>
      <w:bookmarkStart w:id="55" w:name="_Ref31527"/>
      <w:r>
        <w:rPr>
          <w:rFonts w:hint="default"/>
          <w:color w:val="auto"/>
          <w:highlight w:val="none"/>
        </w:rPr>
        <w:t>施工期燃油废气排放情况一览表</w:t>
      </w:r>
      <w:bookmarkEnd w:id="55"/>
    </w:p>
    <w:tbl>
      <w:tblPr>
        <w:tblStyle w:val="1679"/>
        <w:tblW w:w="0" w:type="auto"/>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1656"/>
        <w:gridCol w:w="1623"/>
        <w:gridCol w:w="1998"/>
        <w:gridCol w:w="1719"/>
        <w:gridCol w:w="1643"/>
      </w:tblGrid>
      <w:tr w14:paraId="0CB259B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656" w:type="dxa"/>
            <w:noWrap w:val="0"/>
            <w:vAlign w:val="center"/>
          </w:tcPr>
          <w:p w14:paraId="13D592CC">
            <w:pPr>
              <w:pStyle w:val="1647"/>
              <w:keepNext w:val="0"/>
              <w:keepLines w:val="0"/>
              <w:pageBreakBefore w:val="0"/>
              <w:kinsoku/>
              <w:wordWrap/>
              <w:overflowPunct/>
              <w:topLinePunct w:val="0"/>
              <w:autoSpaceDE/>
              <w:autoSpaceDN/>
              <w:bidi w:val="0"/>
              <w:adjustRightInd/>
              <w:snapToGrid/>
              <w:spacing w:before="67" w:line="221" w:lineRule="auto"/>
              <w:ind w:left="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pacing w:val="-3"/>
                <w:highlight w:val="none"/>
              </w:rPr>
              <w:t>项目</w:t>
            </w:r>
          </w:p>
        </w:tc>
        <w:tc>
          <w:tcPr>
            <w:tcW w:w="1623" w:type="dxa"/>
            <w:noWrap w:val="0"/>
            <w:vAlign w:val="center"/>
          </w:tcPr>
          <w:p w14:paraId="50A455F3">
            <w:pPr>
              <w:keepNext w:val="0"/>
              <w:keepLines w:val="0"/>
              <w:pageBreakBefore w:val="0"/>
              <w:widowControl/>
              <w:suppressLineNumbers w:val="0"/>
              <w:kinsoku/>
              <w:wordWrap/>
              <w:overflowPunct/>
              <w:topLinePunct w:val="0"/>
              <w:autoSpaceDE/>
              <w:autoSpaceDN/>
              <w:bidi w:val="0"/>
              <w:adjustRightInd/>
              <w:snapToGrid/>
              <w:ind w:left="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CO</w:t>
            </w:r>
          </w:p>
        </w:tc>
        <w:tc>
          <w:tcPr>
            <w:tcW w:w="1998" w:type="dxa"/>
            <w:noWrap w:val="0"/>
            <w:vAlign w:val="center"/>
          </w:tcPr>
          <w:p w14:paraId="1584963C">
            <w:pPr>
              <w:keepNext w:val="0"/>
              <w:keepLines w:val="0"/>
              <w:pageBreakBefore w:val="0"/>
              <w:kinsoku/>
              <w:wordWrap/>
              <w:overflowPunct/>
              <w:topLinePunct w:val="0"/>
              <w:autoSpaceDE/>
              <w:autoSpaceDN/>
              <w:bidi w:val="0"/>
              <w:adjustRightInd/>
              <w:snapToGrid/>
              <w:spacing w:before="103" w:line="187" w:lineRule="auto"/>
              <w:ind w:left="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NOx</w:t>
            </w:r>
          </w:p>
        </w:tc>
        <w:tc>
          <w:tcPr>
            <w:tcW w:w="1719" w:type="dxa"/>
            <w:noWrap w:val="0"/>
            <w:vAlign w:val="center"/>
          </w:tcPr>
          <w:p w14:paraId="5CD4F13F">
            <w:pPr>
              <w:keepNext w:val="0"/>
              <w:keepLines w:val="0"/>
              <w:pageBreakBefore w:val="0"/>
              <w:kinsoku/>
              <w:wordWrap/>
              <w:overflowPunct/>
              <w:topLinePunct w:val="0"/>
              <w:autoSpaceDE/>
              <w:autoSpaceDN/>
              <w:bidi w:val="0"/>
              <w:adjustRightInd/>
              <w:snapToGrid/>
              <w:spacing w:before="65" w:line="230" w:lineRule="auto"/>
              <w:ind w:left="0"/>
              <w:jc w:val="center"/>
              <w:textAlignment w:val="auto"/>
              <w:rPr>
                <w:rFonts w:hint="default" w:ascii="Times New Roman" w:hAnsi="Times New Roman" w:eastAsia="MS UI Gothic" w:cs="Times New Roman"/>
                <w:color w:val="auto"/>
                <w:sz w:val="21"/>
                <w:szCs w:val="21"/>
                <w:highlight w:val="none"/>
              </w:rPr>
            </w:pPr>
            <w:r>
              <w:rPr>
                <w:rFonts w:hint="default" w:ascii="Times New Roman" w:hAnsi="Times New Roman" w:eastAsia="Times New Roman" w:cs="Times New Roman"/>
                <w:color w:val="auto"/>
                <w:spacing w:val="-4"/>
                <w:sz w:val="21"/>
                <w:szCs w:val="21"/>
                <w:highlight w:val="none"/>
              </w:rPr>
              <w:t>SO</w:t>
            </w:r>
            <w:r>
              <w:rPr>
                <w:rFonts w:hint="default" w:ascii="Times New Roman" w:hAnsi="Times New Roman" w:eastAsia="MS UI Gothic" w:cs="Times New Roman"/>
                <w:color w:val="auto"/>
                <w:spacing w:val="-4"/>
                <w:sz w:val="21"/>
                <w:szCs w:val="21"/>
                <w:highlight w:val="none"/>
                <w:vertAlign w:val="subscript"/>
              </w:rPr>
              <w:t>2</w:t>
            </w:r>
          </w:p>
        </w:tc>
        <w:tc>
          <w:tcPr>
            <w:tcW w:w="1643" w:type="dxa"/>
            <w:noWrap w:val="0"/>
            <w:vAlign w:val="center"/>
          </w:tcPr>
          <w:p w14:paraId="064359C6">
            <w:pPr>
              <w:keepNext w:val="0"/>
              <w:keepLines w:val="0"/>
              <w:pageBreakBefore w:val="0"/>
              <w:kinsoku/>
              <w:wordWrap/>
              <w:overflowPunct/>
              <w:topLinePunct w:val="0"/>
              <w:autoSpaceDE/>
              <w:autoSpaceDN/>
              <w:bidi w:val="0"/>
              <w:adjustRightInd/>
              <w:snapToGrid/>
              <w:spacing w:before="103" w:line="187" w:lineRule="auto"/>
              <w:ind w:left="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THC</w:t>
            </w:r>
          </w:p>
        </w:tc>
      </w:tr>
      <w:tr w14:paraId="1D817F1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658" w:hRule="atLeast"/>
        </w:trPr>
        <w:tc>
          <w:tcPr>
            <w:tcW w:w="1656" w:type="dxa"/>
            <w:noWrap w:val="0"/>
            <w:vAlign w:val="center"/>
          </w:tcPr>
          <w:p w14:paraId="45350B7B">
            <w:pPr>
              <w:pStyle w:val="1647"/>
              <w:keepNext w:val="0"/>
              <w:keepLines w:val="0"/>
              <w:pageBreakBefore w:val="0"/>
              <w:widowControl w:val="0"/>
              <w:kinsoku/>
              <w:wordWrap/>
              <w:overflowPunct/>
              <w:topLinePunct w:val="0"/>
              <w:autoSpaceDE/>
              <w:autoSpaceDN/>
              <w:bidi w:val="0"/>
              <w:adjustRightInd/>
              <w:snapToGrid/>
              <w:spacing w:line="256" w:lineRule="auto"/>
              <w:ind w:left="0" w:right="0" w:firstLine="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单位燃油废气排放量（</w:t>
            </w:r>
            <w:r>
              <w:rPr>
                <w:rFonts w:hint="default" w:ascii="Times New Roman" w:hAnsi="Times New Roman" w:eastAsia="Times New Roman" w:cs="Times New Roman"/>
                <w:color w:val="auto"/>
                <w:spacing w:val="-1"/>
                <w:highlight w:val="none"/>
              </w:rPr>
              <w:t>kg/t</w:t>
            </w:r>
            <w:r>
              <w:rPr>
                <w:rFonts w:hint="default" w:ascii="Times New Roman" w:hAnsi="Times New Roman" w:cs="Times New Roman"/>
                <w:color w:val="auto"/>
                <w:spacing w:val="-1"/>
                <w:highlight w:val="none"/>
              </w:rPr>
              <w:t>）</w:t>
            </w:r>
          </w:p>
        </w:tc>
        <w:tc>
          <w:tcPr>
            <w:tcW w:w="1623" w:type="dxa"/>
            <w:noWrap w:val="0"/>
            <w:vAlign w:val="center"/>
          </w:tcPr>
          <w:p w14:paraId="6D204ADB">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29.35</w:t>
            </w:r>
          </w:p>
        </w:tc>
        <w:tc>
          <w:tcPr>
            <w:tcW w:w="1998" w:type="dxa"/>
            <w:noWrap w:val="0"/>
            <w:vAlign w:val="center"/>
          </w:tcPr>
          <w:p w14:paraId="13964E90">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48.261</w:t>
            </w:r>
          </w:p>
        </w:tc>
        <w:tc>
          <w:tcPr>
            <w:tcW w:w="1719" w:type="dxa"/>
            <w:noWrap w:val="0"/>
            <w:vAlign w:val="center"/>
          </w:tcPr>
          <w:p w14:paraId="24D8CC89">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3.522</w:t>
            </w:r>
          </w:p>
        </w:tc>
        <w:tc>
          <w:tcPr>
            <w:tcW w:w="1643" w:type="dxa"/>
            <w:noWrap w:val="0"/>
            <w:vAlign w:val="center"/>
          </w:tcPr>
          <w:p w14:paraId="54D38DF0">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4.826</w:t>
            </w:r>
          </w:p>
        </w:tc>
      </w:tr>
      <w:tr w14:paraId="7A98AE3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1656" w:type="dxa"/>
            <w:noWrap w:val="0"/>
            <w:vAlign w:val="center"/>
          </w:tcPr>
          <w:p w14:paraId="6357DB42">
            <w:pPr>
              <w:pStyle w:val="1647"/>
              <w:keepNext w:val="0"/>
              <w:keepLines w:val="0"/>
              <w:pageBreakBefore w:val="0"/>
              <w:widowControl w:val="0"/>
              <w:kinsoku/>
              <w:wordWrap/>
              <w:overflowPunct/>
              <w:topLinePunct w:val="0"/>
              <w:autoSpaceDE/>
              <w:autoSpaceDN/>
              <w:bidi w:val="0"/>
              <w:adjustRightInd/>
              <w:snapToGrid/>
              <w:spacing w:line="234" w:lineRule="auto"/>
              <w:ind w:left="0" w:right="0" w:firstLine="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pacing w:val="-13"/>
                <w:highlight w:val="none"/>
              </w:rPr>
              <w:t>本项目排放量（</w:t>
            </w:r>
            <w:r>
              <w:rPr>
                <w:rFonts w:hint="default" w:ascii="Times New Roman" w:hAnsi="Times New Roman" w:eastAsia="Times New Roman" w:cs="Times New Roman"/>
                <w:color w:val="auto"/>
                <w:spacing w:val="-13"/>
                <w:highlight w:val="none"/>
              </w:rPr>
              <w:t>t</w:t>
            </w:r>
            <w:r>
              <w:rPr>
                <w:rFonts w:hint="default" w:ascii="Times New Roman" w:hAnsi="Times New Roman" w:cs="Times New Roman"/>
                <w:color w:val="auto"/>
                <w:spacing w:val="-13"/>
                <w:highlight w:val="none"/>
              </w:rPr>
              <w:t>）</w:t>
            </w:r>
          </w:p>
        </w:tc>
        <w:tc>
          <w:tcPr>
            <w:tcW w:w="1623" w:type="dxa"/>
            <w:noWrap w:val="0"/>
            <w:vAlign w:val="center"/>
          </w:tcPr>
          <w:p w14:paraId="424C3960">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pacing w:val="-1"/>
                <w:sz w:val="21"/>
                <w:szCs w:val="21"/>
                <w:highlight w:val="none"/>
                <w:lang w:val="en-US" w:eastAsia="zh-CN"/>
              </w:rPr>
              <w:t>2.32</w:t>
            </w:r>
          </w:p>
        </w:tc>
        <w:tc>
          <w:tcPr>
            <w:tcW w:w="1998" w:type="dxa"/>
            <w:noWrap w:val="0"/>
            <w:vAlign w:val="center"/>
          </w:tcPr>
          <w:p w14:paraId="0694109E">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pacing w:val="-1"/>
                <w:sz w:val="21"/>
                <w:szCs w:val="21"/>
                <w:highlight w:val="none"/>
                <w:lang w:val="en-US" w:eastAsia="zh-CN"/>
              </w:rPr>
              <w:t>2.17</w:t>
            </w:r>
          </w:p>
        </w:tc>
        <w:tc>
          <w:tcPr>
            <w:tcW w:w="1719" w:type="dxa"/>
            <w:noWrap w:val="0"/>
            <w:vAlign w:val="center"/>
          </w:tcPr>
          <w:p w14:paraId="46993A66">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0.15</w:t>
            </w:r>
          </w:p>
        </w:tc>
        <w:tc>
          <w:tcPr>
            <w:tcW w:w="1643" w:type="dxa"/>
            <w:noWrap w:val="0"/>
            <w:vAlign w:val="center"/>
          </w:tcPr>
          <w:p w14:paraId="2D343498">
            <w:pPr>
              <w:keepNext w:val="0"/>
              <w:keepLines w:val="0"/>
              <w:pageBreakBefore w:val="0"/>
              <w:widowControl w:val="0"/>
              <w:kinsoku/>
              <w:wordWrap/>
              <w:overflowPunct/>
              <w:topLinePunct w:val="0"/>
              <w:autoSpaceDE/>
              <w:autoSpaceDN/>
              <w:bidi w:val="0"/>
              <w:adjustRightInd/>
              <w:snapToGrid/>
              <w:spacing w:line="233"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pacing w:val="-1"/>
                <w:sz w:val="21"/>
                <w:szCs w:val="21"/>
                <w:highlight w:val="none"/>
                <w:lang w:val="en-US" w:eastAsia="zh-CN"/>
              </w:rPr>
              <w:t>0.22</w:t>
            </w:r>
          </w:p>
        </w:tc>
      </w:tr>
    </w:tbl>
    <w:p w14:paraId="4A4E0128">
      <w:pPr>
        <w:ind w:firstLine="416"/>
        <w:rPr>
          <w:rFonts w:hint="default" w:ascii="Times New Roman" w:hAnsi="Times New Roman" w:eastAsia="宋体" w:cs="Times New Roman"/>
          <w:bCs/>
          <w:color w:val="auto"/>
          <w:highlight w:val="none"/>
          <w:u w:val="none"/>
        </w:rPr>
      </w:pPr>
      <w:r>
        <w:rPr>
          <w:rFonts w:hint="default" w:ascii="Times New Roman" w:hAnsi="Times New Roman" w:eastAsia="宋体" w:cs="Times New Roman"/>
          <w:bCs/>
          <w:color w:val="auto"/>
          <w:highlight w:val="none"/>
          <w:u w:val="none"/>
        </w:rPr>
        <w:t>由于施工机械多为大型机械，单车排放系数较大，但施工机械数量少且较分散工程施工作业具有流动性和间歇性，施工机械及车辆废气使所在地区废气排放量在总量上增加不大。另外，工程施工作业区域地形开阔，空气流动条件好，有利于污染物的扩散。因此，施工燃油废气对工程周边的影响较小，程度较低，在施工结束后随之消失。</w:t>
      </w:r>
    </w:p>
    <w:p w14:paraId="334DF65E">
      <w:pPr>
        <w:pStyle w:val="410"/>
        <w:numPr>
          <w:ilvl w:val="0"/>
          <w:numId w:val="32"/>
        </w:numPr>
        <w:ind w:left="0" w:leftChars="0" w:firstLine="416" w:firstLineChars="0"/>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临时中转场</w:t>
      </w:r>
      <w:r>
        <w:rPr>
          <w:rFonts w:hint="eastAsia" w:ascii="Times New Roman" w:cs="Times New Roman"/>
          <w:b/>
          <w:bCs/>
          <w:color w:val="auto"/>
          <w:highlight w:val="none"/>
          <w:lang w:val="en-US" w:eastAsia="zh-CN"/>
        </w:rPr>
        <w:t>及道路回填区</w:t>
      </w:r>
      <w:r>
        <w:rPr>
          <w:rFonts w:hint="eastAsia" w:ascii="Times New Roman" w:hAnsi="Times New Roman" w:eastAsia="宋体" w:cs="Times New Roman"/>
          <w:b/>
          <w:bCs/>
          <w:color w:val="auto"/>
          <w:highlight w:val="none"/>
          <w:lang w:val="en-US" w:eastAsia="zh-CN"/>
        </w:rPr>
        <w:t>扬尘</w:t>
      </w:r>
    </w:p>
    <w:p w14:paraId="7AE5E75E">
      <w:pPr>
        <w:ind w:firstLine="416"/>
        <w:rPr>
          <w:rFonts w:hint="eastAsia" w:ascii="Times New Roman" w:hAnsi="Times New Roman" w:eastAsia="宋体" w:cs="Times New Roman"/>
          <w:bCs/>
          <w:color w:val="auto"/>
          <w:highlight w:val="none"/>
          <w:u w:val="single"/>
          <w:lang w:val="en-US" w:eastAsia="zh-CN"/>
        </w:rPr>
      </w:pPr>
      <w:r>
        <w:rPr>
          <w:rFonts w:hint="eastAsia" w:ascii="Times New Roman" w:hAnsi="Times New Roman" w:eastAsia="宋体" w:cs="Times New Roman"/>
          <w:bCs/>
          <w:color w:val="auto"/>
          <w:highlight w:val="none"/>
          <w:u w:val="single"/>
          <w:lang w:val="en-US" w:eastAsia="zh-CN"/>
        </w:rPr>
        <w:t>临时中转场及道路回填区内产生的扬尘主要为2方面，一方面是土石方转运、回填、装卸作业过程中产生装卸作业扬尘；另一方面为临时中转场、道路回填区内裸露表面起尘。</w:t>
      </w:r>
    </w:p>
    <w:p w14:paraId="47B2F78A">
      <w:pPr>
        <w:ind w:firstLine="416"/>
        <w:rPr>
          <w:rFonts w:hint="eastAsia" w:ascii="Times New Roman" w:hAnsi="Times New Roman" w:eastAsia="宋体" w:cs="Times New Roman"/>
          <w:bCs/>
          <w:color w:val="auto"/>
          <w:highlight w:val="none"/>
          <w:u w:val="single"/>
          <w:lang w:val="en-US" w:eastAsia="zh-CN"/>
        </w:rPr>
      </w:pPr>
      <w:r>
        <w:rPr>
          <w:rFonts w:hint="eastAsia" w:ascii="Times New Roman" w:hAnsi="Times New Roman" w:eastAsia="宋体" w:cs="Times New Roman"/>
          <w:bCs/>
          <w:color w:val="auto"/>
          <w:highlight w:val="none"/>
          <w:u w:val="single"/>
          <w:lang w:val="en-US" w:eastAsia="zh-CN"/>
        </w:rPr>
        <w:t>①土石方装卸作业起尘</w:t>
      </w:r>
    </w:p>
    <w:p w14:paraId="676CFD1B">
      <w:pPr>
        <w:ind w:firstLine="416"/>
        <w:rPr>
          <w:rFonts w:hint="default" w:ascii="Times New Roman" w:hAnsi="Times New Roman" w:eastAsia="宋体" w:cs="Times New Roman"/>
          <w:bCs/>
          <w:color w:val="auto"/>
          <w:highlight w:val="none"/>
          <w:u w:val="single"/>
          <w:lang w:val="en-US" w:eastAsia="zh-CN"/>
        </w:rPr>
      </w:pPr>
      <w:r>
        <w:rPr>
          <w:rFonts w:hint="eastAsia" w:ascii="Times New Roman" w:hAnsi="Times New Roman" w:eastAsia="宋体" w:cs="Times New Roman"/>
          <w:bCs/>
          <w:color w:val="auto"/>
          <w:highlight w:val="none"/>
          <w:u w:val="single"/>
          <w:lang w:val="en-US" w:eastAsia="zh-CN"/>
        </w:rPr>
        <w:t>土石方</w:t>
      </w:r>
      <w:r>
        <w:rPr>
          <w:rFonts w:hint="default" w:ascii="Times New Roman" w:hAnsi="Times New Roman" w:eastAsia="宋体" w:cs="Times New Roman"/>
          <w:bCs/>
          <w:color w:val="auto"/>
          <w:highlight w:val="none"/>
          <w:u w:val="single"/>
          <w:lang w:val="en-US" w:eastAsia="zh-CN"/>
        </w:rPr>
        <w:t>装卸粉尘源强参照《大气环境影响评价实用技术》(中国标准出版社2010.9)一书中给出的山西环保科研所、武汉水运工程学院提出的自卸汽车的卸料起尘量经验公式:</w:t>
      </w:r>
    </w:p>
    <w:p w14:paraId="08D426F4">
      <w:pPr>
        <w:ind w:firstLine="416"/>
        <w:jc w:val="center"/>
        <w:rPr>
          <w:rFonts w:hint="default" w:ascii="Times New Roman" w:hAnsi="Times New Roman" w:eastAsia="宋体" w:cs="Times New Roman"/>
          <w:bCs/>
          <w:color w:val="auto"/>
          <w:highlight w:val="none"/>
          <w:u w:val="single"/>
          <w:lang w:val="en-US" w:eastAsia="zh-CN"/>
        </w:rPr>
      </w:pPr>
      <w:r>
        <w:rPr>
          <w:rFonts w:hint="default" w:ascii="Times New Roman" w:hAnsi="Times New Roman" w:eastAsia="宋体" w:cs="Times New Roman"/>
          <w:bCs/>
          <w:color w:val="auto"/>
          <w:highlight w:val="none"/>
          <w:u w:val="single"/>
          <w:lang w:val="en-US" w:eastAsia="zh-CN"/>
        </w:rPr>
        <w:t>Q=</w:t>
      </w:r>
      <w:r>
        <w:rPr>
          <w:rFonts w:hint="eastAsia" w:ascii="Times New Roman" w:hAnsi="Times New Roman" w:eastAsia="宋体" w:cs="Times New Roman"/>
          <w:bCs/>
          <w:color w:val="auto"/>
          <w:highlight w:val="none"/>
          <w:u w:val="single"/>
          <w:lang w:val="en-US" w:eastAsia="zh-CN"/>
        </w:rPr>
        <w:t>e</w:t>
      </w:r>
      <w:r>
        <w:rPr>
          <w:rFonts w:hint="eastAsia" w:ascii="Times New Roman" w:hAnsi="Times New Roman" w:eastAsia="宋体" w:cs="Times New Roman"/>
          <w:bCs/>
          <w:color w:val="auto"/>
          <w:highlight w:val="none"/>
          <w:u w:val="single"/>
          <w:vertAlign w:val="superscript"/>
          <w:lang w:val="en-US" w:eastAsia="zh-CN"/>
        </w:rPr>
        <w:t>0.61u</w:t>
      </w:r>
      <w:r>
        <w:rPr>
          <w:rFonts w:hint="eastAsia" w:ascii="Times New Roman" w:hAnsi="Times New Roman" w:eastAsia="宋体" w:cs="Times New Roman"/>
          <w:bCs/>
          <w:color w:val="auto"/>
          <w:highlight w:val="none"/>
          <w:u w:val="single"/>
          <w:vertAlign w:val="baseline"/>
          <w:lang w:val="en-US" w:eastAsia="zh-CN"/>
        </w:rPr>
        <w:t>×</w:t>
      </w:r>
      <w:r>
        <w:rPr>
          <w:rFonts w:hint="default" w:ascii="Times New Roman" w:hAnsi="Times New Roman" w:eastAsia="宋体" w:cs="Times New Roman"/>
          <w:bCs/>
          <w:color w:val="auto"/>
          <w:highlight w:val="none"/>
          <w:u w:val="single"/>
          <w:lang w:val="en-US" w:eastAsia="zh-CN"/>
        </w:rPr>
        <w:t>M/13.5</w:t>
      </w:r>
    </w:p>
    <w:p w14:paraId="6C7FC04D">
      <w:pPr>
        <w:ind w:firstLine="416"/>
        <w:rPr>
          <w:rFonts w:hint="default" w:ascii="Times New Roman" w:hAnsi="Times New Roman" w:eastAsia="宋体" w:cs="Times New Roman"/>
          <w:bCs/>
          <w:color w:val="auto"/>
          <w:highlight w:val="none"/>
          <w:u w:val="single"/>
          <w:lang w:val="en-US" w:eastAsia="zh-CN"/>
        </w:rPr>
      </w:pPr>
      <w:r>
        <w:rPr>
          <w:rFonts w:hint="default" w:ascii="Times New Roman" w:hAnsi="Times New Roman" w:eastAsia="宋体" w:cs="Times New Roman"/>
          <w:bCs/>
          <w:color w:val="auto"/>
          <w:highlight w:val="none"/>
          <w:u w:val="single"/>
          <w:lang w:val="en-US" w:eastAsia="zh-CN"/>
        </w:rPr>
        <w:t>式中:</w:t>
      </w:r>
    </w:p>
    <w:p w14:paraId="0A2EB705">
      <w:pPr>
        <w:ind w:firstLine="416"/>
        <w:rPr>
          <w:rFonts w:hint="default" w:ascii="Times New Roman" w:hAnsi="Times New Roman" w:eastAsia="宋体" w:cs="Times New Roman"/>
          <w:bCs/>
          <w:color w:val="auto"/>
          <w:highlight w:val="none"/>
          <w:u w:val="single"/>
          <w:lang w:val="en-US" w:eastAsia="zh-CN"/>
        </w:rPr>
      </w:pPr>
      <w:r>
        <w:rPr>
          <w:rFonts w:hint="default" w:ascii="Times New Roman" w:hAnsi="Times New Roman" w:eastAsia="宋体" w:cs="Times New Roman"/>
          <w:bCs/>
          <w:color w:val="auto"/>
          <w:highlight w:val="none"/>
          <w:u w:val="single"/>
          <w:lang w:val="en-US" w:eastAsia="zh-CN"/>
        </w:rPr>
        <w:t>Q--为自卸汽车卸料起尘(g</w:t>
      </w:r>
      <w:r>
        <w:rPr>
          <w:rFonts w:hint="eastAsia" w:ascii="Times New Roman" w:hAnsi="Times New Roman" w:eastAsia="宋体" w:cs="Times New Roman"/>
          <w:bCs/>
          <w:color w:val="auto"/>
          <w:highlight w:val="none"/>
          <w:u w:val="single"/>
          <w:lang w:val="en-US" w:eastAsia="zh-CN"/>
        </w:rPr>
        <w:t>/</w:t>
      </w:r>
      <w:r>
        <w:rPr>
          <w:rFonts w:hint="default" w:ascii="Times New Roman" w:hAnsi="Times New Roman" w:eastAsia="宋体" w:cs="Times New Roman"/>
          <w:bCs/>
          <w:color w:val="auto"/>
          <w:highlight w:val="none"/>
          <w:u w:val="single"/>
          <w:lang w:val="en-US" w:eastAsia="zh-CN"/>
        </w:rPr>
        <w:t>次);</w:t>
      </w:r>
    </w:p>
    <w:p w14:paraId="263292FC">
      <w:pPr>
        <w:ind w:firstLine="416"/>
        <w:rPr>
          <w:rFonts w:hint="default" w:ascii="Times New Roman" w:hAnsi="Times New Roman" w:eastAsia="宋体" w:cs="Times New Roman"/>
          <w:bCs/>
          <w:color w:val="auto"/>
          <w:highlight w:val="none"/>
          <w:u w:val="single"/>
          <w:lang w:val="en-US" w:eastAsia="zh-CN"/>
        </w:rPr>
      </w:pPr>
      <w:r>
        <w:rPr>
          <w:rFonts w:hint="default" w:ascii="Times New Roman" w:hAnsi="Times New Roman" w:eastAsia="宋体" w:cs="Times New Roman"/>
          <w:bCs/>
          <w:color w:val="auto"/>
          <w:highlight w:val="none"/>
          <w:u w:val="single"/>
          <w:lang w:val="en-US" w:eastAsia="zh-CN"/>
        </w:rPr>
        <w:t>u--平均风速，m/s，取</w:t>
      </w:r>
      <w:r>
        <w:rPr>
          <w:rFonts w:hint="eastAsia" w:ascii="Times New Roman" w:hAnsi="Times New Roman" w:eastAsia="宋体" w:cs="Times New Roman"/>
          <w:bCs/>
          <w:color w:val="auto"/>
          <w:highlight w:val="none"/>
          <w:u w:val="single"/>
          <w:lang w:val="en-US" w:eastAsia="zh-CN"/>
        </w:rPr>
        <w:t>钦州市</w:t>
      </w:r>
      <w:r>
        <w:rPr>
          <w:rFonts w:hint="default" w:ascii="Times New Roman" w:hAnsi="Times New Roman" w:eastAsia="宋体" w:cs="Times New Roman"/>
          <w:bCs/>
          <w:color w:val="auto"/>
          <w:highlight w:val="none"/>
          <w:u w:val="single"/>
          <w:lang w:val="en-US" w:eastAsia="zh-CN"/>
        </w:rPr>
        <w:t>多年年均风速</w:t>
      </w:r>
      <w:r>
        <w:rPr>
          <w:rFonts w:hint="eastAsia" w:ascii="Times New Roman" w:hAnsi="Times New Roman" w:eastAsia="宋体" w:cs="Times New Roman"/>
          <w:bCs/>
          <w:color w:val="auto"/>
          <w:highlight w:val="none"/>
          <w:u w:val="single"/>
          <w:lang w:val="en-US" w:eastAsia="zh-CN"/>
        </w:rPr>
        <w:t>2.6</w:t>
      </w:r>
      <w:r>
        <w:rPr>
          <w:rFonts w:hint="default" w:ascii="Times New Roman" w:hAnsi="Times New Roman" w:eastAsia="宋体" w:cs="Times New Roman"/>
          <w:bCs/>
          <w:color w:val="auto"/>
          <w:highlight w:val="none"/>
          <w:u w:val="single"/>
          <w:lang w:val="en-US" w:eastAsia="zh-CN"/>
        </w:rPr>
        <w:t>m/s</w:t>
      </w:r>
      <w:r>
        <w:rPr>
          <w:rFonts w:hint="eastAsia" w:ascii="Times New Roman" w:hAnsi="Times New Roman" w:eastAsia="宋体" w:cs="Times New Roman"/>
          <w:bCs/>
          <w:color w:val="auto"/>
          <w:highlight w:val="none"/>
          <w:u w:val="single"/>
          <w:lang w:val="en-US" w:eastAsia="zh-CN"/>
        </w:rPr>
        <w:t>。</w:t>
      </w:r>
    </w:p>
    <w:p w14:paraId="030187AD">
      <w:pPr>
        <w:ind w:firstLine="416"/>
        <w:rPr>
          <w:rFonts w:hint="default" w:ascii="Times New Roman" w:hAnsi="Times New Roman" w:eastAsia="宋体" w:cs="Times New Roman"/>
          <w:bCs/>
          <w:color w:val="auto"/>
          <w:highlight w:val="none"/>
          <w:u w:val="single"/>
          <w:lang w:val="en-US" w:eastAsia="zh-CN"/>
        </w:rPr>
      </w:pPr>
      <w:r>
        <w:rPr>
          <w:rFonts w:hint="default" w:ascii="Times New Roman" w:hAnsi="Times New Roman" w:eastAsia="宋体" w:cs="Times New Roman"/>
          <w:bCs/>
          <w:color w:val="auto"/>
          <w:highlight w:val="none"/>
          <w:u w:val="single"/>
          <w:lang w:val="en-US" w:eastAsia="zh-CN"/>
        </w:rPr>
        <w:t>M--为汽车卸料量(t)，取 40</w:t>
      </w:r>
      <w:r>
        <w:rPr>
          <w:rFonts w:hint="eastAsia" w:ascii="Times New Roman" w:hAnsi="Times New Roman" w:eastAsia="宋体" w:cs="Times New Roman"/>
          <w:bCs/>
          <w:color w:val="auto"/>
          <w:highlight w:val="none"/>
          <w:u w:val="single"/>
          <w:lang w:val="en-US" w:eastAsia="zh-CN"/>
        </w:rPr>
        <w:t>t</w:t>
      </w:r>
      <w:r>
        <w:rPr>
          <w:rFonts w:hint="default" w:ascii="Times New Roman" w:hAnsi="Times New Roman" w:eastAsia="宋体" w:cs="Times New Roman"/>
          <w:bCs/>
          <w:color w:val="auto"/>
          <w:highlight w:val="none"/>
          <w:u w:val="single"/>
          <w:lang w:val="en-US" w:eastAsia="zh-CN"/>
        </w:rPr>
        <w:t>。</w:t>
      </w:r>
    </w:p>
    <w:p w14:paraId="12D2C12B">
      <w:pPr>
        <w:ind w:firstLine="416"/>
        <w:rPr>
          <w:rFonts w:hint="default" w:ascii="Times New Roman" w:hAnsi="Times New Roman" w:eastAsia="宋体" w:cs="Times New Roman"/>
          <w:bCs/>
          <w:color w:val="auto"/>
          <w:highlight w:val="none"/>
          <w:u w:val="single"/>
          <w:lang w:val="en-US" w:eastAsia="zh-CN"/>
        </w:rPr>
      </w:pPr>
      <w:r>
        <w:rPr>
          <w:rFonts w:hint="default" w:ascii="Times New Roman" w:hAnsi="Times New Roman" w:eastAsia="宋体" w:cs="Times New Roman"/>
          <w:bCs/>
          <w:color w:val="auto"/>
          <w:highlight w:val="none"/>
          <w:u w:val="single"/>
          <w:lang w:val="en-US" w:eastAsia="zh-CN"/>
        </w:rPr>
        <w:t>根据经验公式计算可知，汽车卸料起尘量为</w:t>
      </w:r>
      <w:r>
        <w:rPr>
          <w:rFonts w:hint="eastAsia" w:ascii="Times New Roman" w:hAnsi="Times New Roman" w:eastAsia="宋体" w:cs="Times New Roman"/>
          <w:bCs/>
          <w:color w:val="auto"/>
          <w:highlight w:val="none"/>
          <w:u w:val="single"/>
          <w:lang w:val="en-US" w:eastAsia="zh-CN"/>
        </w:rPr>
        <w:t>14.44</w:t>
      </w:r>
      <w:r>
        <w:rPr>
          <w:rFonts w:hint="default" w:ascii="Times New Roman" w:hAnsi="Times New Roman" w:eastAsia="宋体" w:cs="Times New Roman"/>
          <w:bCs/>
          <w:color w:val="auto"/>
          <w:highlight w:val="none"/>
          <w:u w:val="single"/>
          <w:lang w:val="en-US" w:eastAsia="zh-CN"/>
        </w:rPr>
        <w:t>g次。</w:t>
      </w:r>
      <w:r>
        <w:rPr>
          <w:rFonts w:hint="eastAsia" w:ascii="Times New Roman" w:hAnsi="Times New Roman" w:eastAsia="宋体" w:cs="Times New Roman"/>
          <w:bCs/>
          <w:color w:val="auto"/>
          <w:highlight w:val="none"/>
          <w:u w:val="single"/>
          <w:lang w:val="en-US" w:eastAsia="zh-CN"/>
        </w:rPr>
        <w:t>项目土石方装卸量按钦州港路、曲秀路回填及临时中转场堆存量计，则项目转运总装卸量为26.11万m³，产生装卸扬尘量为0.094t/a</w:t>
      </w:r>
      <w:r>
        <w:rPr>
          <w:rFonts w:hint="default" w:ascii="Times New Roman" w:hAnsi="Times New Roman" w:eastAsia="宋体" w:cs="Times New Roman"/>
          <w:bCs/>
          <w:color w:val="auto"/>
          <w:highlight w:val="none"/>
          <w:u w:val="single"/>
          <w:lang w:val="en-US" w:eastAsia="zh-CN"/>
        </w:rPr>
        <w:t>，</w:t>
      </w:r>
      <w:r>
        <w:rPr>
          <w:rFonts w:hint="eastAsia" w:ascii="Times New Roman" w:hAnsi="Times New Roman" w:eastAsia="宋体" w:cs="Times New Roman"/>
          <w:bCs/>
          <w:color w:val="auto"/>
          <w:highlight w:val="none"/>
          <w:u w:val="single"/>
          <w:lang w:val="en-US" w:eastAsia="zh-CN"/>
        </w:rPr>
        <w:t>施工</w:t>
      </w:r>
      <w:r>
        <w:rPr>
          <w:rFonts w:hint="default" w:ascii="Times New Roman" w:hAnsi="Times New Roman" w:eastAsia="宋体" w:cs="Times New Roman"/>
          <w:bCs/>
          <w:color w:val="auto"/>
          <w:highlight w:val="none"/>
          <w:u w:val="single"/>
          <w:lang w:val="en-US" w:eastAsia="zh-CN"/>
        </w:rPr>
        <w:t>采取喷雾降尘降低装卸高度等措施，减少扬尘排放量。</w:t>
      </w:r>
    </w:p>
    <w:p w14:paraId="0A9A0671">
      <w:pPr>
        <w:ind w:firstLine="416"/>
        <w:rPr>
          <w:rFonts w:hint="default" w:ascii="Times New Roman" w:hAnsi="Times New Roman" w:eastAsia="宋体" w:cs="Times New Roman"/>
          <w:bCs/>
          <w:color w:val="auto"/>
          <w:highlight w:val="none"/>
          <w:u w:val="single"/>
          <w:lang w:val="en-US" w:eastAsia="zh-CN"/>
        </w:rPr>
      </w:pPr>
      <w:r>
        <w:rPr>
          <w:rFonts w:hint="eastAsia" w:ascii="Times New Roman" w:hAnsi="Times New Roman" w:eastAsia="宋体" w:cs="Times New Roman"/>
          <w:bCs/>
          <w:color w:val="auto"/>
          <w:highlight w:val="none"/>
          <w:u w:val="single"/>
          <w:lang w:val="en-US" w:eastAsia="zh-CN"/>
        </w:rPr>
        <w:t>②静态起尘</w:t>
      </w:r>
    </w:p>
    <w:p w14:paraId="0671F0C2">
      <w:pPr>
        <w:ind w:firstLine="416"/>
        <w:rPr>
          <w:rFonts w:hint="default" w:ascii="Times New Roman" w:hAnsi="Times New Roman" w:eastAsia="宋体" w:cs="Times New Roman"/>
          <w:bCs/>
          <w:color w:val="auto"/>
          <w:highlight w:val="none"/>
          <w:u w:val="none"/>
        </w:rPr>
      </w:pPr>
      <w:r>
        <w:rPr>
          <w:rFonts w:hint="eastAsia" w:ascii="Times New Roman" w:hAnsi="Times New Roman" w:eastAsia="宋体" w:cs="Times New Roman"/>
          <w:bCs/>
          <w:color w:val="auto"/>
          <w:highlight w:val="none"/>
          <w:u w:val="none"/>
          <w:lang w:val="en-US" w:eastAsia="zh-CN"/>
        </w:rPr>
        <w:t>工程土方临时堆存，</w:t>
      </w:r>
      <w:r>
        <w:rPr>
          <w:rFonts w:hint="default" w:ascii="Times New Roman" w:hAnsi="Times New Roman" w:eastAsia="宋体" w:cs="Times New Roman"/>
          <w:bCs/>
          <w:color w:val="auto"/>
          <w:highlight w:val="none"/>
          <w:u w:val="none"/>
        </w:rPr>
        <w:t>扬尘产生量与湿度和气候有关，起尘量采用西安冶金建筑学院干堆公式计算：</w:t>
      </w:r>
    </w:p>
    <w:p w14:paraId="7F1D2697">
      <w:pPr>
        <w:pStyle w:val="32"/>
        <w:adjustRightInd w:val="0"/>
        <w:spacing w:after="0" w:line="360" w:lineRule="auto"/>
        <w:ind w:firstLine="394" w:firstLineChars="200"/>
        <w:contextualSpacing/>
        <w:jc w:val="center"/>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highlight w:val="none"/>
          <w:u w:val="none" w:color="auto"/>
        </w:rPr>
        <w:drawing>
          <wp:inline distT="0" distB="0" distL="114300" distR="114300">
            <wp:extent cx="2009775" cy="257175"/>
            <wp:effectExtent l="0" t="0" r="9525" b="9525"/>
            <wp:docPr id="49"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62"/>
                    <pic:cNvPicPr>
                      <a:picLocks noChangeAspect="1"/>
                    </pic:cNvPicPr>
                  </pic:nvPicPr>
                  <pic:blipFill>
                    <a:blip r:embed="rId58"/>
                    <a:stretch>
                      <a:fillRect/>
                    </a:stretch>
                  </pic:blipFill>
                  <pic:spPr>
                    <a:xfrm>
                      <a:off x="0" y="0"/>
                      <a:ext cx="2009775" cy="257175"/>
                    </a:xfrm>
                    <a:prstGeom prst="rect">
                      <a:avLst/>
                    </a:prstGeom>
                    <a:noFill/>
                    <a:ln>
                      <a:noFill/>
                    </a:ln>
                  </pic:spPr>
                </pic:pic>
              </a:graphicData>
            </a:graphic>
          </wp:inline>
        </w:drawing>
      </w:r>
    </w:p>
    <w:p w14:paraId="7095A8F8">
      <w:pPr>
        <w:ind w:firstLine="416"/>
        <w:rPr>
          <w:rFonts w:hint="default" w:ascii="Times New Roman" w:hAnsi="Times New Roman" w:eastAsia="宋体" w:cs="Times New Roman"/>
          <w:bCs/>
          <w:color w:val="auto"/>
          <w:highlight w:val="none"/>
          <w:u w:val="none"/>
        </w:rPr>
      </w:pPr>
      <w:r>
        <w:rPr>
          <w:rFonts w:hint="default" w:ascii="Times New Roman" w:hAnsi="Times New Roman" w:eastAsia="宋体" w:cs="Times New Roman"/>
          <w:bCs/>
          <w:color w:val="auto"/>
          <w:highlight w:val="none"/>
          <w:u w:val="none"/>
        </w:rPr>
        <w:t>式中：Q</w:t>
      </w:r>
      <w:r>
        <w:rPr>
          <w:rFonts w:hint="default" w:ascii="Times New Roman" w:hAnsi="Times New Roman" w:eastAsia="宋体" w:cs="Times New Roman"/>
          <w:bCs/>
          <w:color w:val="auto"/>
          <w:highlight w:val="none"/>
          <w:u w:val="none"/>
          <w:vertAlign w:val="subscript"/>
        </w:rPr>
        <w:t>P</w:t>
      </w:r>
      <w:r>
        <w:rPr>
          <w:rFonts w:hint="default" w:ascii="Times New Roman" w:hAnsi="Times New Roman" w:eastAsia="宋体" w:cs="Times New Roman"/>
          <w:bCs/>
          <w:color w:val="auto"/>
          <w:highlight w:val="none"/>
          <w:u w:val="none"/>
        </w:rPr>
        <w:t>——起尘量，mg/s；</w:t>
      </w:r>
    </w:p>
    <w:p w14:paraId="798D7322">
      <w:pPr>
        <w:ind w:firstLine="1074" w:firstLineChars="473"/>
        <w:rPr>
          <w:rFonts w:hint="default" w:ascii="Times New Roman" w:hAnsi="Times New Roman" w:eastAsia="宋体" w:cs="Times New Roman"/>
          <w:bCs/>
          <w:color w:val="auto"/>
          <w:highlight w:val="none"/>
          <w:u w:val="single"/>
          <w:lang w:val="en-US" w:eastAsia="zh-CN"/>
        </w:rPr>
      </w:pPr>
      <w:r>
        <w:rPr>
          <w:rFonts w:hint="default" w:ascii="Times New Roman" w:hAnsi="Times New Roman" w:eastAsia="宋体" w:cs="Times New Roman"/>
          <w:bCs/>
          <w:color w:val="auto"/>
          <w:highlight w:val="none"/>
          <w:u w:val="none"/>
        </w:rPr>
        <w:t>A</w:t>
      </w:r>
      <w:r>
        <w:rPr>
          <w:rFonts w:hint="default" w:ascii="Times New Roman" w:hAnsi="Times New Roman" w:eastAsia="宋体" w:cs="Times New Roman"/>
          <w:bCs/>
          <w:color w:val="auto"/>
          <w:highlight w:val="none"/>
          <w:u w:val="none"/>
          <w:vertAlign w:val="subscript"/>
        </w:rPr>
        <w:t>P</w:t>
      </w:r>
      <w:r>
        <w:rPr>
          <w:rFonts w:hint="default" w:ascii="Times New Roman" w:hAnsi="Times New Roman" w:eastAsia="宋体" w:cs="Times New Roman"/>
          <w:bCs/>
          <w:color w:val="auto"/>
          <w:highlight w:val="none"/>
          <w:u w:val="none"/>
        </w:rPr>
        <w:t>——堆场的起尘面积</w:t>
      </w:r>
      <w:r>
        <w:rPr>
          <w:rFonts w:hint="eastAsia" w:ascii="Times New Roman" w:cs="Times New Roman"/>
          <w:bCs/>
          <w:color w:val="auto"/>
          <w:highlight w:val="none"/>
          <w:u w:val="none"/>
          <w:lang w:val="en-US" w:eastAsia="zh-CN"/>
        </w:rPr>
        <w:t>m</w:t>
      </w:r>
      <w:r>
        <w:rPr>
          <w:rFonts w:hint="default" w:ascii="Times New Roman" w:hAnsi="Times New Roman" w:eastAsia="宋体" w:cs="Times New Roman"/>
          <w:bCs/>
          <w:color w:val="auto"/>
          <w:highlight w:val="none"/>
          <w:u w:val="none"/>
        </w:rPr>
        <w:t>²，</w:t>
      </w:r>
      <w:r>
        <w:rPr>
          <w:rFonts w:hint="default" w:ascii="Times New Roman" w:hAnsi="Times New Roman" w:eastAsia="宋体" w:cs="Times New Roman"/>
          <w:bCs/>
          <w:color w:val="auto"/>
          <w:highlight w:val="none"/>
          <w:u w:val="single"/>
        </w:rPr>
        <w:t>本项目</w:t>
      </w:r>
      <w:r>
        <w:rPr>
          <w:rFonts w:hint="eastAsia" w:ascii="Times New Roman" w:hAnsi="Times New Roman" w:eastAsia="宋体" w:cs="Times New Roman"/>
          <w:bCs/>
          <w:color w:val="auto"/>
          <w:highlight w:val="none"/>
          <w:u w:val="single"/>
          <w:lang w:eastAsia="zh-CN"/>
        </w:rPr>
        <w:t>临时中转场</w:t>
      </w:r>
      <w:r>
        <w:rPr>
          <w:rFonts w:hint="default" w:ascii="Times New Roman" w:hAnsi="Times New Roman" w:eastAsia="宋体" w:cs="Times New Roman"/>
          <w:bCs/>
          <w:color w:val="auto"/>
          <w:highlight w:val="none"/>
          <w:u w:val="single"/>
        </w:rPr>
        <w:t>面积为</w:t>
      </w:r>
      <w:r>
        <w:rPr>
          <w:rFonts w:hint="eastAsia" w:ascii="Times New Roman" w:cs="Times New Roman"/>
          <w:bCs/>
          <w:color w:val="auto"/>
          <w:highlight w:val="none"/>
          <w:u w:val="single"/>
          <w:lang w:val="en-US" w:eastAsia="zh-CN"/>
        </w:rPr>
        <w:t>0.85h</w:t>
      </w:r>
      <w:r>
        <w:rPr>
          <w:rFonts w:hint="default" w:ascii="Times New Roman" w:hAnsi="Times New Roman" w:eastAsia="宋体" w:cs="Times New Roman"/>
          <w:bCs/>
          <w:color w:val="auto"/>
          <w:highlight w:val="none"/>
          <w:u w:val="single"/>
        </w:rPr>
        <w:t>m²</w:t>
      </w:r>
      <w:r>
        <w:rPr>
          <w:rFonts w:hint="eastAsia" w:ascii="Times New Roman" w:cs="Times New Roman"/>
          <w:bCs/>
          <w:color w:val="auto"/>
          <w:highlight w:val="none"/>
          <w:u w:val="single"/>
          <w:lang w:eastAsia="zh-CN"/>
        </w:rPr>
        <w:t>，</w:t>
      </w:r>
      <w:r>
        <w:rPr>
          <w:rFonts w:hint="eastAsia" w:ascii="Times New Roman" w:cs="Times New Roman"/>
          <w:bCs/>
          <w:color w:val="auto"/>
          <w:highlight w:val="none"/>
          <w:u w:val="none"/>
          <w:lang w:eastAsia="zh-CN"/>
        </w:rPr>
        <w:t>钦州港路、曲绣路回填区占地面积</w:t>
      </w:r>
      <w:r>
        <w:rPr>
          <w:rFonts w:hint="eastAsia" w:ascii="Times New Roman" w:cs="Times New Roman"/>
          <w:bCs/>
          <w:color w:val="auto"/>
          <w:highlight w:val="none"/>
          <w:u w:val="none"/>
          <w:lang w:val="en-US" w:eastAsia="zh-CN"/>
        </w:rPr>
        <w:t>2.36hm</w:t>
      </w:r>
      <w:r>
        <w:rPr>
          <w:rFonts w:hint="default" w:ascii="Times New Roman" w:hAnsi="Times New Roman" w:eastAsia="宋体" w:cs="Times New Roman"/>
          <w:bCs/>
          <w:color w:val="auto"/>
          <w:highlight w:val="none"/>
          <w:u w:val="none"/>
        </w:rPr>
        <w:t>²</w:t>
      </w:r>
      <w:r>
        <w:rPr>
          <w:rFonts w:hint="eastAsia" w:ascii="Times New Roman" w:cs="Times New Roman"/>
          <w:bCs/>
          <w:color w:val="auto"/>
          <w:highlight w:val="none"/>
          <w:u w:val="none"/>
          <w:lang w:eastAsia="zh-CN"/>
        </w:rPr>
        <w:t>，</w:t>
      </w:r>
      <w:r>
        <w:rPr>
          <w:rFonts w:hint="eastAsia" w:ascii="Times New Roman" w:cs="Times New Roman"/>
          <w:bCs/>
          <w:color w:val="auto"/>
          <w:highlight w:val="none"/>
          <w:u w:val="single"/>
          <w:lang w:eastAsia="zh-CN"/>
        </w:rPr>
        <w:t>由于回填后道路拟对道路边坡采取密目网覆盖措施，起尘面积按占地表面积的</w:t>
      </w:r>
      <w:r>
        <w:rPr>
          <w:rFonts w:hint="eastAsia" w:ascii="Times New Roman" w:cs="Times New Roman"/>
          <w:bCs/>
          <w:color w:val="auto"/>
          <w:highlight w:val="none"/>
          <w:u w:val="single"/>
          <w:lang w:val="en-US" w:eastAsia="zh-CN"/>
        </w:rPr>
        <w:t>60%计算，则道路起尘面积为1.42hm</w:t>
      </w:r>
      <w:r>
        <w:rPr>
          <w:rFonts w:hint="default" w:ascii="Times New Roman" w:hAnsi="Times New Roman" w:eastAsia="宋体" w:cs="Times New Roman"/>
          <w:bCs/>
          <w:color w:val="auto"/>
          <w:highlight w:val="none"/>
          <w:u w:val="single"/>
        </w:rPr>
        <w:t>²。</w:t>
      </w:r>
      <w:r>
        <w:rPr>
          <w:rFonts w:hint="eastAsia" w:ascii="Times New Roman" w:cs="Times New Roman"/>
          <w:bCs/>
          <w:color w:val="auto"/>
          <w:highlight w:val="none"/>
          <w:u w:val="single"/>
          <w:lang w:eastAsia="zh-CN"/>
        </w:rPr>
        <w:t>总起尘面积为</w:t>
      </w:r>
      <w:r>
        <w:rPr>
          <w:rFonts w:hint="eastAsia" w:ascii="Times New Roman" w:cs="Times New Roman"/>
          <w:bCs/>
          <w:color w:val="auto"/>
          <w:highlight w:val="none"/>
          <w:u w:val="single"/>
          <w:lang w:val="en-US" w:eastAsia="zh-CN"/>
        </w:rPr>
        <w:t>2.27hm</w:t>
      </w:r>
      <w:r>
        <w:rPr>
          <w:rFonts w:hint="default" w:ascii="Times New Roman" w:hAnsi="Times New Roman" w:eastAsia="宋体" w:cs="Times New Roman"/>
          <w:bCs/>
          <w:color w:val="auto"/>
          <w:highlight w:val="none"/>
          <w:u w:val="single"/>
        </w:rPr>
        <w:t>²。</w:t>
      </w:r>
    </w:p>
    <w:p w14:paraId="2B7C2889">
      <w:pPr>
        <w:ind w:firstLine="1074" w:firstLineChars="473"/>
        <w:rPr>
          <w:rFonts w:hint="default" w:ascii="Times New Roman" w:hAnsi="Times New Roman" w:eastAsia="宋体" w:cs="Times New Roman"/>
          <w:bCs/>
          <w:color w:val="auto"/>
          <w:highlight w:val="none"/>
          <w:u w:val="none"/>
        </w:rPr>
      </w:pPr>
      <w:r>
        <w:rPr>
          <w:rFonts w:hint="default" w:ascii="Times New Roman" w:hAnsi="Times New Roman" w:eastAsia="宋体" w:cs="Times New Roman"/>
          <w:bCs/>
          <w:color w:val="auto"/>
          <w:highlight w:val="none"/>
          <w:u w:val="none"/>
        </w:rPr>
        <w:t>U——平均风速，取</w:t>
      </w:r>
      <w:r>
        <w:rPr>
          <w:rFonts w:hint="eastAsia" w:ascii="Times New Roman" w:cs="Times New Roman"/>
          <w:bCs/>
          <w:color w:val="auto"/>
          <w:highlight w:val="none"/>
          <w:u w:val="none"/>
          <w:lang w:eastAsia="zh-CN"/>
        </w:rPr>
        <w:t>钦州市多</w:t>
      </w:r>
      <w:r>
        <w:rPr>
          <w:rFonts w:hint="default" w:ascii="Times New Roman" w:hAnsi="Times New Roman" w:eastAsia="宋体" w:cs="Times New Roman"/>
          <w:bCs/>
          <w:color w:val="auto"/>
          <w:highlight w:val="none"/>
          <w:u w:val="none"/>
        </w:rPr>
        <w:t>年平均风速</w:t>
      </w:r>
      <w:r>
        <w:rPr>
          <w:rFonts w:hint="eastAsia" w:ascii="Times New Roman" w:cs="Times New Roman"/>
          <w:bCs/>
          <w:color w:val="auto"/>
          <w:highlight w:val="none"/>
          <w:u w:val="none"/>
          <w:lang w:val="en-US" w:eastAsia="zh-CN"/>
        </w:rPr>
        <w:t>2.6</w:t>
      </w:r>
      <w:r>
        <w:rPr>
          <w:rFonts w:hint="default" w:ascii="Times New Roman" w:hAnsi="Times New Roman" w:eastAsia="宋体" w:cs="Times New Roman"/>
          <w:bCs/>
          <w:color w:val="auto"/>
          <w:highlight w:val="none"/>
          <w:u w:val="none"/>
        </w:rPr>
        <w:t>m/s。</w:t>
      </w:r>
    </w:p>
    <w:p w14:paraId="628EDA02">
      <w:pPr>
        <w:ind w:firstLine="416"/>
        <w:rPr>
          <w:rFonts w:hint="default" w:ascii="Times New Roman" w:hAnsi="Times New Roman" w:eastAsia="宋体" w:cs="Times New Roman"/>
          <w:bCs/>
          <w:color w:val="auto"/>
          <w:highlight w:val="none"/>
          <w:u w:val="none"/>
        </w:rPr>
      </w:pPr>
      <w:r>
        <w:rPr>
          <w:rFonts w:hint="default" w:ascii="Times New Roman" w:hAnsi="Times New Roman" w:eastAsia="宋体" w:cs="Times New Roman"/>
          <w:bCs/>
          <w:color w:val="auto"/>
          <w:highlight w:val="none"/>
          <w:u w:val="none"/>
        </w:rPr>
        <w:t>经计算，堆放扬尘产生量为</w:t>
      </w:r>
      <w:r>
        <w:rPr>
          <w:rFonts w:hint="eastAsia" w:ascii="Times New Roman" w:cs="Times New Roman"/>
          <w:bCs/>
          <w:color w:val="auto"/>
          <w:highlight w:val="none"/>
          <w:u w:val="single"/>
          <w:lang w:val="en-US" w:eastAsia="zh-CN"/>
        </w:rPr>
        <w:t>1036.8</w:t>
      </w:r>
      <w:r>
        <w:rPr>
          <w:rFonts w:hint="default" w:ascii="Times New Roman" w:hAnsi="Times New Roman" w:eastAsia="宋体" w:cs="Times New Roman"/>
          <w:bCs/>
          <w:color w:val="auto"/>
          <w:highlight w:val="none"/>
          <w:u w:val="single"/>
        </w:rPr>
        <w:t>mg/s</w:t>
      </w:r>
      <w:r>
        <w:rPr>
          <w:rFonts w:hint="eastAsia" w:ascii="Times New Roman" w:cs="Times New Roman"/>
          <w:bCs/>
          <w:color w:val="auto"/>
          <w:highlight w:val="none"/>
          <w:u w:val="single"/>
          <w:lang w:eastAsia="zh-CN"/>
        </w:rPr>
        <w:t>。降雨时不产生静态起尘，钦州市多年平均降雨天数为</w:t>
      </w:r>
      <w:r>
        <w:rPr>
          <w:rFonts w:hint="eastAsia" w:ascii="Times New Roman" w:cs="Times New Roman"/>
          <w:bCs/>
          <w:color w:val="auto"/>
          <w:highlight w:val="none"/>
          <w:u w:val="single"/>
          <w:lang w:val="en-US" w:eastAsia="zh-CN"/>
        </w:rPr>
        <w:t>171天，起尘天数按194天计，则项目静态起尘总量为17.37t</w:t>
      </w:r>
      <w:r>
        <w:rPr>
          <w:rFonts w:hint="default" w:ascii="Times New Roman" w:hAnsi="Times New Roman" w:eastAsia="宋体" w:cs="Times New Roman"/>
          <w:bCs/>
          <w:color w:val="auto"/>
          <w:highlight w:val="none"/>
          <w:u w:val="single"/>
        </w:rPr>
        <w:t>/a。</w:t>
      </w:r>
      <w:r>
        <w:rPr>
          <w:rFonts w:hint="default" w:ascii="Times New Roman" w:hAnsi="Times New Roman" w:eastAsia="宋体" w:cs="Times New Roman"/>
          <w:bCs/>
          <w:color w:val="auto"/>
          <w:highlight w:val="none"/>
          <w:u w:val="none"/>
        </w:rPr>
        <w:t>松散物料扬尘源强与松散物料的湿度、粒度等有关，采取及时洒水碾压，并对已压实的层面进行临时覆盖等措施减少粉尘产生量。</w:t>
      </w:r>
    </w:p>
    <w:p w14:paraId="100510DE">
      <w:pPr>
        <w:ind w:firstLine="416"/>
        <w:rPr>
          <w:rFonts w:hint="eastAsia" w:ascii="Times New Roman" w:hAnsi="Times New Roman" w:eastAsia="宋体" w:cs="Times New Roman"/>
          <w:bCs/>
          <w:color w:val="auto"/>
          <w:highlight w:val="none"/>
          <w:u w:val="none"/>
          <w:lang w:eastAsia="zh-CN"/>
        </w:rPr>
      </w:pPr>
      <w:r>
        <w:rPr>
          <w:rFonts w:hint="eastAsia" w:ascii="Times New Roman" w:cs="Times New Roman"/>
          <w:bCs/>
          <w:color w:val="auto"/>
          <w:highlight w:val="none"/>
          <w:u w:val="none"/>
          <w:lang w:eastAsia="zh-CN"/>
        </w:rPr>
        <w:t>③降尘措施</w:t>
      </w:r>
    </w:p>
    <w:p w14:paraId="6AC77BD1">
      <w:pPr>
        <w:ind w:firstLine="416"/>
        <w:rPr>
          <w:rFonts w:hint="default" w:ascii="Times New Roman" w:hAnsi="Times New Roman" w:eastAsia="宋体" w:cs="Times New Roman"/>
          <w:bCs/>
          <w:color w:val="auto"/>
          <w:highlight w:val="none"/>
          <w:u w:val="single"/>
          <w:lang w:val="en-US" w:eastAsia="zh-CN"/>
        </w:rPr>
      </w:pPr>
      <w:r>
        <w:rPr>
          <w:rFonts w:hint="eastAsia" w:ascii="Times New Roman" w:cs="Times New Roman"/>
          <w:bCs/>
          <w:color w:val="auto"/>
          <w:highlight w:val="none"/>
          <w:u w:val="single"/>
          <w:lang w:eastAsia="zh-CN"/>
        </w:rPr>
        <w:t>项目位于施工区边界设置施工围挡，施工过程中对临时中转及道路回填区进行洒水降尘。</w:t>
      </w:r>
      <w:r>
        <w:rPr>
          <w:rFonts w:hint="default" w:ascii="Times New Roman" w:hAnsi="Times New Roman" w:eastAsia="宋体" w:cs="Times New Roman"/>
          <w:bCs/>
          <w:color w:val="auto"/>
          <w:highlight w:val="none"/>
          <w:u w:val="none"/>
        </w:rPr>
        <w:t>根据《排放源统计调查产排污核算方法和系数手册》（公告 2021年 第24号）—</w:t>
      </w:r>
      <w:r>
        <w:rPr>
          <w:rFonts w:hint="eastAsia" w:ascii="Times New Roman" w:cs="Times New Roman"/>
          <w:bCs/>
          <w:color w:val="auto"/>
          <w:highlight w:val="none"/>
          <w:u w:val="none"/>
          <w:lang w:val="en-US" w:eastAsia="zh-CN"/>
        </w:rPr>
        <w:t>-</w:t>
      </w:r>
      <w:r>
        <w:rPr>
          <w:rFonts w:hint="default" w:ascii="Times New Roman" w:hAnsi="Times New Roman" w:eastAsia="宋体" w:cs="Times New Roman"/>
          <w:bCs/>
          <w:color w:val="auto"/>
          <w:highlight w:val="none"/>
          <w:u w:val="none"/>
        </w:rPr>
        <w:t>附表2工业源固体物料堆场颗粒物核算系数手册</w:t>
      </w:r>
      <w:r>
        <w:rPr>
          <w:rFonts w:hint="eastAsia" w:ascii="Times New Roman" w:cs="Times New Roman"/>
          <w:bCs/>
          <w:color w:val="auto"/>
          <w:highlight w:val="none"/>
          <w:u w:val="none"/>
          <w:lang w:val="en-US" w:eastAsia="zh-CN"/>
        </w:rPr>
        <w:t>-</w:t>
      </w:r>
      <w:r>
        <w:rPr>
          <w:rFonts w:hint="eastAsia" w:ascii="Times New Roman" w:cs="Times New Roman"/>
          <w:bCs/>
          <w:color w:val="auto"/>
          <w:highlight w:val="none"/>
          <w:u w:val="single"/>
          <w:lang w:eastAsia="zh-CN"/>
        </w:rPr>
        <w:t>附录</w:t>
      </w:r>
      <w:r>
        <w:rPr>
          <w:rFonts w:hint="eastAsia" w:ascii="Times New Roman" w:cs="Times New Roman"/>
          <w:bCs/>
          <w:color w:val="auto"/>
          <w:highlight w:val="none"/>
          <w:u w:val="single"/>
          <w:lang w:val="en-US" w:eastAsia="zh-CN"/>
        </w:rPr>
        <w:t>4</w:t>
      </w:r>
      <w:r>
        <w:rPr>
          <w:rFonts w:hint="default" w:ascii="Times New Roman" w:hAnsi="Times New Roman" w:eastAsia="宋体" w:cs="Times New Roman"/>
          <w:bCs/>
          <w:color w:val="auto"/>
          <w:highlight w:val="none"/>
          <w:u w:val="single"/>
        </w:rPr>
        <w:t>，</w:t>
      </w:r>
      <w:r>
        <w:rPr>
          <w:rFonts w:hint="default" w:ascii="Times New Roman" w:hAnsi="Times New Roman" w:eastAsia="宋体" w:cs="Times New Roman"/>
          <w:bCs/>
          <w:color w:val="auto"/>
          <w:highlight w:val="none"/>
          <w:u w:val="none"/>
        </w:rPr>
        <w:t>洒水控制效率74%，</w:t>
      </w:r>
      <w:r>
        <w:rPr>
          <w:rFonts w:hint="default" w:ascii="Times New Roman" w:hAnsi="Times New Roman" w:eastAsia="宋体" w:cs="Times New Roman"/>
          <w:bCs/>
          <w:color w:val="auto"/>
          <w:highlight w:val="none"/>
          <w:u w:val="single"/>
        </w:rPr>
        <w:t>则堆存扬尘排放量为</w:t>
      </w:r>
      <w:r>
        <w:rPr>
          <w:rFonts w:hint="eastAsia" w:ascii="Times New Roman" w:cs="Times New Roman"/>
          <w:bCs/>
          <w:color w:val="auto"/>
          <w:highlight w:val="none"/>
          <w:u w:val="single"/>
          <w:lang w:val="en-US" w:eastAsia="zh-CN"/>
        </w:rPr>
        <w:t>4.54</w:t>
      </w:r>
      <w:r>
        <w:rPr>
          <w:rFonts w:hint="default" w:ascii="Times New Roman" w:hAnsi="Times New Roman" w:eastAsia="宋体" w:cs="Times New Roman"/>
          <w:bCs/>
          <w:color w:val="auto"/>
          <w:highlight w:val="none"/>
          <w:u w:val="single"/>
        </w:rPr>
        <w:t>t/a。</w:t>
      </w:r>
    </w:p>
    <w:p w14:paraId="4B3B0CA3">
      <w:pPr>
        <w:pStyle w:val="410"/>
        <w:numPr>
          <w:ilvl w:val="0"/>
          <w:numId w:val="32"/>
        </w:numPr>
        <w:ind w:left="0" w:leftChars="0" w:firstLine="416" w:firstLineChars="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淤泥恶臭</w:t>
      </w:r>
    </w:p>
    <w:p w14:paraId="2275F58A">
      <w:pPr>
        <w:ind w:firstLine="416"/>
        <w:rPr>
          <w:rFonts w:hint="default" w:ascii="Times New Roman" w:hAnsi="Times New Roman" w:eastAsia="宋体" w:cs="Times New Roman"/>
          <w:bCs/>
          <w:color w:val="auto"/>
          <w:highlight w:val="none"/>
          <w:u w:val="none"/>
        </w:rPr>
      </w:pPr>
      <w:r>
        <w:rPr>
          <w:rFonts w:hint="default" w:ascii="Times New Roman" w:hAnsi="Times New Roman" w:eastAsia="宋体" w:cs="Times New Roman"/>
          <w:bCs/>
          <w:color w:val="auto"/>
          <w:highlight w:val="none"/>
          <w:u w:val="none"/>
        </w:rPr>
        <w:t>在</w:t>
      </w:r>
      <w:r>
        <w:rPr>
          <w:rFonts w:hint="default" w:ascii="Times New Roman" w:hAnsi="Times New Roman" w:eastAsia="宋体" w:cs="Times New Roman"/>
          <w:bCs/>
          <w:color w:val="auto"/>
          <w:highlight w:val="none"/>
          <w:u w:val="none"/>
          <w:lang w:val="en-US" w:eastAsia="zh-CN"/>
        </w:rPr>
        <w:t>水系改造</w:t>
      </w:r>
      <w:r>
        <w:rPr>
          <w:rFonts w:hint="eastAsia" w:ascii="Times New Roman" w:cs="Times New Roman"/>
          <w:bCs/>
          <w:color w:val="auto"/>
          <w:highlight w:val="none"/>
          <w:u w:val="none"/>
          <w:lang w:val="en-US" w:eastAsia="zh-CN"/>
        </w:rPr>
        <w:t>段</w:t>
      </w:r>
      <w:r>
        <w:rPr>
          <w:rFonts w:hint="default" w:ascii="Times New Roman" w:hAnsi="Times New Roman" w:eastAsia="宋体" w:cs="Times New Roman"/>
          <w:bCs/>
          <w:color w:val="auto"/>
          <w:highlight w:val="none"/>
          <w:u w:val="none"/>
        </w:rPr>
        <w:t>开挖过程中会产生少量淤泥，</w:t>
      </w:r>
      <w:r>
        <w:rPr>
          <w:rFonts w:hint="eastAsia" w:ascii="Times New Roman" w:cs="Times New Roman"/>
          <w:bCs/>
          <w:color w:val="auto"/>
          <w:highlight w:val="none"/>
          <w:u w:val="none"/>
          <w:lang w:eastAsia="zh-CN"/>
        </w:rPr>
        <w:t>淤泥上岸置于临时中转场内晒干后用于回填路基边坡的绿化覆土。</w:t>
      </w:r>
      <w:r>
        <w:rPr>
          <w:rFonts w:hint="default" w:ascii="Times New Roman" w:hAnsi="Times New Roman" w:eastAsia="宋体" w:cs="Times New Roman"/>
          <w:bCs/>
          <w:color w:val="auto"/>
          <w:highlight w:val="none"/>
          <w:u w:val="none"/>
        </w:rPr>
        <w:t>淤泥堆放及淤泥运输过程中会产生臭气。</w:t>
      </w:r>
      <w:r>
        <w:rPr>
          <w:rFonts w:hint="eastAsia" w:ascii="Times New Roman" w:cs="Times New Roman"/>
          <w:bCs/>
          <w:color w:val="auto"/>
          <w:highlight w:val="none"/>
          <w:u w:val="single"/>
          <w:lang w:eastAsia="zh-CN"/>
        </w:rPr>
        <w:t>本环评采用臭气强度评价法（臭气强度表示法是通过人的觉测试，用规定的等级表示臭气强弱的方法）并类比同类工程的经验数值进行估算。</w:t>
      </w:r>
    </w:p>
    <w:p w14:paraId="7011750E">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bCs w:val="0"/>
          <w:color w:val="auto"/>
          <w:highlight w:val="none"/>
          <w:u w:val="single"/>
        </w:rPr>
      </w:pPr>
      <w:r>
        <w:rPr>
          <w:rFonts w:hint="eastAsia" w:eastAsia="宋体" w:cs="Times New Roman"/>
          <w:b/>
          <w:bCs w:val="0"/>
          <w:color w:val="auto"/>
          <w:highlight w:val="none"/>
          <w:u w:val="single"/>
          <w:lang w:val="en-US" w:eastAsia="zh-CN"/>
        </w:rPr>
        <w:t xml:space="preserve">  臭气强度分级表</w:t>
      </w:r>
    </w:p>
    <w:tbl>
      <w:tblPr>
        <w:tblStyle w:val="87"/>
        <w:tblW w:w="4999"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2807"/>
        <w:gridCol w:w="6019"/>
      </w:tblGrid>
      <w:tr w14:paraId="7F152C5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1590" w:type="pct"/>
            <w:tcBorders>
              <w:tl2br w:val="nil"/>
              <w:tr2bl w:val="nil"/>
            </w:tcBorders>
            <w:noWrap w:val="0"/>
            <w:vAlign w:val="center"/>
          </w:tcPr>
          <w:p w14:paraId="330CB62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b/>
                <w:bCs/>
                <w:color w:val="auto"/>
                <w:sz w:val="21"/>
                <w:szCs w:val="21"/>
                <w:highlight w:val="none"/>
                <w:u w:val="single"/>
                <w:lang w:eastAsia="zh-CN"/>
              </w:rPr>
            </w:pPr>
            <w:r>
              <w:rPr>
                <w:rFonts w:hint="eastAsia" w:ascii="Times New Roman" w:cs="Times New Roman"/>
                <w:b/>
                <w:bCs/>
                <w:color w:val="auto"/>
                <w:sz w:val="21"/>
                <w:szCs w:val="21"/>
                <w:highlight w:val="none"/>
                <w:u w:val="single"/>
                <w:lang w:eastAsia="zh-CN"/>
              </w:rPr>
              <w:t>臭气强度</w:t>
            </w:r>
          </w:p>
        </w:tc>
        <w:tc>
          <w:tcPr>
            <w:tcW w:w="3409" w:type="pct"/>
            <w:tcBorders>
              <w:tl2br w:val="nil"/>
              <w:tr2bl w:val="nil"/>
            </w:tcBorders>
            <w:noWrap w:val="0"/>
            <w:vAlign w:val="center"/>
          </w:tcPr>
          <w:p w14:paraId="3BD5EAF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b/>
                <w:bCs/>
                <w:color w:val="auto"/>
                <w:sz w:val="21"/>
                <w:szCs w:val="21"/>
                <w:highlight w:val="none"/>
                <w:u w:val="single"/>
                <w:lang w:eastAsia="zh-CN"/>
              </w:rPr>
            </w:pPr>
            <w:r>
              <w:rPr>
                <w:rFonts w:hint="eastAsia" w:ascii="Times New Roman" w:cs="Times New Roman"/>
                <w:b/>
                <w:bCs/>
                <w:color w:val="auto"/>
                <w:sz w:val="21"/>
                <w:szCs w:val="21"/>
                <w:highlight w:val="none"/>
                <w:u w:val="single"/>
                <w:lang w:eastAsia="zh-CN"/>
              </w:rPr>
              <w:t>感觉强度描述</w:t>
            </w:r>
          </w:p>
        </w:tc>
      </w:tr>
      <w:tr w14:paraId="2D20F71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1590" w:type="pct"/>
            <w:tcBorders>
              <w:tl2br w:val="nil"/>
              <w:tr2bl w:val="nil"/>
            </w:tcBorders>
            <w:noWrap w:val="0"/>
            <w:vAlign w:val="center"/>
          </w:tcPr>
          <w:p w14:paraId="5E9795D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cs="Times New Roman"/>
                <w:color w:val="auto"/>
                <w:sz w:val="21"/>
                <w:szCs w:val="21"/>
                <w:highlight w:val="none"/>
                <w:u w:val="single"/>
                <w:lang w:val="en-US" w:eastAsia="zh-CN"/>
              </w:rPr>
              <w:t>0</w:t>
            </w:r>
          </w:p>
        </w:tc>
        <w:tc>
          <w:tcPr>
            <w:tcW w:w="3409" w:type="pct"/>
            <w:tcBorders>
              <w:tl2br w:val="nil"/>
              <w:tr2bl w:val="nil"/>
            </w:tcBorders>
            <w:noWrap w:val="0"/>
            <w:vAlign w:val="center"/>
          </w:tcPr>
          <w:p w14:paraId="6E8F0EB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z w:val="21"/>
                <w:szCs w:val="21"/>
                <w:highlight w:val="none"/>
                <w:u w:val="single"/>
                <w:lang w:eastAsia="zh-CN"/>
              </w:rPr>
            </w:pPr>
            <w:r>
              <w:rPr>
                <w:rFonts w:hint="eastAsia" w:ascii="Times New Roman" w:cs="Times New Roman"/>
                <w:color w:val="auto"/>
                <w:sz w:val="21"/>
                <w:szCs w:val="21"/>
                <w:highlight w:val="none"/>
                <w:u w:val="single"/>
                <w:lang w:eastAsia="zh-CN"/>
              </w:rPr>
              <w:t>无臭味</w:t>
            </w:r>
          </w:p>
        </w:tc>
      </w:tr>
      <w:tr w14:paraId="2E5BCD4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1590" w:type="pct"/>
            <w:tcBorders>
              <w:tl2br w:val="nil"/>
              <w:tr2bl w:val="nil"/>
            </w:tcBorders>
            <w:noWrap w:val="0"/>
            <w:vAlign w:val="center"/>
          </w:tcPr>
          <w:p w14:paraId="6BE2D34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cs="Times New Roman"/>
                <w:color w:val="auto"/>
                <w:sz w:val="21"/>
                <w:szCs w:val="21"/>
                <w:highlight w:val="none"/>
                <w:u w:val="single"/>
                <w:lang w:val="en-US" w:eastAsia="zh-CN"/>
              </w:rPr>
              <w:t>1</w:t>
            </w:r>
          </w:p>
        </w:tc>
        <w:tc>
          <w:tcPr>
            <w:tcW w:w="3409" w:type="pct"/>
            <w:tcBorders>
              <w:tl2br w:val="nil"/>
              <w:tr2bl w:val="nil"/>
            </w:tcBorders>
            <w:noWrap w:val="0"/>
            <w:vAlign w:val="center"/>
          </w:tcPr>
          <w:p w14:paraId="6ADB5EF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z w:val="21"/>
                <w:szCs w:val="21"/>
                <w:highlight w:val="none"/>
                <w:u w:val="single"/>
                <w:lang w:eastAsia="zh-CN"/>
              </w:rPr>
            </w:pPr>
            <w:r>
              <w:rPr>
                <w:rFonts w:hint="eastAsia" w:ascii="Times New Roman" w:cs="Times New Roman"/>
                <w:color w:val="auto"/>
                <w:sz w:val="21"/>
                <w:szCs w:val="21"/>
                <w:highlight w:val="none"/>
                <w:u w:val="single"/>
                <w:lang w:eastAsia="zh-CN"/>
              </w:rPr>
              <w:t>勉强可感觉到气味（感觉阈值）</w:t>
            </w:r>
          </w:p>
        </w:tc>
      </w:tr>
      <w:tr w14:paraId="544BA18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1590" w:type="pct"/>
            <w:tcBorders>
              <w:tl2br w:val="nil"/>
              <w:tr2bl w:val="nil"/>
            </w:tcBorders>
            <w:noWrap w:val="0"/>
            <w:vAlign w:val="center"/>
          </w:tcPr>
          <w:p w14:paraId="131F017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cs="Times New Roman"/>
                <w:color w:val="auto"/>
                <w:sz w:val="21"/>
                <w:szCs w:val="21"/>
                <w:highlight w:val="none"/>
                <w:u w:val="single"/>
                <w:lang w:val="en-US" w:eastAsia="zh-CN"/>
              </w:rPr>
              <w:t>2</w:t>
            </w:r>
          </w:p>
        </w:tc>
        <w:tc>
          <w:tcPr>
            <w:tcW w:w="3409" w:type="pct"/>
            <w:tcBorders>
              <w:tl2br w:val="nil"/>
              <w:tr2bl w:val="nil"/>
            </w:tcBorders>
            <w:noWrap w:val="0"/>
            <w:vAlign w:val="center"/>
          </w:tcPr>
          <w:p w14:paraId="7329A53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cs="Times New Roman"/>
                <w:color w:val="auto"/>
                <w:sz w:val="21"/>
                <w:szCs w:val="21"/>
                <w:highlight w:val="none"/>
                <w:u w:val="single"/>
                <w:lang w:eastAsia="zh-CN"/>
              </w:rPr>
            </w:pPr>
            <w:r>
              <w:rPr>
                <w:rFonts w:hint="eastAsia" w:ascii="Times New Roman" w:cs="Times New Roman"/>
                <w:color w:val="auto"/>
                <w:sz w:val="21"/>
                <w:szCs w:val="21"/>
                <w:highlight w:val="none"/>
                <w:u w:val="single"/>
                <w:lang w:eastAsia="zh-CN"/>
              </w:rPr>
              <w:t>气味很弱但能分辨其性质（识别阈值）</w:t>
            </w:r>
          </w:p>
        </w:tc>
      </w:tr>
      <w:tr w14:paraId="2D89BA4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1590" w:type="pct"/>
            <w:tcBorders>
              <w:tl2br w:val="nil"/>
              <w:tr2bl w:val="nil"/>
            </w:tcBorders>
            <w:noWrap w:val="0"/>
            <w:vAlign w:val="center"/>
          </w:tcPr>
          <w:p w14:paraId="180E8BD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cs="Times New Roman"/>
                <w:color w:val="auto"/>
                <w:sz w:val="21"/>
                <w:szCs w:val="21"/>
                <w:highlight w:val="none"/>
                <w:u w:val="single"/>
                <w:lang w:val="en-US" w:eastAsia="zh-CN"/>
              </w:rPr>
              <w:t>3</w:t>
            </w:r>
          </w:p>
        </w:tc>
        <w:tc>
          <w:tcPr>
            <w:tcW w:w="3409" w:type="pct"/>
            <w:tcBorders>
              <w:tl2br w:val="nil"/>
              <w:tr2bl w:val="nil"/>
            </w:tcBorders>
            <w:noWrap w:val="0"/>
            <w:vAlign w:val="center"/>
          </w:tcPr>
          <w:p w14:paraId="2F9E539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cs="Times New Roman"/>
                <w:color w:val="auto"/>
                <w:sz w:val="21"/>
                <w:szCs w:val="21"/>
                <w:highlight w:val="none"/>
                <w:u w:val="single"/>
                <w:lang w:eastAsia="zh-CN"/>
              </w:rPr>
            </w:pPr>
            <w:r>
              <w:rPr>
                <w:rFonts w:hint="eastAsia" w:ascii="Times New Roman" w:cs="Times New Roman"/>
                <w:color w:val="auto"/>
                <w:sz w:val="21"/>
                <w:szCs w:val="21"/>
                <w:highlight w:val="none"/>
                <w:u w:val="single"/>
                <w:lang w:eastAsia="zh-CN"/>
              </w:rPr>
              <w:t>很容易感觉到气味</w:t>
            </w:r>
          </w:p>
        </w:tc>
      </w:tr>
      <w:tr w14:paraId="25965C6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1590" w:type="pct"/>
            <w:tcBorders>
              <w:tl2br w:val="nil"/>
              <w:tr2bl w:val="nil"/>
            </w:tcBorders>
            <w:shd w:val="clear" w:color="auto" w:fill="auto"/>
            <w:noWrap w:val="0"/>
            <w:vAlign w:val="center"/>
          </w:tcPr>
          <w:p w14:paraId="09C71C4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z w:val="21"/>
                <w:szCs w:val="21"/>
                <w:highlight w:val="none"/>
                <w:u w:val="single"/>
                <w:lang w:val="en-US" w:eastAsia="zh-CN" w:bidi="ar-SA"/>
              </w:rPr>
            </w:pPr>
            <w:r>
              <w:rPr>
                <w:rFonts w:hint="eastAsia" w:ascii="Times New Roman" w:cs="Times New Roman"/>
                <w:color w:val="auto"/>
                <w:sz w:val="21"/>
                <w:szCs w:val="21"/>
                <w:highlight w:val="none"/>
                <w:u w:val="single"/>
                <w:lang w:val="en-US" w:eastAsia="zh-CN"/>
              </w:rPr>
              <w:t>4</w:t>
            </w:r>
          </w:p>
        </w:tc>
        <w:tc>
          <w:tcPr>
            <w:tcW w:w="3409" w:type="pct"/>
            <w:tcBorders>
              <w:tl2br w:val="nil"/>
              <w:tr2bl w:val="nil"/>
            </w:tcBorders>
            <w:noWrap w:val="0"/>
            <w:vAlign w:val="center"/>
          </w:tcPr>
          <w:p w14:paraId="14A54D4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cs="Times New Roman"/>
                <w:color w:val="auto"/>
                <w:sz w:val="21"/>
                <w:szCs w:val="21"/>
                <w:highlight w:val="none"/>
                <w:u w:val="single"/>
                <w:lang w:eastAsia="zh-CN"/>
              </w:rPr>
            </w:pPr>
            <w:r>
              <w:rPr>
                <w:rFonts w:hint="eastAsia" w:ascii="Times New Roman" w:cs="Times New Roman"/>
                <w:color w:val="auto"/>
                <w:sz w:val="21"/>
                <w:szCs w:val="21"/>
                <w:highlight w:val="none"/>
                <w:u w:val="single"/>
                <w:lang w:eastAsia="zh-CN"/>
              </w:rPr>
              <w:t>强烈的气味</w:t>
            </w:r>
          </w:p>
        </w:tc>
      </w:tr>
      <w:tr w14:paraId="6F38AE7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1590" w:type="pct"/>
            <w:tcBorders>
              <w:tl2br w:val="nil"/>
              <w:tr2bl w:val="nil"/>
            </w:tcBorders>
            <w:shd w:val="clear" w:color="auto" w:fill="auto"/>
            <w:noWrap w:val="0"/>
            <w:vAlign w:val="center"/>
          </w:tcPr>
          <w:p w14:paraId="66CD061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z w:val="21"/>
                <w:szCs w:val="21"/>
                <w:highlight w:val="none"/>
                <w:u w:val="single"/>
                <w:lang w:val="en-US" w:eastAsia="zh-CN" w:bidi="ar-SA"/>
              </w:rPr>
            </w:pPr>
            <w:r>
              <w:rPr>
                <w:rFonts w:hint="eastAsia" w:ascii="Times New Roman" w:cs="Times New Roman"/>
                <w:color w:val="auto"/>
                <w:sz w:val="21"/>
                <w:szCs w:val="21"/>
                <w:highlight w:val="none"/>
                <w:u w:val="single"/>
                <w:lang w:val="en-US" w:eastAsia="zh-CN"/>
              </w:rPr>
              <w:t>5</w:t>
            </w:r>
          </w:p>
        </w:tc>
        <w:tc>
          <w:tcPr>
            <w:tcW w:w="3409" w:type="pct"/>
            <w:tcBorders>
              <w:tl2br w:val="nil"/>
              <w:tr2bl w:val="nil"/>
            </w:tcBorders>
            <w:noWrap w:val="0"/>
            <w:vAlign w:val="center"/>
          </w:tcPr>
          <w:p w14:paraId="29F7151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cs="Times New Roman"/>
                <w:color w:val="auto"/>
                <w:sz w:val="21"/>
                <w:szCs w:val="21"/>
                <w:highlight w:val="none"/>
                <w:u w:val="single"/>
                <w:lang w:eastAsia="zh-CN"/>
              </w:rPr>
            </w:pPr>
            <w:r>
              <w:rPr>
                <w:rFonts w:hint="eastAsia" w:ascii="Times New Roman" w:cs="Times New Roman"/>
                <w:color w:val="auto"/>
                <w:sz w:val="21"/>
                <w:szCs w:val="21"/>
                <w:highlight w:val="none"/>
                <w:u w:val="single"/>
                <w:lang w:eastAsia="zh-CN"/>
              </w:rPr>
              <w:t>无法忍受的极强气味</w:t>
            </w:r>
          </w:p>
        </w:tc>
      </w:tr>
    </w:tbl>
    <w:p w14:paraId="0CA0A40A">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bCs w:val="0"/>
          <w:color w:val="auto"/>
          <w:highlight w:val="none"/>
          <w:u w:val="single"/>
        </w:rPr>
      </w:pPr>
      <w:r>
        <w:rPr>
          <w:rFonts w:hint="eastAsia" w:eastAsia="宋体" w:cs="Times New Roman"/>
          <w:b/>
          <w:bCs w:val="0"/>
          <w:color w:val="auto"/>
          <w:highlight w:val="none"/>
          <w:u w:val="single"/>
          <w:lang w:eastAsia="zh-CN"/>
        </w:rPr>
        <w:t>恶臭物质浓度与臭气强度关系</w:t>
      </w:r>
    </w:p>
    <w:tbl>
      <w:tblPr>
        <w:tblStyle w:val="87"/>
        <w:tblW w:w="4998"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1970"/>
        <w:gridCol w:w="3276"/>
        <w:gridCol w:w="3578"/>
      </w:tblGrid>
      <w:tr w14:paraId="2C62320B">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1116" w:type="pct"/>
            <w:tcBorders>
              <w:tl2br w:val="nil"/>
              <w:tr2bl w:val="nil"/>
            </w:tcBorders>
            <w:noWrap w:val="0"/>
            <w:vAlign w:val="center"/>
          </w:tcPr>
          <w:p w14:paraId="75839CA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b/>
                <w:bCs/>
                <w:color w:val="auto"/>
                <w:sz w:val="21"/>
                <w:szCs w:val="21"/>
                <w:highlight w:val="none"/>
                <w:u w:val="single"/>
                <w:lang w:eastAsia="zh-CN"/>
              </w:rPr>
            </w:pPr>
            <w:r>
              <w:rPr>
                <w:rFonts w:hint="eastAsia" w:ascii="Times New Roman" w:cs="Times New Roman"/>
                <w:b/>
                <w:bCs/>
                <w:color w:val="auto"/>
                <w:sz w:val="21"/>
                <w:szCs w:val="21"/>
                <w:highlight w:val="none"/>
                <w:u w:val="single"/>
                <w:lang w:eastAsia="zh-CN"/>
              </w:rPr>
              <w:t>臭气强度等级</w:t>
            </w:r>
          </w:p>
        </w:tc>
        <w:tc>
          <w:tcPr>
            <w:tcW w:w="1856" w:type="pct"/>
            <w:tcBorders>
              <w:tl2br w:val="nil"/>
              <w:tr2bl w:val="nil"/>
            </w:tcBorders>
            <w:noWrap w:val="0"/>
            <w:vAlign w:val="center"/>
          </w:tcPr>
          <w:p w14:paraId="074D497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b/>
                <w:bCs/>
                <w:color w:val="auto"/>
                <w:sz w:val="21"/>
                <w:szCs w:val="21"/>
                <w:highlight w:val="none"/>
                <w:u w:val="single"/>
                <w:lang w:eastAsia="zh-CN"/>
              </w:rPr>
            </w:pPr>
            <w:r>
              <w:rPr>
                <w:rFonts w:hint="eastAsia" w:ascii="Times New Roman" w:cs="Times New Roman"/>
                <w:color w:val="auto"/>
                <w:sz w:val="21"/>
                <w:szCs w:val="21"/>
                <w:highlight w:val="none"/>
                <w:u w:val="single"/>
                <w:lang w:eastAsia="zh-CN"/>
              </w:rPr>
              <w:t>NH</w:t>
            </w:r>
            <w:r>
              <w:rPr>
                <w:rFonts w:hint="eastAsia" w:ascii="Times New Roman" w:cs="Times New Roman"/>
                <w:color w:val="auto"/>
                <w:sz w:val="21"/>
                <w:szCs w:val="21"/>
                <w:highlight w:val="none"/>
                <w:u w:val="single"/>
                <w:vertAlign w:val="subscript"/>
                <w:lang w:eastAsia="zh-CN"/>
              </w:rPr>
              <w:t>3</w:t>
            </w:r>
            <w:r>
              <w:rPr>
                <w:rFonts w:hint="eastAsia" w:ascii="Times New Roman" w:cs="Times New Roman"/>
                <w:color w:val="auto"/>
                <w:sz w:val="21"/>
                <w:szCs w:val="21"/>
                <w:highlight w:val="none"/>
                <w:u w:val="single"/>
                <w:lang w:eastAsia="zh-CN"/>
              </w:rPr>
              <w:t xml:space="preserve"> 浓度（mg/m</w:t>
            </w:r>
            <w:r>
              <w:rPr>
                <w:rFonts w:hint="eastAsia" w:ascii="Times New Roman" w:cs="Times New Roman"/>
                <w:color w:val="auto"/>
                <w:sz w:val="21"/>
                <w:szCs w:val="21"/>
                <w:highlight w:val="none"/>
                <w:u w:val="single"/>
                <w:vertAlign w:val="superscript"/>
                <w:lang w:eastAsia="zh-CN"/>
              </w:rPr>
              <w:t>3</w:t>
            </w:r>
            <w:r>
              <w:rPr>
                <w:rFonts w:hint="eastAsia" w:ascii="Times New Roman" w:cs="Times New Roman"/>
                <w:color w:val="auto"/>
                <w:sz w:val="21"/>
                <w:szCs w:val="21"/>
                <w:highlight w:val="none"/>
                <w:u w:val="single"/>
                <w:lang w:eastAsia="zh-CN"/>
              </w:rPr>
              <w:t>）</w:t>
            </w:r>
          </w:p>
        </w:tc>
        <w:tc>
          <w:tcPr>
            <w:tcW w:w="2027" w:type="pct"/>
            <w:tcBorders>
              <w:tl2br w:val="nil"/>
              <w:tr2bl w:val="nil"/>
            </w:tcBorders>
            <w:noWrap w:val="0"/>
            <w:vAlign w:val="center"/>
          </w:tcPr>
          <w:p w14:paraId="5A9A424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cs="Times New Roman"/>
                <w:b/>
                <w:bCs/>
                <w:color w:val="auto"/>
                <w:sz w:val="21"/>
                <w:szCs w:val="21"/>
                <w:highlight w:val="none"/>
                <w:u w:val="single"/>
                <w:lang w:eastAsia="zh-CN"/>
              </w:rPr>
            </w:pPr>
            <w:r>
              <w:rPr>
                <w:rFonts w:hint="eastAsia" w:ascii="Times New Roman" w:cs="Times New Roman"/>
                <w:color w:val="auto"/>
                <w:sz w:val="21"/>
                <w:szCs w:val="21"/>
                <w:highlight w:val="none"/>
                <w:u w:val="single"/>
                <w:lang w:eastAsia="zh-CN"/>
              </w:rPr>
              <w:t>H</w:t>
            </w:r>
            <w:r>
              <w:rPr>
                <w:rFonts w:hint="eastAsia" w:ascii="Times New Roman" w:cs="Times New Roman"/>
                <w:color w:val="auto"/>
                <w:sz w:val="21"/>
                <w:szCs w:val="21"/>
                <w:highlight w:val="none"/>
                <w:u w:val="single"/>
                <w:vertAlign w:val="subscript"/>
                <w:lang w:eastAsia="zh-CN"/>
              </w:rPr>
              <w:t>2</w:t>
            </w:r>
            <w:r>
              <w:rPr>
                <w:rFonts w:hint="eastAsia" w:ascii="Times New Roman" w:cs="Times New Roman"/>
                <w:color w:val="auto"/>
                <w:sz w:val="21"/>
                <w:szCs w:val="21"/>
                <w:highlight w:val="none"/>
                <w:u w:val="single"/>
                <w:lang w:eastAsia="zh-CN"/>
              </w:rPr>
              <w:t>S 浓度（mg/m</w:t>
            </w:r>
            <w:r>
              <w:rPr>
                <w:rFonts w:hint="eastAsia" w:ascii="Times New Roman" w:cs="Times New Roman"/>
                <w:color w:val="auto"/>
                <w:sz w:val="21"/>
                <w:szCs w:val="21"/>
                <w:highlight w:val="none"/>
                <w:u w:val="single"/>
                <w:vertAlign w:val="superscript"/>
                <w:lang w:eastAsia="zh-CN"/>
              </w:rPr>
              <w:t>3</w:t>
            </w:r>
            <w:r>
              <w:rPr>
                <w:rFonts w:hint="eastAsia" w:ascii="Times New Roman" w:cs="Times New Roman"/>
                <w:color w:val="auto"/>
                <w:sz w:val="21"/>
                <w:szCs w:val="21"/>
                <w:highlight w:val="none"/>
                <w:u w:val="single"/>
                <w:lang w:eastAsia="zh-CN"/>
              </w:rPr>
              <w:t>）</w:t>
            </w:r>
          </w:p>
        </w:tc>
      </w:tr>
      <w:tr w14:paraId="1E21054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1116" w:type="pct"/>
            <w:tcBorders>
              <w:tl2br w:val="nil"/>
              <w:tr2bl w:val="nil"/>
            </w:tcBorders>
            <w:noWrap w:val="0"/>
            <w:vAlign w:val="center"/>
          </w:tcPr>
          <w:p w14:paraId="3B2D04D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cs="Times New Roman"/>
                <w:color w:val="auto"/>
                <w:sz w:val="21"/>
                <w:szCs w:val="21"/>
                <w:highlight w:val="none"/>
                <w:u w:val="single"/>
                <w:lang w:val="en-US" w:eastAsia="zh-CN"/>
              </w:rPr>
              <w:t>1</w:t>
            </w:r>
          </w:p>
        </w:tc>
        <w:tc>
          <w:tcPr>
            <w:tcW w:w="1856" w:type="pct"/>
            <w:tcBorders>
              <w:tl2br w:val="nil"/>
              <w:tr2bl w:val="nil"/>
            </w:tcBorders>
            <w:noWrap w:val="0"/>
            <w:vAlign w:val="center"/>
          </w:tcPr>
          <w:p w14:paraId="604BFD1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cs="Times New Roman"/>
                <w:color w:val="auto"/>
                <w:sz w:val="21"/>
                <w:szCs w:val="21"/>
                <w:highlight w:val="none"/>
                <w:u w:val="single"/>
                <w:lang w:val="en-US" w:eastAsia="zh-CN"/>
              </w:rPr>
              <w:t>0.1</w:t>
            </w:r>
          </w:p>
        </w:tc>
        <w:tc>
          <w:tcPr>
            <w:tcW w:w="2027" w:type="pct"/>
            <w:tcBorders>
              <w:tl2br w:val="nil"/>
              <w:tr2bl w:val="nil"/>
            </w:tcBorders>
            <w:noWrap w:val="0"/>
            <w:vAlign w:val="center"/>
          </w:tcPr>
          <w:p w14:paraId="1D0F4EF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eastAsia="宋体" w:cs="Times New Roman"/>
                <w:color w:val="auto"/>
                <w:sz w:val="21"/>
                <w:szCs w:val="21"/>
                <w:highlight w:val="none"/>
                <w:u w:val="single"/>
                <w:lang w:val="en-US" w:eastAsia="zh-CN"/>
              </w:rPr>
            </w:pPr>
            <w:r>
              <w:rPr>
                <w:rFonts w:hint="eastAsia" w:ascii="Times New Roman" w:eastAsia="宋体" w:cs="Times New Roman"/>
                <w:color w:val="auto"/>
                <w:sz w:val="21"/>
                <w:szCs w:val="21"/>
                <w:highlight w:val="none"/>
                <w:u w:val="single"/>
                <w:lang w:val="en-US" w:eastAsia="zh-CN"/>
              </w:rPr>
              <w:t>0.0005</w:t>
            </w:r>
          </w:p>
        </w:tc>
      </w:tr>
      <w:tr w14:paraId="6FD459A9">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1116" w:type="pct"/>
            <w:tcBorders>
              <w:tl2br w:val="nil"/>
              <w:tr2bl w:val="nil"/>
            </w:tcBorders>
            <w:noWrap w:val="0"/>
            <w:vAlign w:val="center"/>
          </w:tcPr>
          <w:p w14:paraId="2B3A590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cs="Times New Roman"/>
                <w:color w:val="auto"/>
                <w:sz w:val="21"/>
                <w:szCs w:val="21"/>
                <w:highlight w:val="none"/>
                <w:u w:val="single"/>
                <w:lang w:val="en-US" w:eastAsia="zh-CN"/>
              </w:rPr>
              <w:t>2</w:t>
            </w:r>
          </w:p>
        </w:tc>
        <w:tc>
          <w:tcPr>
            <w:tcW w:w="1856" w:type="pct"/>
            <w:tcBorders>
              <w:tl2br w:val="nil"/>
              <w:tr2bl w:val="nil"/>
            </w:tcBorders>
            <w:noWrap w:val="0"/>
            <w:vAlign w:val="center"/>
          </w:tcPr>
          <w:p w14:paraId="274B729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cs="Times New Roman"/>
                <w:color w:val="auto"/>
                <w:sz w:val="21"/>
                <w:szCs w:val="21"/>
                <w:highlight w:val="none"/>
                <w:u w:val="single"/>
                <w:lang w:val="en-US" w:eastAsia="zh-CN"/>
              </w:rPr>
            </w:pPr>
            <w:r>
              <w:rPr>
                <w:rFonts w:hint="eastAsia" w:ascii="Times New Roman" w:cs="Times New Roman"/>
                <w:color w:val="auto"/>
                <w:sz w:val="21"/>
                <w:szCs w:val="21"/>
                <w:highlight w:val="none"/>
                <w:u w:val="single"/>
                <w:lang w:val="en-US" w:eastAsia="zh-CN"/>
              </w:rPr>
              <w:t>0.5</w:t>
            </w:r>
          </w:p>
        </w:tc>
        <w:tc>
          <w:tcPr>
            <w:tcW w:w="2027" w:type="pct"/>
            <w:tcBorders>
              <w:tl2br w:val="nil"/>
              <w:tr2bl w:val="nil"/>
            </w:tcBorders>
            <w:noWrap w:val="0"/>
            <w:vAlign w:val="center"/>
          </w:tcPr>
          <w:p w14:paraId="6932C0F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eastAsia="宋体" w:cs="Times New Roman"/>
                <w:color w:val="auto"/>
                <w:sz w:val="21"/>
                <w:szCs w:val="21"/>
                <w:highlight w:val="none"/>
                <w:u w:val="single"/>
                <w:lang w:val="en-US" w:eastAsia="zh-CN"/>
              </w:rPr>
            </w:pPr>
            <w:r>
              <w:rPr>
                <w:rFonts w:hint="eastAsia" w:ascii="Times New Roman" w:eastAsia="宋体" w:cs="Times New Roman"/>
                <w:color w:val="auto"/>
                <w:sz w:val="21"/>
                <w:szCs w:val="21"/>
                <w:highlight w:val="none"/>
                <w:u w:val="single"/>
                <w:lang w:val="en-US" w:eastAsia="zh-CN"/>
              </w:rPr>
              <w:t>0.006</w:t>
            </w:r>
          </w:p>
        </w:tc>
      </w:tr>
      <w:tr w14:paraId="3203F66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1116" w:type="pct"/>
            <w:tcBorders>
              <w:tl2br w:val="nil"/>
              <w:tr2bl w:val="nil"/>
            </w:tcBorders>
            <w:noWrap w:val="0"/>
            <w:vAlign w:val="center"/>
          </w:tcPr>
          <w:p w14:paraId="03D1711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cs="Times New Roman"/>
                <w:color w:val="auto"/>
                <w:sz w:val="21"/>
                <w:szCs w:val="21"/>
                <w:highlight w:val="none"/>
                <w:u w:val="single"/>
                <w:lang w:val="en-US" w:eastAsia="zh-CN"/>
              </w:rPr>
              <w:t>2.5</w:t>
            </w:r>
          </w:p>
        </w:tc>
        <w:tc>
          <w:tcPr>
            <w:tcW w:w="1856" w:type="pct"/>
            <w:tcBorders>
              <w:tl2br w:val="nil"/>
              <w:tr2bl w:val="nil"/>
            </w:tcBorders>
            <w:noWrap w:val="0"/>
            <w:vAlign w:val="center"/>
          </w:tcPr>
          <w:p w14:paraId="57219B1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cs="Times New Roman"/>
                <w:color w:val="auto"/>
                <w:sz w:val="21"/>
                <w:szCs w:val="21"/>
                <w:highlight w:val="none"/>
                <w:u w:val="single"/>
                <w:lang w:val="en-US" w:eastAsia="zh-CN"/>
              </w:rPr>
            </w:pPr>
            <w:r>
              <w:rPr>
                <w:rFonts w:hint="eastAsia" w:ascii="Times New Roman" w:cs="Times New Roman"/>
                <w:color w:val="auto"/>
                <w:sz w:val="21"/>
                <w:szCs w:val="21"/>
                <w:highlight w:val="none"/>
                <w:u w:val="single"/>
                <w:lang w:val="en-US" w:eastAsia="zh-CN"/>
              </w:rPr>
              <w:t>1.0</w:t>
            </w:r>
          </w:p>
        </w:tc>
        <w:tc>
          <w:tcPr>
            <w:tcW w:w="2027" w:type="pct"/>
            <w:tcBorders>
              <w:tl2br w:val="nil"/>
              <w:tr2bl w:val="nil"/>
            </w:tcBorders>
            <w:noWrap w:val="0"/>
            <w:vAlign w:val="center"/>
          </w:tcPr>
          <w:p w14:paraId="442E8B6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eastAsia="宋体" w:cs="Times New Roman"/>
                <w:color w:val="auto"/>
                <w:sz w:val="21"/>
                <w:szCs w:val="21"/>
                <w:highlight w:val="none"/>
                <w:u w:val="single"/>
                <w:lang w:val="en-US" w:eastAsia="zh-CN"/>
              </w:rPr>
            </w:pPr>
            <w:r>
              <w:rPr>
                <w:rFonts w:hint="eastAsia" w:ascii="Times New Roman" w:eastAsia="宋体" w:cs="Times New Roman"/>
                <w:color w:val="auto"/>
                <w:sz w:val="21"/>
                <w:szCs w:val="21"/>
                <w:highlight w:val="none"/>
                <w:u w:val="single"/>
                <w:lang w:val="en-US" w:eastAsia="zh-CN"/>
              </w:rPr>
              <w:t>0.02</w:t>
            </w:r>
          </w:p>
        </w:tc>
      </w:tr>
      <w:tr w14:paraId="43FB6A1C">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1116" w:type="pct"/>
            <w:tcBorders>
              <w:tl2br w:val="nil"/>
              <w:tr2bl w:val="nil"/>
            </w:tcBorders>
            <w:noWrap w:val="0"/>
            <w:vAlign w:val="center"/>
          </w:tcPr>
          <w:p w14:paraId="72B1E4E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cs="Times New Roman"/>
                <w:color w:val="auto"/>
                <w:sz w:val="21"/>
                <w:szCs w:val="21"/>
                <w:highlight w:val="none"/>
                <w:u w:val="single"/>
                <w:lang w:val="en-US" w:eastAsia="zh-CN"/>
              </w:rPr>
              <w:t>3</w:t>
            </w:r>
          </w:p>
        </w:tc>
        <w:tc>
          <w:tcPr>
            <w:tcW w:w="1856" w:type="pct"/>
            <w:tcBorders>
              <w:tl2br w:val="nil"/>
              <w:tr2bl w:val="nil"/>
            </w:tcBorders>
            <w:noWrap w:val="0"/>
            <w:vAlign w:val="center"/>
          </w:tcPr>
          <w:p w14:paraId="321BF19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cs="Times New Roman"/>
                <w:color w:val="auto"/>
                <w:sz w:val="21"/>
                <w:szCs w:val="21"/>
                <w:highlight w:val="none"/>
                <w:u w:val="single"/>
                <w:lang w:val="en-US" w:eastAsia="zh-CN"/>
              </w:rPr>
            </w:pPr>
            <w:r>
              <w:rPr>
                <w:rFonts w:hint="eastAsia" w:ascii="Times New Roman" w:cs="Times New Roman"/>
                <w:color w:val="auto"/>
                <w:sz w:val="21"/>
                <w:szCs w:val="21"/>
                <w:highlight w:val="none"/>
                <w:u w:val="single"/>
                <w:lang w:val="en-US" w:eastAsia="zh-CN"/>
              </w:rPr>
              <w:t>2</w:t>
            </w:r>
          </w:p>
        </w:tc>
        <w:tc>
          <w:tcPr>
            <w:tcW w:w="2027" w:type="pct"/>
            <w:tcBorders>
              <w:tl2br w:val="nil"/>
              <w:tr2bl w:val="nil"/>
            </w:tcBorders>
            <w:noWrap w:val="0"/>
            <w:vAlign w:val="center"/>
          </w:tcPr>
          <w:p w14:paraId="357ACAE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eastAsia="宋体" w:cs="Times New Roman"/>
                <w:color w:val="auto"/>
                <w:sz w:val="21"/>
                <w:szCs w:val="21"/>
                <w:highlight w:val="none"/>
                <w:u w:val="single"/>
                <w:lang w:val="en-US" w:eastAsia="zh-CN"/>
              </w:rPr>
            </w:pPr>
            <w:r>
              <w:rPr>
                <w:rFonts w:hint="eastAsia" w:ascii="Times New Roman" w:eastAsia="宋体" w:cs="Times New Roman"/>
                <w:color w:val="auto"/>
                <w:sz w:val="21"/>
                <w:szCs w:val="21"/>
                <w:highlight w:val="none"/>
                <w:u w:val="single"/>
                <w:lang w:val="en-US" w:eastAsia="zh-CN"/>
              </w:rPr>
              <w:t>0.06</w:t>
            </w:r>
          </w:p>
        </w:tc>
      </w:tr>
      <w:tr w14:paraId="2A384D3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1116" w:type="pct"/>
            <w:tcBorders>
              <w:tl2br w:val="nil"/>
              <w:tr2bl w:val="nil"/>
            </w:tcBorders>
            <w:shd w:val="clear" w:color="auto" w:fill="auto"/>
            <w:noWrap w:val="0"/>
            <w:vAlign w:val="center"/>
          </w:tcPr>
          <w:p w14:paraId="1F6630F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u w:val="single"/>
                <w:lang w:val="en-US" w:eastAsia="zh-CN" w:bidi="ar-SA"/>
              </w:rPr>
            </w:pPr>
            <w:r>
              <w:rPr>
                <w:rFonts w:hint="eastAsia" w:ascii="Times New Roman" w:cs="Times New Roman"/>
                <w:color w:val="auto"/>
                <w:sz w:val="21"/>
                <w:szCs w:val="21"/>
                <w:highlight w:val="none"/>
                <w:u w:val="single"/>
                <w:lang w:val="en-US" w:eastAsia="zh-CN" w:bidi="ar-SA"/>
              </w:rPr>
              <w:t>3.4</w:t>
            </w:r>
          </w:p>
        </w:tc>
        <w:tc>
          <w:tcPr>
            <w:tcW w:w="1856" w:type="pct"/>
            <w:tcBorders>
              <w:tl2br w:val="nil"/>
              <w:tr2bl w:val="nil"/>
            </w:tcBorders>
            <w:noWrap w:val="0"/>
            <w:vAlign w:val="center"/>
          </w:tcPr>
          <w:p w14:paraId="4E5ED32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cs="Times New Roman"/>
                <w:color w:val="auto"/>
                <w:sz w:val="21"/>
                <w:szCs w:val="21"/>
                <w:highlight w:val="none"/>
                <w:u w:val="single"/>
                <w:lang w:val="en-US" w:eastAsia="zh-CN"/>
              </w:rPr>
            </w:pPr>
            <w:r>
              <w:rPr>
                <w:rFonts w:hint="eastAsia" w:ascii="Times New Roman" w:cs="Times New Roman"/>
                <w:color w:val="auto"/>
                <w:sz w:val="21"/>
                <w:szCs w:val="21"/>
                <w:highlight w:val="none"/>
                <w:u w:val="single"/>
                <w:lang w:val="en-US" w:eastAsia="zh-CN"/>
              </w:rPr>
              <w:t>5</w:t>
            </w:r>
          </w:p>
        </w:tc>
        <w:tc>
          <w:tcPr>
            <w:tcW w:w="2027" w:type="pct"/>
            <w:tcBorders>
              <w:tl2br w:val="nil"/>
              <w:tr2bl w:val="nil"/>
            </w:tcBorders>
            <w:noWrap w:val="0"/>
            <w:vAlign w:val="center"/>
          </w:tcPr>
          <w:p w14:paraId="3870E89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eastAsia="宋体" w:cs="Times New Roman"/>
                <w:color w:val="auto"/>
                <w:sz w:val="21"/>
                <w:szCs w:val="21"/>
                <w:highlight w:val="none"/>
                <w:u w:val="single"/>
                <w:lang w:val="en-US" w:eastAsia="zh-CN"/>
              </w:rPr>
            </w:pPr>
            <w:r>
              <w:rPr>
                <w:rFonts w:hint="eastAsia" w:ascii="Times New Roman" w:eastAsia="宋体" w:cs="Times New Roman"/>
                <w:color w:val="auto"/>
                <w:sz w:val="21"/>
                <w:szCs w:val="21"/>
                <w:highlight w:val="none"/>
                <w:u w:val="single"/>
                <w:lang w:val="en-US" w:eastAsia="zh-CN"/>
              </w:rPr>
              <w:t>0.2</w:t>
            </w:r>
          </w:p>
        </w:tc>
      </w:tr>
      <w:tr w14:paraId="77147A0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1116" w:type="pct"/>
            <w:tcBorders>
              <w:tl2br w:val="nil"/>
              <w:tr2bl w:val="nil"/>
            </w:tcBorders>
            <w:shd w:val="clear" w:color="auto" w:fill="auto"/>
            <w:noWrap w:val="0"/>
            <w:vAlign w:val="center"/>
          </w:tcPr>
          <w:p w14:paraId="219E483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u w:val="single"/>
                <w:lang w:val="en-US" w:eastAsia="zh-CN" w:bidi="ar-SA"/>
              </w:rPr>
            </w:pPr>
            <w:r>
              <w:rPr>
                <w:rFonts w:hint="eastAsia" w:ascii="Times New Roman" w:cs="Times New Roman"/>
                <w:color w:val="auto"/>
                <w:sz w:val="21"/>
                <w:szCs w:val="21"/>
                <w:highlight w:val="none"/>
                <w:u w:val="single"/>
                <w:lang w:val="en-US" w:eastAsia="zh-CN" w:bidi="ar-SA"/>
              </w:rPr>
              <w:t>4</w:t>
            </w:r>
          </w:p>
        </w:tc>
        <w:tc>
          <w:tcPr>
            <w:tcW w:w="1856" w:type="pct"/>
            <w:tcBorders>
              <w:tl2br w:val="nil"/>
              <w:tr2bl w:val="nil"/>
            </w:tcBorders>
            <w:noWrap w:val="0"/>
            <w:vAlign w:val="center"/>
          </w:tcPr>
          <w:p w14:paraId="45FE925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cs="Times New Roman"/>
                <w:color w:val="auto"/>
                <w:sz w:val="21"/>
                <w:szCs w:val="21"/>
                <w:highlight w:val="none"/>
                <w:u w:val="single"/>
                <w:lang w:val="en-US" w:eastAsia="zh-CN"/>
              </w:rPr>
            </w:pPr>
            <w:r>
              <w:rPr>
                <w:rFonts w:hint="eastAsia" w:ascii="Times New Roman" w:cs="Times New Roman"/>
                <w:color w:val="auto"/>
                <w:sz w:val="21"/>
                <w:szCs w:val="21"/>
                <w:highlight w:val="none"/>
                <w:u w:val="single"/>
                <w:lang w:val="en-US" w:eastAsia="zh-CN"/>
              </w:rPr>
              <w:t>10</w:t>
            </w:r>
          </w:p>
        </w:tc>
        <w:tc>
          <w:tcPr>
            <w:tcW w:w="2027" w:type="pct"/>
            <w:tcBorders>
              <w:tl2br w:val="nil"/>
              <w:tr2bl w:val="nil"/>
            </w:tcBorders>
            <w:noWrap w:val="0"/>
            <w:vAlign w:val="center"/>
          </w:tcPr>
          <w:p w14:paraId="08C8E79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eastAsia="宋体" w:cs="Times New Roman"/>
                <w:color w:val="auto"/>
                <w:sz w:val="21"/>
                <w:szCs w:val="21"/>
                <w:highlight w:val="none"/>
                <w:u w:val="single"/>
                <w:lang w:val="en-US" w:eastAsia="zh-CN"/>
              </w:rPr>
            </w:pPr>
            <w:r>
              <w:rPr>
                <w:rFonts w:hint="eastAsia" w:ascii="Times New Roman" w:eastAsia="宋体" w:cs="Times New Roman"/>
                <w:color w:val="auto"/>
                <w:sz w:val="21"/>
                <w:szCs w:val="21"/>
                <w:highlight w:val="none"/>
                <w:u w:val="single"/>
                <w:lang w:val="en-US" w:eastAsia="zh-CN"/>
              </w:rPr>
              <w:t>0.7</w:t>
            </w:r>
          </w:p>
        </w:tc>
      </w:tr>
      <w:tr w14:paraId="1C85DD5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1116" w:type="pct"/>
            <w:tcBorders>
              <w:tl2br w:val="nil"/>
              <w:tr2bl w:val="nil"/>
            </w:tcBorders>
            <w:shd w:val="clear" w:color="auto" w:fill="auto"/>
            <w:noWrap w:val="0"/>
            <w:vAlign w:val="center"/>
          </w:tcPr>
          <w:p w14:paraId="789260B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cs="Times New Roman"/>
                <w:color w:val="auto"/>
                <w:sz w:val="21"/>
                <w:szCs w:val="21"/>
                <w:highlight w:val="none"/>
                <w:u w:val="single"/>
                <w:lang w:val="en-US" w:eastAsia="zh-CN" w:bidi="ar-SA"/>
              </w:rPr>
            </w:pPr>
            <w:r>
              <w:rPr>
                <w:rFonts w:hint="eastAsia" w:ascii="Times New Roman" w:cs="Times New Roman"/>
                <w:color w:val="auto"/>
                <w:sz w:val="21"/>
                <w:szCs w:val="21"/>
                <w:highlight w:val="none"/>
                <w:u w:val="single"/>
                <w:lang w:val="en-US" w:eastAsia="zh-CN" w:bidi="ar-SA"/>
              </w:rPr>
              <w:t>5</w:t>
            </w:r>
          </w:p>
        </w:tc>
        <w:tc>
          <w:tcPr>
            <w:tcW w:w="1856" w:type="pct"/>
            <w:tcBorders>
              <w:tl2br w:val="nil"/>
              <w:tr2bl w:val="nil"/>
            </w:tcBorders>
            <w:noWrap w:val="0"/>
            <w:vAlign w:val="center"/>
          </w:tcPr>
          <w:p w14:paraId="7FD3179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cs="Times New Roman"/>
                <w:color w:val="auto"/>
                <w:sz w:val="21"/>
                <w:szCs w:val="21"/>
                <w:highlight w:val="none"/>
                <w:u w:val="single"/>
                <w:lang w:val="en-US" w:eastAsia="zh-CN"/>
              </w:rPr>
            </w:pPr>
            <w:r>
              <w:rPr>
                <w:rFonts w:hint="eastAsia" w:ascii="Times New Roman" w:cs="Times New Roman"/>
                <w:color w:val="auto"/>
                <w:sz w:val="21"/>
                <w:szCs w:val="21"/>
                <w:highlight w:val="none"/>
                <w:u w:val="single"/>
                <w:lang w:val="en-US" w:eastAsia="zh-CN"/>
              </w:rPr>
              <w:t>40</w:t>
            </w:r>
          </w:p>
        </w:tc>
        <w:tc>
          <w:tcPr>
            <w:tcW w:w="2027" w:type="pct"/>
            <w:tcBorders>
              <w:tl2br w:val="nil"/>
              <w:tr2bl w:val="nil"/>
            </w:tcBorders>
            <w:noWrap w:val="0"/>
            <w:vAlign w:val="center"/>
          </w:tcPr>
          <w:p w14:paraId="1600CC5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eastAsia="宋体" w:cs="Times New Roman"/>
                <w:color w:val="auto"/>
                <w:sz w:val="21"/>
                <w:szCs w:val="21"/>
                <w:highlight w:val="none"/>
                <w:u w:val="single"/>
                <w:lang w:val="en-US" w:eastAsia="zh-CN"/>
              </w:rPr>
            </w:pPr>
            <w:r>
              <w:rPr>
                <w:rFonts w:hint="eastAsia" w:ascii="Times New Roman" w:eastAsia="宋体" w:cs="Times New Roman"/>
                <w:color w:val="auto"/>
                <w:sz w:val="21"/>
                <w:szCs w:val="21"/>
                <w:highlight w:val="none"/>
                <w:u w:val="single"/>
                <w:lang w:val="en-US" w:eastAsia="zh-CN"/>
              </w:rPr>
              <w:t>8</w:t>
            </w:r>
          </w:p>
        </w:tc>
      </w:tr>
      <w:tr w14:paraId="70041A2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1116" w:type="pct"/>
            <w:tcBorders>
              <w:tl2br w:val="nil"/>
              <w:tr2bl w:val="nil"/>
            </w:tcBorders>
            <w:shd w:val="clear" w:color="auto" w:fill="auto"/>
            <w:noWrap w:val="0"/>
            <w:vAlign w:val="center"/>
          </w:tcPr>
          <w:p w14:paraId="087CB2E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cs="Times New Roman"/>
                <w:color w:val="auto"/>
                <w:sz w:val="21"/>
                <w:szCs w:val="21"/>
                <w:highlight w:val="none"/>
                <w:u w:val="single"/>
                <w:lang w:val="en-US" w:eastAsia="zh-CN" w:bidi="ar-SA"/>
              </w:rPr>
            </w:pPr>
            <w:r>
              <w:rPr>
                <w:rFonts w:hint="eastAsia" w:ascii="Times New Roman" w:cs="Times New Roman"/>
                <w:color w:val="auto"/>
                <w:sz w:val="21"/>
                <w:szCs w:val="21"/>
                <w:highlight w:val="none"/>
                <w:u w:val="single"/>
                <w:lang w:val="en-US" w:eastAsia="zh-CN" w:bidi="ar-SA"/>
              </w:rPr>
              <w:t>臭气特征</w:t>
            </w:r>
          </w:p>
        </w:tc>
        <w:tc>
          <w:tcPr>
            <w:tcW w:w="1856" w:type="pct"/>
            <w:tcBorders>
              <w:tl2br w:val="nil"/>
              <w:tr2bl w:val="nil"/>
            </w:tcBorders>
            <w:noWrap w:val="0"/>
            <w:vAlign w:val="center"/>
          </w:tcPr>
          <w:p w14:paraId="2AC27CB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cs="Times New Roman"/>
                <w:color w:val="auto"/>
                <w:sz w:val="21"/>
                <w:szCs w:val="21"/>
                <w:highlight w:val="none"/>
                <w:u w:val="single"/>
                <w:lang w:eastAsia="zh-CN"/>
              </w:rPr>
            </w:pPr>
            <w:r>
              <w:rPr>
                <w:rFonts w:hint="eastAsia" w:ascii="Times New Roman" w:cs="Times New Roman"/>
                <w:color w:val="auto"/>
                <w:sz w:val="21"/>
                <w:szCs w:val="21"/>
                <w:highlight w:val="none"/>
                <w:u w:val="single"/>
                <w:lang w:eastAsia="zh-CN"/>
              </w:rPr>
              <w:t>刺激臭</w:t>
            </w:r>
          </w:p>
        </w:tc>
        <w:tc>
          <w:tcPr>
            <w:tcW w:w="2027" w:type="pct"/>
            <w:tcBorders>
              <w:tl2br w:val="nil"/>
              <w:tr2bl w:val="nil"/>
            </w:tcBorders>
            <w:noWrap w:val="0"/>
            <w:vAlign w:val="center"/>
          </w:tcPr>
          <w:p w14:paraId="150680C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highlight w:val="none"/>
                <w:u w:val="single"/>
                <w:lang w:eastAsia="zh-CN"/>
              </w:rPr>
            </w:pPr>
            <w:r>
              <w:rPr>
                <w:rFonts w:hint="eastAsia" w:hAnsi="宋体" w:cs="宋体"/>
                <w:color w:val="auto"/>
                <w:sz w:val="24"/>
                <w:szCs w:val="24"/>
                <w:highlight w:val="none"/>
                <w:u w:val="single"/>
                <w:lang w:eastAsia="zh-CN"/>
              </w:rPr>
              <w:t>鸡蛋臭</w:t>
            </w:r>
          </w:p>
        </w:tc>
      </w:tr>
    </w:tbl>
    <w:p w14:paraId="5F7794C4">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ind w:leftChars="0" w:firstLine="454" w:firstLineChars="200"/>
        <w:jc w:val="both"/>
        <w:textAlignment w:val="auto"/>
        <w:rPr>
          <w:rFonts w:hint="default" w:ascii="Times New Roman" w:hAnsi="Times New Roman" w:eastAsia="宋体" w:cs="Times New Roman"/>
          <w:bCs/>
          <w:color w:val="auto"/>
          <w:sz w:val="24"/>
          <w:highlight w:val="none"/>
          <w:u w:val="single"/>
          <w:lang w:val="en-US" w:eastAsia="zh-CN" w:bidi="ar-SA"/>
        </w:rPr>
      </w:pPr>
      <w:r>
        <w:rPr>
          <w:rFonts w:hint="eastAsia" w:ascii="Times New Roman" w:hAnsi="Times New Roman" w:eastAsia="宋体" w:cs="Times New Roman"/>
          <w:bCs/>
          <w:color w:val="auto"/>
          <w:sz w:val="24"/>
          <w:highlight w:val="none"/>
          <w:u w:val="single"/>
          <w:lang w:val="en-US" w:eastAsia="zh-CN" w:bidi="ar-SA"/>
        </w:rPr>
        <w:t>臭气强度评价法将臭气强度分为6级，根据相似工程，采用类比分析臭气强度，本项目底泥臭气强度详见下表。</w:t>
      </w:r>
    </w:p>
    <w:p w14:paraId="5973A046">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eastAsia="宋体" w:cs="Times New Roman"/>
          <w:b/>
          <w:bCs w:val="0"/>
          <w:color w:val="auto"/>
          <w:highlight w:val="none"/>
          <w:u w:val="single"/>
          <w:lang w:eastAsia="zh-CN"/>
        </w:rPr>
      </w:pPr>
      <w:r>
        <w:rPr>
          <w:rFonts w:hint="eastAsia" w:eastAsia="宋体" w:cs="Times New Roman"/>
          <w:b/>
          <w:bCs w:val="0"/>
          <w:color w:val="auto"/>
          <w:highlight w:val="none"/>
          <w:u w:val="single"/>
          <w:lang w:val="en-US" w:eastAsia="zh-CN"/>
        </w:rPr>
        <w:t>淤泥臭气强度</w:t>
      </w:r>
    </w:p>
    <w:tbl>
      <w:tblPr>
        <w:tblStyle w:val="87"/>
        <w:tblW w:w="4997"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1585"/>
        <w:gridCol w:w="1938"/>
        <w:gridCol w:w="1765"/>
        <w:gridCol w:w="1765"/>
        <w:gridCol w:w="1770"/>
      </w:tblGrid>
      <w:tr w14:paraId="397407A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165" w:hRule="atLeast"/>
        </w:trPr>
        <w:tc>
          <w:tcPr>
            <w:tcW w:w="898" w:type="pct"/>
            <w:vMerge w:val="restart"/>
            <w:tcBorders>
              <w:tl2br w:val="nil"/>
              <w:tr2bl w:val="nil"/>
            </w:tcBorders>
            <w:noWrap w:val="0"/>
            <w:vAlign w:val="center"/>
          </w:tcPr>
          <w:p w14:paraId="6EE1A22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距离</w:t>
            </w:r>
          </w:p>
        </w:tc>
        <w:tc>
          <w:tcPr>
            <w:tcW w:w="1098" w:type="pct"/>
            <w:vMerge w:val="restart"/>
            <w:tcBorders>
              <w:tl2br w:val="nil"/>
              <w:tr2bl w:val="nil"/>
            </w:tcBorders>
            <w:noWrap w:val="0"/>
            <w:vAlign w:val="center"/>
          </w:tcPr>
          <w:p w14:paraId="6CBCFAE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臭气感觉强度</w:t>
            </w:r>
          </w:p>
        </w:tc>
        <w:tc>
          <w:tcPr>
            <w:tcW w:w="1000" w:type="pct"/>
            <w:vMerge w:val="restart"/>
            <w:tcBorders>
              <w:tl2br w:val="nil"/>
              <w:tr2bl w:val="nil"/>
            </w:tcBorders>
            <w:noWrap w:val="0"/>
            <w:vAlign w:val="center"/>
          </w:tcPr>
          <w:p w14:paraId="562472F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级别</w:t>
            </w:r>
          </w:p>
        </w:tc>
        <w:tc>
          <w:tcPr>
            <w:tcW w:w="2003" w:type="pct"/>
            <w:gridSpan w:val="2"/>
            <w:tcBorders>
              <w:tl2br w:val="nil"/>
              <w:tr2bl w:val="nil"/>
            </w:tcBorders>
            <w:noWrap w:val="0"/>
            <w:vAlign w:val="center"/>
          </w:tcPr>
          <w:p w14:paraId="5CCC4B4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b/>
                <w:bCs/>
                <w:color w:val="auto"/>
                <w:sz w:val="21"/>
                <w:szCs w:val="21"/>
                <w:highlight w:val="none"/>
              </w:rPr>
            </w:pPr>
            <w:r>
              <w:rPr>
                <w:rFonts w:hint="eastAsia" w:ascii="Times New Roman" w:cs="Times New Roman"/>
                <w:b/>
                <w:bCs/>
                <w:color w:val="auto"/>
                <w:sz w:val="21"/>
                <w:szCs w:val="21"/>
                <w:highlight w:val="none"/>
                <w:lang w:eastAsia="zh-CN"/>
              </w:rPr>
              <w:t>恶臭物质浓度</w:t>
            </w:r>
          </w:p>
        </w:tc>
      </w:tr>
      <w:tr w14:paraId="23BEFFD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165" w:hRule="atLeast"/>
        </w:trPr>
        <w:tc>
          <w:tcPr>
            <w:tcW w:w="898" w:type="pct"/>
            <w:vMerge w:val="continue"/>
            <w:tcBorders>
              <w:tl2br w:val="nil"/>
              <w:tr2bl w:val="nil"/>
            </w:tcBorders>
            <w:noWrap w:val="0"/>
            <w:vAlign w:val="center"/>
          </w:tcPr>
          <w:p w14:paraId="1300084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auto"/>
                <w:highlight w:val="none"/>
              </w:rPr>
            </w:pPr>
          </w:p>
        </w:tc>
        <w:tc>
          <w:tcPr>
            <w:tcW w:w="1098" w:type="pct"/>
            <w:vMerge w:val="continue"/>
            <w:tcBorders>
              <w:tl2br w:val="nil"/>
              <w:tr2bl w:val="nil"/>
            </w:tcBorders>
            <w:noWrap w:val="0"/>
            <w:vAlign w:val="center"/>
          </w:tcPr>
          <w:p w14:paraId="061E4E0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auto"/>
                <w:highlight w:val="none"/>
              </w:rPr>
            </w:pPr>
          </w:p>
        </w:tc>
        <w:tc>
          <w:tcPr>
            <w:tcW w:w="1000" w:type="pct"/>
            <w:vMerge w:val="continue"/>
            <w:tcBorders>
              <w:tl2br w:val="nil"/>
              <w:tr2bl w:val="nil"/>
            </w:tcBorders>
            <w:noWrap w:val="0"/>
            <w:vAlign w:val="center"/>
          </w:tcPr>
          <w:p w14:paraId="0554043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auto"/>
                <w:highlight w:val="none"/>
              </w:rPr>
            </w:pPr>
          </w:p>
        </w:tc>
        <w:tc>
          <w:tcPr>
            <w:tcW w:w="1000" w:type="pct"/>
            <w:tcBorders>
              <w:tl2br w:val="nil"/>
              <w:tr2bl w:val="nil"/>
            </w:tcBorders>
            <w:noWrap w:val="0"/>
            <w:vAlign w:val="center"/>
          </w:tcPr>
          <w:p w14:paraId="6F24357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cs="Times New Roman"/>
                <w:color w:val="auto"/>
                <w:sz w:val="21"/>
                <w:szCs w:val="21"/>
                <w:highlight w:val="none"/>
                <w:u w:val="single"/>
                <w:lang w:eastAsia="zh-CN"/>
              </w:rPr>
            </w:pPr>
            <w:r>
              <w:rPr>
                <w:rFonts w:hint="eastAsia" w:ascii="Times New Roman" w:cs="Times New Roman"/>
                <w:color w:val="auto"/>
                <w:sz w:val="21"/>
                <w:szCs w:val="21"/>
                <w:highlight w:val="none"/>
                <w:u w:val="single"/>
                <w:lang w:eastAsia="zh-CN"/>
              </w:rPr>
              <w:t>NH</w:t>
            </w:r>
            <w:r>
              <w:rPr>
                <w:rFonts w:hint="eastAsia" w:ascii="Times New Roman" w:cs="Times New Roman"/>
                <w:color w:val="auto"/>
                <w:sz w:val="21"/>
                <w:szCs w:val="21"/>
                <w:highlight w:val="none"/>
                <w:u w:val="single"/>
                <w:vertAlign w:val="subscript"/>
                <w:lang w:eastAsia="zh-CN"/>
              </w:rPr>
              <w:t>3</w:t>
            </w:r>
          </w:p>
        </w:tc>
        <w:tc>
          <w:tcPr>
            <w:tcW w:w="1003" w:type="pct"/>
            <w:tcBorders>
              <w:tl2br w:val="nil"/>
              <w:tr2bl w:val="nil"/>
            </w:tcBorders>
            <w:noWrap w:val="0"/>
            <w:vAlign w:val="center"/>
          </w:tcPr>
          <w:p w14:paraId="7185B6A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cs="Times New Roman"/>
                <w:color w:val="auto"/>
                <w:sz w:val="21"/>
                <w:szCs w:val="21"/>
                <w:highlight w:val="none"/>
                <w:u w:val="single"/>
                <w:lang w:eastAsia="zh-CN"/>
              </w:rPr>
            </w:pPr>
            <w:r>
              <w:rPr>
                <w:rFonts w:hint="eastAsia" w:ascii="Times New Roman" w:cs="Times New Roman"/>
                <w:color w:val="auto"/>
                <w:sz w:val="21"/>
                <w:szCs w:val="21"/>
                <w:highlight w:val="none"/>
                <w:u w:val="single"/>
                <w:lang w:eastAsia="zh-CN"/>
              </w:rPr>
              <w:t>H</w:t>
            </w:r>
            <w:r>
              <w:rPr>
                <w:rFonts w:hint="eastAsia" w:ascii="Times New Roman" w:cs="Times New Roman"/>
                <w:color w:val="auto"/>
                <w:sz w:val="21"/>
                <w:szCs w:val="21"/>
                <w:highlight w:val="none"/>
                <w:u w:val="single"/>
                <w:vertAlign w:val="subscript"/>
                <w:lang w:eastAsia="zh-CN"/>
              </w:rPr>
              <w:t>2</w:t>
            </w:r>
            <w:r>
              <w:rPr>
                <w:rFonts w:hint="eastAsia" w:ascii="Times New Roman" w:cs="Times New Roman"/>
                <w:color w:val="auto"/>
                <w:sz w:val="21"/>
                <w:szCs w:val="21"/>
                <w:highlight w:val="none"/>
                <w:u w:val="single"/>
                <w:lang w:eastAsia="zh-CN"/>
              </w:rPr>
              <w:t>S</w:t>
            </w:r>
          </w:p>
        </w:tc>
      </w:tr>
      <w:tr w14:paraId="552A627E">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898" w:type="pct"/>
            <w:tcBorders>
              <w:tl2br w:val="nil"/>
              <w:tr2bl w:val="nil"/>
            </w:tcBorders>
            <w:noWrap w:val="0"/>
            <w:vAlign w:val="center"/>
          </w:tcPr>
          <w:p w14:paraId="411A7A2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sz w:val="21"/>
                <w:szCs w:val="21"/>
                <w:highlight w:val="none"/>
              </w:rPr>
            </w:pPr>
            <w:r>
              <w:rPr>
                <w:rFonts w:hint="eastAsia" w:ascii="Times New Roman" w:cs="Times New Roman"/>
                <w:color w:val="auto"/>
                <w:sz w:val="21"/>
                <w:szCs w:val="21"/>
                <w:highlight w:val="none"/>
                <w:lang w:eastAsia="zh-CN"/>
              </w:rPr>
              <w:t>淤泥</w:t>
            </w:r>
            <w:r>
              <w:rPr>
                <w:rFonts w:hint="default" w:ascii="Times New Roman" w:hAnsi="Times New Roman" w:cs="Times New Roman"/>
                <w:color w:val="auto"/>
                <w:sz w:val="21"/>
                <w:szCs w:val="21"/>
                <w:highlight w:val="none"/>
              </w:rPr>
              <w:t>堆放区</w:t>
            </w:r>
          </w:p>
        </w:tc>
        <w:tc>
          <w:tcPr>
            <w:tcW w:w="1098" w:type="pct"/>
            <w:tcBorders>
              <w:tl2br w:val="nil"/>
              <w:tr2bl w:val="nil"/>
            </w:tcBorders>
            <w:noWrap w:val="0"/>
            <w:vAlign w:val="center"/>
          </w:tcPr>
          <w:p w14:paraId="3AD2A15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有较明显臭味</w:t>
            </w:r>
          </w:p>
        </w:tc>
        <w:tc>
          <w:tcPr>
            <w:tcW w:w="1000" w:type="pct"/>
            <w:tcBorders>
              <w:tl2br w:val="nil"/>
              <w:tr2bl w:val="nil"/>
            </w:tcBorders>
            <w:noWrap w:val="0"/>
            <w:vAlign w:val="center"/>
          </w:tcPr>
          <w:p w14:paraId="4743FEE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3</w:t>
            </w:r>
            <w:r>
              <w:rPr>
                <w:rFonts w:hint="default" w:ascii="Times New Roman" w:hAnsi="Times New Roman" w:cs="Times New Roman"/>
                <w:color w:val="auto"/>
                <w:sz w:val="21"/>
                <w:szCs w:val="21"/>
                <w:highlight w:val="none"/>
              </w:rPr>
              <w:t>级</w:t>
            </w:r>
          </w:p>
        </w:tc>
        <w:tc>
          <w:tcPr>
            <w:tcW w:w="1000" w:type="pct"/>
            <w:tcBorders>
              <w:tl2br w:val="nil"/>
              <w:tr2bl w:val="nil"/>
            </w:tcBorders>
            <w:noWrap w:val="0"/>
            <w:vAlign w:val="center"/>
          </w:tcPr>
          <w:p w14:paraId="46D62F5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eastAsia="宋体" w:cs="Times New Roman"/>
                <w:color w:val="auto"/>
                <w:sz w:val="21"/>
                <w:szCs w:val="21"/>
                <w:highlight w:val="none"/>
                <w:u w:val="single"/>
                <w:lang w:val="en-US" w:eastAsia="zh-CN"/>
              </w:rPr>
              <w:t>2</w:t>
            </w:r>
          </w:p>
        </w:tc>
        <w:tc>
          <w:tcPr>
            <w:tcW w:w="1003" w:type="pct"/>
            <w:tcBorders>
              <w:tl2br w:val="nil"/>
              <w:tr2bl w:val="nil"/>
            </w:tcBorders>
            <w:noWrap w:val="0"/>
            <w:vAlign w:val="center"/>
          </w:tcPr>
          <w:p w14:paraId="7D7B0D5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eastAsia="宋体" w:cs="Times New Roman"/>
                <w:color w:val="auto"/>
                <w:sz w:val="21"/>
                <w:szCs w:val="21"/>
                <w:highlight w:val="none"/>
                <w:u w:val="single"/>
                <w:lang w:val="en-US" w:eastAsia="zh-CN"/>
              </w:rPr>
              <w:t>0.06</w:t>
            </w:r>
          </w:p>
        </w:tc>
      </w:tr>
      <w:tr w14:paraId="0E0B0C2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898" w:type="pct"/>
            <w:tcBorders>
              <w:tl2br w:val="nil"/>
              <w:tr2bl w:val="nil"/>
            </w:tcBorders>
            <w:noWrap w:val="0"/>
            <w:vAlign w:val="center"/>
          </w:tcPr>
          <w:p w14:paraId="35966D3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sz w:val="21"/>
                <w:szCs w:val="21"/>
                <w:highlight w:val="none"/>
              </w:rPr>
            </w:pPr>
            <w:r>
              <w:rPr>
                <w:rFonts w:hint="eastAsia" w:ascii="Times New Roman" w:cs="Times New Roman"/>
                <w:color w:val="auto"/>
                <w:sz w:val="21"/>
                <w:szCs w:val="21"/>
                <w:highlight w:val="none"/>
                <w:lang w:eastAsia="zh-CN"/>
              </w:rPr>
              <w:t>淤泥</w:t>
            </w:r>
            <w:r>
              <w:rPr>
                <w:rFonts w:hint="default" w:ascii="Times New Roman" w:hAnsi="Times New Roman" w:cs="Times New Roman"/>
                <w:color w:val="auto"/>
                <w:sz w:val="21"/>
                <w:szCs w:val="21"/>
                <w:highlight w:val="none"/>
              </w:rPr>
              <w:t>堆放区</w:t>
            </w:r>
            <w:r>
              <w:rPr>
                <w:rFonts w:hint="default" w:ascii="Times New Roman" w:hAnsi="Times New Roman" w:eastAsia="Times New Roman" w:cs="Times New Roman"/>
                <w:color w:val="auto"/>
                <w:sz w:val="21"/>
                <w:szCs w:val="21"/>
                <w:highlight w:val="none"/>
              </w:rPr>
              <w:t>30m</w:t>
            </w:r>
          </w:p>
        </w:tc>
        <w:tc>
          <w:tcPr>
            <w:tcW w:w="1098" w:type="pct"/>
            <w:tcBorders>
              <w:tl2br w:val="nil"/>
              <w:tr2bl w:val="nil"/>
            </w:tcBorders>
            <w:noWrap w:val="0"/>
            <w:vAlign w:val="center"/>
          </w:tcPr>
          <w:p w14:paraId="671930F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轻微</w:t>
            </w:r>
          </w:p>
        </w:tc>
        <w:tc>
          <w:tcPr>
            <w:tcW w:w="1000" w:type="pct"/>
            <w:tcBorders>
              <w:tl2br w:val="nil"/>
              <w:tr2bl w:val="nil"/>
            </w:tcBorders>
            <w:noWrap w:val="0"/>
            <w:vAlign w:val="center"/>
          </w:tcPr>
          <w:p w14:paraId="49D65A4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2</w:t>
            </w:r>
            <w:r>
              <w:rPr>
                <w:rFonts w:hint="default" w:ascii="Times New Roman" w:hAnsi="Times New Roman" w:cs="Times New Roman"/>
                <w:color w:val="auto"/>
                <w:sz w:val="21"/>
                <w:szCs w:val="21"/>
                <w:highlight w:val="none"/>
              </w:rPr>
              <w:t>级</w:t>
            </w:r>
          </w:p>
        </w:tc>
        <w:tc>
          <w:tcPr>
            <w:tcW w:w="1000" w:type="pct"/>
            <w:tcBorders>
              <w:tl2br w:val="nil"/>
              <w:tr2bl w:val="nil"/>
            </w:tcBorders>
            <w:noWrap w:val="0"/>
            <w:vAlign w:val="center"/>
          </w:tcPr>
          <w:p w14:paraId="7B78797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eastAsia="宋体" w:cs="Times New Roman"/>
                <w:color w:val="auto"/>
                <w:sz w:val="21"/>
                <w:szCs w:val="21"/>
                <w:highlight w:val="none"/>
                <w:u w:val="single"/>
                <w:lang w:val="en-US" w:eastAsia="zh-CN"/>
              </w:rPr>
              <w:t>0.5</w:t>
            </w:r>
          </w:p>
        </w:tc>
        <w:tc>
          <w:tcPr>
            <w:tcW w:w="1003" w:type="pct"/>
            <w:tcBorders>
              <w:tl2br w:val="nil"/>
              <w:tr2bl w:val="nil"/>
            </w:tcBorders>
            <w:noWrap w:val="0"/>
            <w:vAlign w:val="center"/>
          </w:tcPr>
          <w:p w14:paraId="0DB4E91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eastAsia="宋体" w:cs="Times New Roman"/>
                <w:color w:val="auto"/>
                <w:sz w:val="21"/>
                <w:szCs w:val="21"/>
                <w:highlight w:val="none"/>
                <w:u w:val="single"/>
                <w:lang w:val="en-US" w:eastAsia="zh-CN"/>
              </w:rPr>
              <w:t>0.006</w:t>
            </w:r>
          </w:p>
        </w:tc>
      </w:tr>
      <w:tr w14:paraId="6557A4C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898" w:type="pct"/>
            <w:tcBorders>
              <w:tl2br w:val="nil"/>
              <w:tr2bl w:val="nil"/>
            </w:tcBorders>
            <w:noWrap w:val="0"/>
            <w:vAlign w:val="center"/>
          </w:tcPr>
          <w:p w14:paraId="58E1325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sz w:val="21"/>
                <w:szCs w:val="21"/>
                <w:highlight w:val="none"/>
              </w:rPr>
            </w:pPr>
            <w:r>
              <w:rPr>
                <w:rFonts w:hint="eastAsia" w:ascii="Times New Roman" w:cs="Times New Roman"/>
                <w:color w:val="auto"/>
                <w:sz w:val="21"/>
                <w:szCs w:val="21"/>
                <w:highlight w:val="none"/>
                <w:lang w:eastAsia="zh-CN"/>
              </w:rPr>
              <w:t>淤泥</w:t>
            </w:r>
            <w:r>
              <w:rPr>
                <w:rFonts w:hint="default" w:ascii="Times New Roman" w:hAnsi="Times New Roman" w:cs="Times New Roman"/>
                <w:color w:val="auto"/>
                <w:sz w:val="21"/>
                <w:szCs w:val="21"/>
                <w:highlight w:val="none"/>
              </w:rPr>
              <w:t>堆放区</w:t>
            </w:r>
            <w:r>
              <w:rPr>
                <w:rFonts w:hint="default" w:ascii="Times New Roman" w:hAnsi="Times New Roman" w:eastAsia="Times New Roman" w:cs="Times New Roman"/>
                <w:color w:val="auto"/>
                <w:sz w:val="21"/>
                <w:szCs w:val="21"/>
                <w:highlight w:val="none"/>
              </w:rPr>
              <w:t>80m</w:t>
            </w:r>
          </w:p>
        </w:tc>
        <w:tc>
          <w:tcPr>
            <w:tcW w:w="1098" w:type="pct"/>
            <w:tcBorders>
              <w:tl2br w:val="nil"/>
              <w:tr2bl w:val="nil"/>
            </w:tcBorders>
            <w:noWrap w:val="0"/>
            <w:vAlign w:val="center"/>
          </w:tcPr>
          <w:p w14:paraId="6CD5084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z w:val="21"/>
                <w:szCs w:val="21"/>
                <w:highlight w:val="none"/>
                <w:u w:val="single"/>
                <w:lang w:eastAsia="zh-CN"/>
              </w:rPr>
            </w:pPr>
            <w:r>
              <w:rPr>
                <w:rFonts w:hint="eastAsia" w:ascii="Times New Roman" w:cs="Times New Roman"/>
                <w:color w:val="auto"/>
                <w:sz w:val="21"/>
                <w:szCs w:val="21"/>
                <w:highlight w:val="none"/>
                <w:u w:val="single"/>
                <w:lang w:eastAsia="zh-CN"/>
              </w:rPr>
              <w:t>勉强可感觉到气味</w:t>
            </w:r>
          </w:p>
        </w:tc>
        <w:tc>
          <w:tcPr>
            <w:tcW w:w="1000" w:type="pct"/>
            <w:tcBorders>
              <w:tl2br w:val="nil"/>
              <w:tr2bl w:val="nil"/>
            </w:tcBorders>
            <w:noWrap w:val="0"/>
            <w:vAlign w:val="center"/>
          </w:tcPr>
          <w:p w14:paraId="3DC239D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w:t>
            </w:r>
            <w:r>
              <w:rPr>
                <w:rFonts w:hint="default" w:ascii="Times New Roman" w:hAnsi="Times New Roman" w:cs="Times New Roman"/>
                <w:color w:val="auto"/>
                <w:sz w:val="21"/>
                <w:szCs w:val="21"/>
                <w:highlight w:val="none"/>
              </w:rPr>
              <w:t>级</w:t>
            </w:r>
          </w:p>
        </w:tc>
        <w:tc>
          <w:tcPr>
            <w:tcW w:w="1000" w:type="pct"/>
            <w:tcBorders>
              <w:tl2br w:val="nil"/>
              <w:tr2bl w:val="nil"/>
            </w:tcBorders>
            <w:noWrap w:val="0"/>
            <w:vAlign w:val="center"/>
          </w:tcPr>
          <w:p w14:paraId="290A80B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eastAsia="宋体" w:cs="Times New Roman"/>
                <w:color w:val="auto"/>
                <w:sz w:val="21"/>
                <w:szCs w:val="21"/>
                <w:highlight w:val="none"/>
                <w:u w:val="single"/>
                <w:lang w:val="en-US" w:eastAsia="zh-CN"/>
              </w:rPr>
              <w:t>0.1</w:t>
            </w:r>
          </w:p>
        </w:tc>
        <w:tc>
          <w:tcPr>
            <w:tcW w:w="1003" w:type="pct"/>
            <w:tcBorders>
              <w:tl2br w:val="nil"/>
              <w:tr2bl w:val="nil"/>
            </w:tcBorders>
            <w:noWrap w:val="0"/>
            <w:vAlign w:val="center"/>
          </w:tcPr>
          <w:p w14:paraId="7A653E2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eastAsia="宋体" w:cs="Times New Roman"/>
                <w:color w:val="auto"/>
                <w:sz w:val="21"/>
                <w:szCs w:val="21"/>
                <w:highlight w:val="none"/>
                <w:u w:val="single"/>
                <w:lang w:val="en-US" w:eastAsia="zh-CN"/>
              </w:rPr>
              <w:t>0.0005</w:t>
            </w:r>
          </w:p>
        </w:tc>
      </w:tr>
      <w:tr w14:paraId="7744C31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898" w:type="pct"/>
            <w:tcBorders>
              <w:tl2br w:val="nil"/>
              <w:tr2bl w:val="nil"/>
            </w:tcBorders>
            <w:noWrap w:val="0"/>
            <w:vAlign w:val="center"/>
          </w:tcPr>
          <w:p w14:paraId="43CF89D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 xml:space="preserve">100m </w:t>
            </w:r>
            <w:r>
              <w:rPr>
                <w:rFonts w:hint="default" w:ascii="Times New Roman" w:hAnsi="Times New Roman" w:cs="Times New Roman"/>
                <w:color w:val="auto"/>
                <w:sz w:val="21"/>
                <w:szCs w:val="21"/>
                <w:highlight w:val="none"/>
              </w:rPr>
              <w:t>外</w:t>
            </w:r>
          </w:p>
        </w:tc>
        <w:tc>
          <w:tcPr>
            <w:tcW w:w="1098" w:type="pct"/>
            <w:tcBorders>
              <w:tl2br w:val="nil"/>
              <w:tr2bl w:val="nil"/>
            </w:tcBorders>
            <w:noWrap w:val="0"/>
            <w:vAlign w:val="center"/>
          </w:tcPr>
          <w:p w14:paraId="29DAF30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w:t>
            </w:r>
          </w:p>
        </w:tc>
        <w:tc>
          <w:tcPr>
            <w:tcW w:w="1000" w:type="pct"/>
            <w:tcBorders>
              <w:tl2br w:val="nil"/>
              <w:tr2bl w:val="nil"/>
            </w:tcBorders>
            <w:noWrap w:val="0"/>
            <w:vAlign w:val="center"/>
          </w:tcPr>
          <w:p w14:paraId="1D638F6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0</w:t>
            </w:r>
            <w:r>
              <w:rPr>
                <w:rFonts w:hint="default" w:ascii="Times New Roman" w:hAnsi="Times New Roman" w:cs="Times New Roman"/>
                <w:color w:val="auto"/>
                <w:sz w:val="21"/>
                <w:szCs w:val="21"/>
                <w:highlight w:val="none"/>
              </w:rPr>
              <w:t>级</w:t>
            </w:r>
          </w:p>
        </w:tc>
        <w:tc>
          <w:tcPr>
            <w:tcW w:w="2003" w:type="pct"/>
            <w:gridSpan w:val="2"/>
            <w:tcBorders>
              <w:tl2br w:val="nil"/>
              <w:tr2bl w:val="nil"/>
            </w:tcBorders>
            <w:noWrap w:val="0"/>
            <w:vAlign w:val="center"/>
          </w:tcPr>
          <w:p w14:paraId="662AEA0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z w:val="21"/>
                <w:szCs w:val="21"/>
                <w:highlight w:val="none"/>
                <w:u w:val="single"/>
                <w:lang w:eastAsia="zh-CN"/>
              </w:rPr>
            </w:pPr>
            <w:r>
              <w:rPr>
                <w:rFonts w:hint="eastAsia" w:ascii="Times New Roman" w:eastAsia="宋体" w:cs="Times New Roman"/>
                <w:color w:val="auto"/>
                <w:sz w:val="21"/>
                <w:szCs w:val="21"/>
                <w:highlight w:val="none"/>
                <w:u w:val="single"/>
                <w:lang w:eastAsia="zh-CN"/>
              </w:rPr>
              <w:t>无臭味</w:t>
            </w:r>
          </w:p>
        </w:tc>
      </w:tr>
    </w:tbl>
    <w:p w14:paraId="7AC09686">
      <w:pPr>
        <w:pStyle w:val="5"/>
        <w:bidi w:val="0"/>
        <w:ind w:left="452" w:leftChars="0" w:firstLine="0" w:firstLineChars="0"/>
        <w:rPr>
          <w:rFonts w:hint="default"/>
          <w:color w:val="auto"/>
          <w:highlight w:val="none"/>
        </w:rPr>
      </w:pPr>
      <w:r>
        <w:rPr>
          <w:rFonts w:hint="default"/>
          <w:color w:val="auto"/>
          <w:highlight w:val="none"/>
        </w:rPr>
        <w:t>施工期废水源强</w:t>
      </w:r>
    </w:p>
    <w:p w14:paraId="0A97C698">
      <w:pPr>
        <w:ind w:firstLine="416"/>
        <w:rPr>
          <w:rFonts w:hint="eastAsia" w:ascii="Times New Roman" w:cs="Times New Roman"/>
          <w:bCs/>
          <w:color w:val="auto"/>
          <w:highlight w:val="none"/>
          <w:u w:val="single"/>
          <w:lang w:val="en-US" w:eastAsia="zh-CN"/>
        </w:rPr>
      </w:pPr>
      <w:r>
        <w:rPr>
          <w:rFonts w:hint="default" w:ascii="Times New Roman" w:hAnsi="Times New Roman" w:eastAsia="宋体" w:cs="Times New Roman"/>
          <w:bCs/>
          <w:color w:val="auto"/>
          <w:highlight w:val="none"/>
          <w:u w:val="none"/>
          <w:lang w:val="en-US" w:eastAsia="zh-CN"/>
        </w:rPr>
        <w:t>本工程施工工期较短且位于钦州市城区内，本项目不设置施工营地，施工人员租用周边民房作为施工生活区，施工人员产生的生活污水经依托的生活污水处理设施进行处置</w:t>
      </w:r>
      <w:r>
        <w:rPr>
          <w:rFonts w:hint="eastAsia" w:ascii="Times New Roman" w:cs="Times New Roman"/>
          <w:bCs/>
          <w:color w:val="auto"/>
          <w:highlight w:val="none"/>
          <w:u w:val="none"/>
          <w:lang w:val="en-US" w:eastAsia="zh-CN"/>
        </w:rPr>
        <w:t>；根据施工单位提供资料，</w:t>
      </w:r>
      <w:r>
        <w:rPr>
          <w:rFonts w:hint="eastAsia" w:ascii="Times New Roman" w:cs="Times New Roman"/>
          <w:bCs/>
          <w:color w:val="auto"/>
          <w:highlight w:val="none"/>
          <w:u w:val="single"/>
          <w:lang w:val="en-US" w:eastAsia="zh-CN"/>
        </w:rPr>
        <w:t>项目雨水排水管非雨污混合排污管，且所在区域不属于特殊地质条件（如湿陷土、膨胀土、流沙地区），施工完毕后无需进行闭水实验，无闭水实验废水产生。</w:t>
      </w:r>
    </w:p>
    <w:p w14:paraId="3F0A866E">
      <w:pPr>
        <w:ind w:firstLine="416"/>
        <w:rPr>
          <w:rFonts w:hint="default" w:ascii="Times New Roman" w:hAnsi="Times New Roman" w:eastAsia="宋体" w:cs="Times New Roman"/>
          <w:bCs/>
          <w:color w:val="auto"/>
          <w:highlight w:val="none"/>
          <w:u w:val="single"/>
          <w:lang w:val="en-US" w:eastAsia="zh-CN"/>
        </w:rPr>
      </w:pPr>
      <w:r>
        <w:rPr>
          <w:rFonts w:hint="eastAsia" w:ascii="Times New Roman" w:cs="Times New Roman"/>
          <w:bCs/>
          <w:color w:val="auto"/>
          <w:highlight w:val="none"/>
          <w:u w:val="single"/>
          <w:lang w:val="en-US" w:eastAsia="zh-CN"/>
        </w:rPr>
        <w:t>根据项目施工特点，</w:t>
      </w:r>
      <w:r>
        <w:rPr>
          <w:rFonts w:hint="default" w:ascii="Times New Roman" w:hAnsi="Times New Roman" w:eastAsia="宋体" w:cs="Times New Roman"/>
          <w:bCs/>
          <w:color w:val="auto"/>
          <w:highlight w:val="none"/>
          <w:u w:val="none"/>
          <w:lang w:val="en-US" w:eastAsia="zh-CN"/>
        </w:rPr>
        <w:t>项目产生的施工废水主要为混凝土养护废水，运输车辆冲洗废水，基坑废水</w:t>
      </w:r>
      <w:r>
        <w:rPr>
          <w:rFonts w:hint="eastAsia" w:ascii="Times New Roman" w:cs="Times New Roman"/>
          <w:bCs/>
          <w:color w:val="auto"/>
          <w:highlight w:val="none"/>
          <w:u w:val="none"/>
          <w:lang w:val="en-US" w:eastAsia="zh-CN"/>
        </w:rPr>
        <w:t>、淤泥渗滤液、</w:t>
      </w:r>
      <w:r>
        <w:rPr>
          <w:rFonts w:hint="eastAsia" w:ascii="Times New Roman" w:cs="Times New Roman"/>
          <w:bCs/>
          <w:color w:val="auto"/>
          <w:highlight w:val="none"/>
          <w:u w:val="single"/>
          <w:lang w:val="en-US" w:eastAsia="zh-CN"/>
        </w:rPr>
        <w:t>临时中转场淋溶废水、初期雨水</w:t>
      </w:r>
      <w:r>
        <w:rPr>
          <w:rFonts w:hint="default" w:ascii="Times New Roman" w:hAnsi="Times New Roman" w:eastAsia="宋体" w:cs="Times New Roman"/>
          <w:bCs/>
          <w:color w:val="auto"/>
          <w:highlight w:val="none"/>
          <w:u w:val="single"/>
          <w:lang w:val="en-US" w:eastAsia="zh-CN"/>
        </w:rPr>
        <w:t>。</w:t>
      </w:r>
    </w:p>
    <w:p w14:paraId="72409F35">
      <w:pPr>
        <w:pStyle w:val="410"/>
        <w:numPr>
          <w:ilvl w:val="0"/>
          <w:numId w:val="33"/>
        </w:numP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混凝土养护废水</w:t>
      </w:r>
    </w:p>
    <w:p w14:paraId="2D871F95">
      <w:pPr>
        <w:ind w:firstLine="416"/>
        <w:rPr>
          <w:rFonts w:hint="default" w:ascii="Times New Roman" w:hAnsi="Times New Roman" w:eastAsia="宋体" w:cs="Times New Roman"/>
          <w:bCs/>
          <w:color w:val="auto"/>
          <w:highlight w:val="none"/>
          <w:u w:val="none"/>
        </w:rPr>
      </w:pPr>
      <w:r>
        <w:rPr>
          <w:rFonts w:hint="default" w:ascii="Times New Roman" w:hAnsi="Times New Roman" w:eastAsia="宋体" w:cs="Times New Roman"/>
          <w:bCs/>
          <w:color w:val="auto"/>
          <w:highlight w:val="none"/>
          <w:u w:val="none"/>
        </w:rPr>
        <w:t>本工程部分</w:t>
      </w:r>
      <w:r>
        <w:rPr>
          <w:rFonts w:hint="default" w:ascii="Times New Roman" w:hAnsi="Times New Roman" w:eastAsia="宋体" w:cs="Times New Roman"/>
          <w:bCs/>
          <w:color w:val="auto"/>
          <w:highlight w:val="none"/>
          <w:u w:val="none"/>
          <w:lang w:val="en-US" w:eastAsia="zh-CN"/>
        </w:rPr>
        <w:t>挡土墙</w:t>
      </w:r>
      <w:r>
        <w:rPr>
          <w:rFonts w:hint="eastAsia" w:ascii="Times New Roman" w:cs="Times New Roman"/>
          <w:bCs/>
          <w:color w:val="auto"/>
          <w:highlight w:val="none"/>
          <w:u w:val="none"/>
          <w:lang w:val="en-US" w:eastAsia="zh-CN"/>
        </w:rPr>
        <w:t>、排水涵工程及锦绣大道管道铺设区的恢复</w:t>
      </w:r>
      <w:r>
        <w:rPr>
          <w:rFonts w:hint="default" w:ascii="Times New Roman" w:hAnsi="Times New Roman" w:eastAsia="宋体" w:cs="Times New Roman"/>
          <w:bCs/>
          <w:color w:val="auto"/>
          <w:highlight w:val="none"/>
          <w:u w:val="none"/>
        </w:rPr>
        <w:t>，需要</w:t>
      </w:r>
      <w:r>
        <w:rPr>
          <w:rFonts w:hint="eastAsia" w:ascii="Times New Roman" w:cs="Times New Roman"/>
          <w:bCs/>
          <w:color w:val="auto"/>
          <w:highlight w:val="none"/>
          <w:u w:val="none"/>
          <w:lang w:eastAsia="zh-CN"/>
        </w:rPr>
        <w:t>使用外购成品</w:t>
      </w:r>
      <w:r>
        <w:rPr>
          <w:rFonts w:hint="default" w:ascii="Times New Roman" w:hAnsi="Times New Roman" w:eastAsia="宋体" w:cs="Times New Roman"/>
          <w:bCs/>
          <w:color w:val="auto"/>
          <w:highlight w:val="none"/>
          <w:u w:val="none"/>
        </w:rPr>
        <w:t>混凝土，在混凝土养护过程中，会产生一定量的养护废水</w:t>
      </w:r>
      <w:r>
        <w:rPr>
          <w:rFonts w:hint="default" w:ascii="Times New Roman" w:hAnsi="Times New Roman" w:eastAsia="宋体" w:cs="Times New Roman"/>
          <w:bCs/>
          <w:color w:val="auto"/>
          <w:highlight w:val="none"/>
          <w:u w:val="single"/>
        </w:rPr>
        <w:t>。浇水养护废水主要污染物为SS，</w:t>
      </w:r>
      <w:r>
        <w:rPr>
          <w:rFonts w:hint="eastAsia" w:ascii="Times New Roman" w:cs="Times New Roman"/>
          <w:bCs/>
          <w:color w:val="auto"/>
          <w:highlight w:val="none"/>
          <w:u w:val="single"/>
          <w:lang w:eastAsia="zh-CN"/>
        </w:rPr>
        <w:t>类比同类工程，</w:t>
      </w:r>
      <w:r>
        <w:rPr>
          <w:rFonts w:hint="eastAsia" w:ascii="Times New Roman" w:cs="Times New Roman"/>
          <w:bCs/>
          <w:color w:val="auto"/>
          <w:highlight w:val="none"/>
          <w:u w:val="none"/>
          <w:lang w:eastAsia="zh-CN"/>
        </w:rPr>
        <w:t>养护废水</w:t>
      </w:r>
      <w:r>
        <w:rPr>
          <w:rFonts w:hint="default" w:ascii="Times New Roman" w:hAnsi="Times New Roman" w:eastAsia="宋体" w:cs="Times New Roman"/>
          <w:bCs/>
          <w:color w:val="auto"/>
          <w:highlight w:val="none"/>
          <w:u w:val="none"/>
        </w:rPr>
        <w:t>浓度在1500～2500mg/L，产生量为0.3m</w:t>
      </w:r>
      <w:r>
        <w:rPr>
          <w:rFonts w:hint="default" w:ascii="Times New Roman" w:hAnsi="Times New Roman" w:eastAsia="宋体" w:cs="Times New Roman"/>
          <w:bCs/>
          <w:color w:val="auto"/>
          <w:highlight w:val="none"/>
          <w:u w:val="none"/>
          <w:vertAlign w:val="superscript"/>
        </w:rPr>
        <w:t>3</w:t>
      </w:r>
      <w:r>
        <w:rPr>
          <w:rFonts w:hint="default" w:ascii="Times New Roman" w:hAnsi="Times New Roman" w:eastAsia="宋体" w:cs="Times New Roman"/>
          <w:bCs/>
          <w:color w:val="auto"/>
          <w:highlight w:val="none"/>
          <w:u w:val="none"/>
        </w:rPr>
        <w:t>/m</w:t>
      </w:r>
      <w:r>
        <w:rPr>
          <w:rFonts w:hint="default" w:ascii="Times New Roman" w:hAnsi="Times New Roman" w:eastAsia="宋体" w:cs="Times New Roman"/>
          <w:bCs/>
          <w:color w:val="auto"/>
          <w:highlight w:val="none"/>
          <w:u w:val="none"/>
          <w:vertAlign w:val="superscript"/>
        </w:rPr>
        <w:t>3</w:t>
      </w:r>
      <w:r>
        <w:rPr>
          <w:rFonts w:hint="default" w:ascii="Times New Roman" w:hAnsi="Times New Roman" w:eastAsia="宋体" w:cs="Times New Roman"/>
          <w:bCs/>
          <w:color w:val="auto"/>
          <w:highlight w:val="none"/>
          <w:u w:val="none"/>
        </w:rPr>
        <w:t>混凝土，本工程混凝土总用量约</w:t>
      </w:r>
      <w:r>
        <w:rPr>
          <w:rFonts w:hint="default" w:ascii="Times New Roman" w:hAnsi="Times New Roman" w:eastAsia="宋体" w:cs="Times New Roman"/>
          <w:bCs/>
          <w:color w:val="auto"/>
          <w:highlight w:val="none"/>
          <w:u w:val="none"/>
          <w:lang w:val="en-US" w:eastAsia="zh-CN"/>
        </w:rPr>
        <w:t>1266</w:t>
      </w:r>
      <w:r>
        <w:rPr>
          <w:rFonts w:hint="default" w:ascii="Times New Roman" w:hAnsi="Times New Roman" w:eastAsia="宋体" w:cs="Times New Roman"/>
          <w:bCs/>
          <w:color w:val="auto"/>
          <w:highlight w:val="none"/>
          <w:u w:val="none"/>
        </w:rPr>
        <w:t>m</w:t>
      </w:r>
      <w:r>
        <w:rPr>
          <w:rFonts w:hint="default" w:ascii="Times New Roman" w:hAnsi="Times New Roman" w:eastAsia="宋体" w:cs="Times New Roman"/>
          <w:bCs/>
          <w:color w:val="auto"/>
          <w:highlight w:val="none"/>
          <w:u w:val="none"/>
          <w:vertAlign w:val="superscript"/>
        </w:rPr>
        <w:t>3</w:t>
      </w:r>
      <w:r>
        <w:rPr>
          <w:rFonts w:hint="default" w:ascii="Times New Roman" w:hAnsi="Times New Roman" w:eastAsia="宋体" w:cs="Times New Roman"/>
          <w:bCs/>
          <w:color w:val="auto"/>
          <w:highlight w:val="none"/>
          <w:u w:val="none"/>
        </w:rPr>
        <w:t>，则施工期养护废水产生量约</w:t>
      </w:r>
      <w:r>
        <w:rPr>
          <w:rFonts w:hint="default" w:ascii="Times New Roman" w:hAnsi="Times New Roman" w:eastAsia="宋体" w:cs="Times New Roman"/>
          <w:bCs/>
          <w:color w:val="auto"/>
          <w:highlight w:val="none"/>
          <w:u w:val="none"/>
          <w:lang w:val="en-US" w:eastAsia="zh-CN"/>
        </w:rPr>
        <w:t>380</w:t>
      </w:r>
      <w:r>
        <w:rPr>
          <w:rFonts w:hint="default" w:ascii="Times New Roman" w:hAnsi="Times New Roman" w:eastAsia="宋体" w:cs="Times New Roman"/>
          <w:bCs/>
          <w:color w:val="auto"/>
          <w:highlight w:val="none"/>
          <w:u w:val="none"/>
        </w:rPr>
        <w:t>m</w:t>
      </w:r>
      <w:r>
        <w:rPr>
          <w:rFonts w:hint="default" w:ascii="Times New Roman" w:hAnsi="Times New Roman" w:eastAsia="宋体" w:cs="Times New Roman"/>
          <w:bCs/>
          <w:color w:val="auto"/>
          <w:highlight w:val="none"/>
          <w:u w:val="none"/>
          <w:vertAlign w:val="superscript"/>
        </w:rPr>
        <w:t>3</w:t>
      </w:r>
      <w:r>
        <w:rPr>
          <w:rFonts w:hint="default" w:ascii="Times New Roman" w:hAnsi="Times New Roman" w:eastAsia="宋体" w:cs="Times New Roman"/>
          <w:bCs/>
          <w:color w:val="auto"/>
          <w:highlight w:val="none"/>
          <w:u w:val="none"/>
        </w:rPr>
        <w:t>。养护过程养护废水随蒸发过程从混凝土表面流失，在混凝土养护过程中损耗和蒸发无养护废水产生外排。</w:t>
      </w:r>
    </w:p>
    <w:p w14:paraId="69CD0E37">
      <w:pPr>
        <w:pStyle w:val="410"/>
        <w:numPr>
          <w:ilvl w:val="0"/>
          <w:numId w:val="33"/>
        </w:numPr>
        <w:rPr>
          <w:rFonts w:hint="default" w:ascii="Times New Roman" w:hAnsi="Times New Roman" w:eastAsia="宋体" w:cs="Times New Roman"/>
          <w:bCs/>
          <w:color w:val="auto"/>
          <w:highlight w:val="none"/>
          <w:u w:val="none"/>
        </w:rPr>
      </w:pPr>
      <w:r>
        <w:rPr>
          <w:rFonts w:hint="default" w:ascii="Times New Roman" w:hAnsi="Times New Roman" w:cs="Times New Roman"/>
          <w:b/>
          <w:bCs/>
          <w:color w:val="auto"/>
          <w:highlight w:val="none"/>
          <w:lang w:val="en-US" w:eastAsia="zh-CN"/>
        </w:rPr>
        <w:t>车辆冲洗废水</w:t>
      </w:r>
    </w:p>
    <w:p w14:paraId="0FEE3180">
      <w:pPr>
        <w:ind w:firstLine="416"/>
        <w:rPr>
          <w:rFonts w:hint="default" w:ascii="Times New Roman" w:hAnsi="Times New Roman" w:eastAsia="宋体" w:cs="Times New Roman"/>
          <w:bCs/>
          <w:color w:val="auto"/>
          <w:highlight w:val="none"/>
          <w:u w:val="none"/>
        </w:rPr>
      </w:pPr>
      <w:r>
        <w:rPr>
          <w:rFonts w:hint="default" w:ascii="Times New Roman" w:hAnsi="Times New Roman" w:eastAsia="宋体" w:cs="Times New Roman"/>
          <w:bCs/>
          <w:color w:val="auto"/>
          <w:highlight w:val="none"/>
          <w:u w:val="none"/>
        </w:rPr>
        <w:t>本</w:t>
      </w:r>
      <w:r>
        <w:rPr>
          <w:rFonts w:hint="default" w:ascii="Times New Roman" w:hAnsi="Times New Roman" w:eastAsia="宋体" w:cs="Times New Roman"/>
          <w:bCs/>
          <w:color w:val="auto"/>
          <w:highlight w:val="none"/>
          <w:u w:val="none"/>
          <w:lang w:eastAsia="zh-CN"/>
        </w:rPr>
        <w:t>工程</w:t>
      </w:r>
      <w:r>
        <w:rPr>
          <w:rFonts w:hint="default" w:ascii="Times New Roman" w:hAnsi="Times New Roman" w:eastAsia="宋体" w:cs="Times New Roman"/>
          <w:bCs/>
          <w:color w:val="auto"/>
          <w:highlight w:val="none"/>
          <w:u w:val="none"/>
        </w:rPr>
        <w:t>施工区不设置施工机械修配厂，维修委托钦州市有关厂家承修，</w:t>
      </w:r>
      <w:r>
        <w:rPr>
          <w:rFonts w:hint="eastAsia" w:ascii="Times New Roman" w:cs="Times New Roman"/>
          <w:bCs/>
          <w:color w:val="auto"/>
          <w:highlight w:val="none"/>
          <w:u w:val="none"/>
          <w:lang w:eastAsia="zh-CN"/>
        </w:rPr>
        <w:t>本项目位于临时中转场出入口处设置</w:t>
      </w:r>
      <w:r>
        <w:rPr>
          <w:rFonts w:hint="default" w:ascii="Times New Roman" w:hAnsi="Times New Roman" w:eastAsia="宋体" w:cs="Times New Roman"/>
          <w:bCs/>
          <w:color w:val="auto"/>
          <w:highlight w:val="none"/>
          <w:u w:val="none"/>
        </w:rPr>
        <w:t>车辆停放场和清洗平台。</w:t>
      </w:r>
    </w:p>
    <w:p w14:paraId="24E175F1">
      <w:pPr>
        <w:ind w:firstLine="416"/>
        <w:rPr>
          <w:rFonts w:hint="default" w:ascii="Times New Roman" w:hAnsi="Times New Roman" w:eastAsia="宋体" w:cs="Times New Roman"/>
          <w:bCs/>
          <w:color w:val="auto"/>
          <w:highlight w:val="none"/>
          <w:u w:val="none"/>
        </w:rPr>
      </w:pPr>
      <w:r>
        <w:rPr>
          <w:rFonts w:hint="default" w:ascii="Times New Roman" w:hAnsi="Times New Roman" w:eastAsia="宋体" w:cs="Times New Roman"/>
          <w:bCs/>
          <w:color w:val="auto"/>
          <w:highlight w:val="none"/>
          <w:u w:val="none"/>
        </w:rPr>
        <w:t>车辆进入和驶出施工场地均需冲洗干净，产生机械冲洗废水，根据《水电水利工程施工环境保护技术规程》（DL/T5260-2010），载重汽车、</w:t>
      </w:r>
      <w:r>
        <w:rPr>
          <w:rFonts w:hint="default" w:ascii="Times New Roman" w:hAnsi="Times New Roman" w:eastAsia="宋体" w:cs="Times New Roman"/>
          <w:bCs/>
          <w:color w:val="auto"/>
          <w:highlight w:val="none"/>
          <w:u w:val="none"/>
        </w:rPr>
        <w:tab/>
      </w:r>
      <w:r>
        <w:rPr>
          <w:rFonts w:hint="default" w:ascii="Times New Roman" w:hAnsi="Times New Roman" w:eastAsia="宋体" w:cs="Times New Roman"/>
          <w:bCs/>
          <w:color w:val="auto"/>
          <w:highlight w:val="none"/>
          <w:u w:val="none"/>
        </w:rPr>
        <w:t>工程汽车清洗用水量约为</w:t>
      </w:r>
      <w:r>
        <w:rPr>
          <w:rFonts w:hint="default" w:ascii="Times New Roman" w:hAnsi="Times New Roman" w:eastAsia="宋体" w:cs="Times New Roman"/>
          <w:bCs/>
          <w:color w:val="auto"/>
          <w:highlight w:val="none"/>
          <w:u w:val="single"/>
        </w:rPr>
        <w:t>0.7m</w:t>
      </w:r>
      <w:r>
        <w:rPr>
          <w:rFonts w:hint="default" w:ascii="Times New Roman" w:hAnsi="Times New Roman" w:eastAsia="宋体" w:cs="Times New Roman"/>
          <w:bCs/>
          <w:color w:val="auto"/>
          <w:highlight w:val="none"/>
          <w:u w:val="single"/>
          <w:vertAlign w:val="superscript"/>
        </w:rPr>
        <w:t>3</w:t>
      </w:r>
      <w:r>
        <w:rPr>
          <w:rFonts w:hint="default" w:ascii="Times New Roman" w:hAnsi="Times New Roman" w:eastAsia="宋体" w:cs="Times New Roman"/>
          <w:bCs/>
          <w:color w:val="auto"/>
          <w:highlight w:val="none"/>
          <w:u w:val="single"/>
        </w:rPr>
        <w:t>/辆•次</w:t>
      </w:r>
      <w:r>
        <w:rPr>
          <w:rFonts w:hint="default" w:ascii="Times New Roman" w:hAnsi="Times New Roman" w:eastAsia="宋体" w:cs="Times New Roman"/>
          <w:bCs/>
          <w:color w:val="auto"/>
          <w:highlight w:val="none"/>
          <w:u w:val="none"/>
        </w:rPr>
        <w:t>，本项目每日冲洗车辆18辆次，则每日冲洗废水</w:t>
      </w:r>
      <w:r>
        <w:rPr>
          <w:rFonts w:hint="eastAsia" w:ascii="Times New Roman" w:cs="Times New Roman"/>
          <w:bCs/>
          <w:color w:val="auto"/>
          <w:highlight w:val="none"/>
          <w:u w:val="none"/>
          <w:lang w:eastAsia="zh-CN"/>
        </w:rPr>
        <w:t>用水量</w:t>
      </w:r>
      <w:r>
        <w:rPr>
          <w:rFonts w:hint="default" w:ascii="Times New Roman" w:hAnsi="Times New Roman" w:eastAsia="宋体" w:cs="Times New Roman"/>
          <w:bCs/>
          <w:color w:val="auto"/>
          <w:highlight w:val="none"/>
          <w:u w:val="none"/>
        </w:rPr>
        <w:t>约为12.6m</w:t>
      </w:r>
      <w:r>
        <w:rPr>
          <w:rFonts w:hint="default" w:ascii="Times New Roman" w:hAnsi="Times New Roman" w:eastAsia="宋体" w:cs="Times New Roman"/>
          <w:bCs/>
          <w:color w:val="auto"/>
          <w:highlight w:val="none"/>
          <w:u w:val="none"/>
          <w:vertAlign w:val="superscript"/>
        </w:rPr>
        <w:t>3</w:t>
      </w:r>
      <w:r>
        <w:rPr>
          <w:rFonts w:hint="default" w:ascii="Times New Roman" w:hAnsi="Times New Roman" w:eastAsia="宋体" w:cs="Times New Roman"/>
          <w:bCs/>
          <w:color w:val="auto"/>
          <w:highlight w:val="none"/>
          <w:u w:val="none"/>
        </w:rPr>
        <w:t>/d</w:t>
      </w:r>
      <w:r>
        <w:rPr>
          <w:rFonts w:hint="eastAsia" w:ascii="Times New Roman" w:cs="Times New Roman"/>
          <w:bCs/>
          <w:color w:val="auto"/>
          <w:highlight w:val="none"/>
          <w:u w:val="none"/>
          <w:lang w:eastAsia="zh-CN"/>
        </w:rPr>
        <w:t>，产生废水量按系数</w:t>
      </w:r>
      <w:r>
        <w:rPr>
          <w:rFonts w:hint="eastAsia" w:ascii="Times New Roman" w:cs="Times New Roman"/>
          <w:bCs/>
          <w:color w:val="auto"/>
          <w:highlight w:val="none"/>
          <w:u w:val="none"/>
          <w:lang w:val="en-US" w:eastAsia="zh-CN"/>
        </w:rPr>
        <w:t>0.8计算，废水产生量为10.08</w:t>
      </w:r>
      <w:r>
        <w:rPr>
          <w:rFonts w:hint="default" w:ascii="Times New Roman" w:hAnsi="Times New Roman" w:eastAsia="宋体" w:cs="Times New Roman"/>
          <w:bCs/>
          <w:color w:val="auto"/>
          <w:highlight w:val="none"/>
          <w:u w:val="none"/>
        </w:rPr>
        <w:t>m</w:t>
      </w:r>
      <w:r>
        <w:rPr>
          <w:rFonts w:hint="default" w:ascii="Times New Roman" w:hAnsi="Times New Roman" w:eastAsia="宋体" w:cs="Times New Roman"/>
          <w:bCs/>
          <w:color w:val="auto"/>
          <w:highlight w:val="none"/>
          <w:u w:val="none"/>
          <w:vertAlign w:val="superscript"/>
        </w:rPr>
        <w:t>3</w:t>
      </w:r>
      <w:r>
        <w:rPr>
          <w:rFonts w:hint="default" w:ascii="Times New Roman" w:hAnsi="Times New Roman" w:eastAsia="宋体" w:cs="Times New Roman"/>
          <w:bCs/>
          <w:color w:val="auto"/>
          <w:highlight w:val="none"/>
          <w:u w:val="none"/>
        </w:rPr>
        <w:t>/d</w:t>
      </w:r>
      <w:r>
        <w:rPr>
          <w:rFonts w:hint="eastAsia" w:ascii="Times New Roman" w:cs="Times New Roman"/>
          <w:bCs/>
          <w:color w:val="auto"/>
          <w:highlight w:val="none"/>
          <w:u w:val="none"/>
          <w:lang w:eastAsia="zh-CN"/>
        </w:rPr>
        <w:t>，</w:t>
      </w:r>
      <w:r>
        <w:rPr>
          <w:rFonts w:hint="eastAsia" w:ascii="Times New Roman" w:cs="Times New Roman"/>
          <w:bCs/>
          <w:color w:val="auto"/>
          <w:highlight w:val="none"/>
          <w:u w:val="none"/>
          <w:lang w:val="en-US" w:eastAsia="zh-CN"/>
        </w:rPr>
        <w:t>3628.8</w:t>
      </w:r>
      <w:r>
        <w:rPr>
          <w:rFonts w:hint="default" w:ascii="Times New Roman" w:hAnsi="Times New Roman" w:eastAsia="宋体" w:cs="Times New Roman"/>
          <w:bCs/>
          <w:color w:val="auto"/>
          <w:highlight w:val="none"/>
          <w:u w:val="none"/>
        </w:rPr>
        <w:t>m</w:t>
      </w:r>
      <w:r>
        <w:rPr>
          <w:rFonts w:hint="default" w:ascii="Times New Roman" w:hAnsi="Times New Roman" w:eastAsia="宋体" w:cs="Times New Roman"/>
          <w:bCs/>
          <w:color w:val="auto"/>
          <w:highlight w:val="none"/>
          <w:u w:val="none"/>
          <w:vertAlign w:val="superscript"/>
        </w:rPr>
        <w:t>3</w:t>
      </w:r>
      <w:r>
        <w:rPr>
          <w:rFonts w:hint="default" w:ascii="Times New Roman" w:hAnsi="Times New Roman" w:eastAsia="宋体" w:cs="Times New Roman"/>
          <w:bCs/>
          <w:color w:val="auto"/>
          <w:highlight w:val="none"/>
          <w:u w:val="none"/>
        </w:rPr>
        <w:t>/</w:t>
      </w:r>
      <w:r>
        <w:rPr>
          <w:rFonts w:hint="eastAsia" w:ascii="Times New Roman" w:cs="Times New Roman"/>
          <w:bCs/>
          <w:color w:val="auto"/>
          <w:highlight w:val="none"/>
          <w:u w:val="none"/>
          <w:lang w:val="en-US" w:eastAsia="zh-CN"/>
        </w:rPr>
        <w:t>a</w:t>
      </w:r>
      <w:r>
        <w:rPr>
          <w:rFonts w:hint="default" w:ascii="Times New Roman" w:hAnsi="Times New Roman" w:eastAsia="宋体" w:cs="Times New Roman"/>
          <w:bCs/>
          <w:color w:val="auto"/>
          <w:highlight w:val="none"/>
          <w:u w:val="none"/>
        </w:rPr>
        <w:t>。冲洗废水中主要污染物为石油类和SS，石油类和SS浓度分别为约</w:t>
      </w:r>
      <w:r>
        <w:rPr>
          <w:rFonts w:hint="eastAsia" w:ascii="Times New Roman" w:cs="Times New Roman"/>
          <w:bCs/>
          <w:color w:val="auto"/>
          <w:highlight w:val="none"/>
          <w:u w:val="single"/>
          <w:lang w:val="en-US" w:eastAsia="zh-CN"/>
        </w:rPr>
        <w:t>10</w:t>
      </w:r>
      <w:r>
        <w:rPr>
          <w:rFonts w:hint="default" w:ascii="Times New Roman" w:hAnsi="Times New Roman" w:eastAsia="宋体" w:cs="Times New Roman"/>
          <w:bCs/>
          <w:color w:val="auto"/>
          <w:highlight w:val="none"/>
          <w:u w:val="single"/>
        </w:rPr>
        <w:t>～</w:t>
      </w:r>
      <w:r>
        <w:rPr>
          <w:rFonts w:hint="eastAsia" w:ascii="Times New Roman" w:cs="Times New Roman"/>
          <w:bCs/>
          <w:color w:val="auto"/>
          <w:highlight w:val="none"/>
          <w:u w:val="single"/>
          <w:lang w:val="en-US" w:eastAsia="zh-CN"/>
        </w:rPr>
        <w:t>30</w:t>
      </w:r>
      <w:r>
        <w:rPr>
          <w:rFonts w:hint="default" w:ascii="Times New Roman" w:hAnsi="Times New Roman" w:eastAsia="宋体" w:cs="Times New Roman"/>
          <w:bCs/>
          <w:color w:val="auto"/>
          <w:highlight w:val="none"/>
          <w:u w:val="single"/>
        </w:rPr>
        <w:t>mg/L</w:t>
      </w:r>
      <w:r>
        <w:rPr>
          <w:rFonts w:hint="default" w:ascii="Times New Roman" w:hAnsi="Times New Roman" w:eastAsia="宋体" w:cs="Times New Roman"/>
          <w:bCs/>
          <w:color w:val="auto"/>
          <w:highlight w:val="none"/>
          <w:u w:val="none"/>
        </w:rPr>
        <w:t>、</w:t>
      </w:r>
      <w:r>
        <w:rPr>
          <w:rFonts w:hint="eastAsia" w:ascii="Times New Roman" w:cs="Times New Roman"/>
          <w:bCs/>
          <w:color w:val="auto"/>
          <w:highlight w:val="none"/>
          <w:u w:val="single"/>
          <w:lang w:val="en-US" w:eastAsia="zh-CN"/>
        </w:rPr>
        <w:t>500~4000</w:t>
      </w:r>
      <w:r>
        <w:rPr>
          <w:rFonts w:hint="default" w:ascii="Times New Roman" w:hAnsi="Times New Roman" w:eastAsia="宋体" w:cs="Times New Roman"/>
          <w:bCs/>
          <w:color w:val="auto"/>
          <w:highlight w:val="none"/>
          <w:u w:val="single"/>
        </w:rPr>
        <w:t>mg/L</w:t>
      </w:r>
      <w:r>
        <w:rPr>
          <w:rFonts w:hint="default" w:ascii="Times New Roman" w:hAnsi="Times New Roman" w:eastAsia="宋体" w:cs="Times New Roman"/>
          <w:bCs/>
          <w:color w:val="auto"/>
          <w:highlight w:val="none"/>
          <w:u w:val="none"/>
        </w:rPr>
        <w:t>。拟对机械冲洗废水采取隔油和沉淀处理，隔油池拟采购成品隔油池，隔油池定期废油交由委托有资质单位处置，沉淀池出水回用于</w:t>
      </w:r>
      <w:r>
        <w:rPr>
          <w:rFonts w:hint="eastAsia"/>
          <w:color w:val="auto"/>
          <w:highlight w:val="none"/>
          <w:lang w:eastAsia="zh-CN"/>
        </w:rPr>
        <w:t>洒水降尘</w:t>
      </w:r>
      <w:r>
        <w:rPr>
          <w:rFonts w:hint="default" w:ascii="Times New Roman" w:hAnsi="Times New Roman" w:eastAsia="宋体" w:cs="Times New Roman"/>
          <w:bCs/>
          <w:color w:val="auto"/>
          <w:highlight w:val="none"/>
          <w:u w:val="none"/>
        </w:rPr>
        <w:t>。</w:t>
      </w:r>
    </w:p>
    <w:p w14:paraId="55E3715C">
      <w:pPr>
        <w:pStyle w:val="410"/>
        <w:numPr>
          <w:ilvl w:val="0"/>
          <w:numId w:val="33"/>
        </w:numP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基坑废水</w:t>
      </w:r>
    </w:p>
    <w:p w14:paraId="32B15954">
      <w:pPr>
        <w:ind w:firstLine="416"/>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基坑废水是指建筑物基坑开挖过程中，雨水，渗水汇集的基坑水，基坑废水主要来自围堰。基坑排水分为初期排水和经常性排水，初期排水指围堰内的主要原有水，渗水等基坑存水的排水</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经常性排水是指主要由基坑渗水、降雨积水、施工弃水等三部分组成。</w:t>
      </w:r>
    </w:p>
    <w:p w14:paraId="23D6FE33">
      <w:pPr>
        <w:ind w:firstLine="416"/>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项目城市更新项目建设服务于金窝水库的排水水系改造段对</w:t>
      </w:r>
      <w:r>
        <w:rPr>
          <w:rFonts w:hint="eastAsia" w:ascii="Times New Roman" w:cs="Times New Roman"/>
          <w:color w:val="auto"/>
          <w:highlight w:val="none"/>
          <w:lang w:val="en-US" w:eastAsia="zh-CN"/>
        </w:rPr>
        <w:t>曲绣路</w:t>
      </w:r>
      <w:r>
        <w:rPr>
          <w:rFonts w:hint="default" w:ascii="Times New Roman" w:hAnsi="Times New Roman" w:cs="Times New Roman"/>
          <w:color w:val="auto"/>
          <w:highlight w:val="none"/>
          <w:lang w:val="en-US" w:eastAsia="zh-CN"/>
        </w:rPr>
        <w:t>回填至标高后进行排水管和挡土墙施工，水系改造段主要位于耕地和空闲地内，主要对水系改造起点和终点衔接临时排水沟段进行土石围堰施工，项目不存在大基坑开挖，基坑积水按20m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/次计算，</w:t>
      </w:r>
      <w:r>
        <w:rPr>
          <w:rFonts w:hint="eastAsia" w:ascii="Times New Roman" w:cs="Times New Roman"/>
          <w:color w:val="auto"/>
          <w:highlight w:val="none"/>
          <w:u w:val="single"/>
          <w:lang w:val="en-US" w:eastAsia="zh-CN"/>
        </w:rPr>
        <w:t>根据</w:t>
      </w:r>
      <w:r>
        <w:rPr>
          <w:rFonts w:hint="default" w:ascii="Times New Roman" w:hAnsi="Times New Roman" w:eastAsia="宋体" w:cs="Times New Roman"/>
          <w:bCs/>
          <w:color w:val="auto"/>
          <w:highlight w:val="none"/>
          <w:u w:val="single"/>
        </w:rPr>
        <w:t>《水电水利工程施工环境保护技术规程》（DL/T5260-2010）</w:t>
      </w:r>
      <w:r>
        <w:rPr>
          <w:rFonts w:hint="eastAsia" w:ascii="Times New Roman" w:cs="Times New Roman"/>
          <w:bCs/>
          <w:color w:val="auto"/>
          <w:highlight w:val="none"/>
          <w:u w:val="single"/>
          <w:lang w:eastAsia="zh-CN"/>
        </w:rPr>
        <w:t>，</w:t>
      </w:r>
      <w:r>
        <w:rPr>
          <w:rFonts w:hint="default" w:ascii="Times New Roman" w:hAnsi="Times New Roman" w:cs="Times New Roman"/>
          <w:color w:val="auto"/>
          <w:highlight w:val="none"/>
          <w:u w:val="single"/>
          <w:lang w:val="en-US" w:eastAsia="zh-CN"/>
        </w:rPr>
        <w:t>基坑</w:t>
      </w:r>
      <w:r>
        <w:rPr>
          <w:rFonts w:hint="eastAsia" w:ascii="Times New Roman" w:cs="Times New Roman"/>
          <w:color w:val="auto"/>
          <w:highlight w:val="none"/>
          <w:u w:val="single"/>
          <w:lang w:val="en-US" w:eastAsia="zh-CN"/>
        </w:rPr>
        <w:t>废水</w:t>
      </w:r>
      <w:r>
        <w:rPr>
          <w:rFonts w:hint="default" w:ascii="Times New Roman" w:hAnsi="Times New Roman" w:cs="Times New Roman"/>
          <w:color w:val="auto"/>
          <w:highlight w:val="none"/>
          <w:u w:val="single"/>
          <w:lang w:val="en-US" w:eastAsia="zh-CN"/>
        </w:rPr>
        <w:t>SS产生浓度一般在1500~2500mg/L，</w:t>
      </w:r>
      <w:r>
        <w:rPr>
          <w:rFonts w:hint="default" w:ascii="Times New Roman" w:hAnsi="Times New Roman" w:cs="Times New Roman"/>
          <w:color w:val="auto"/>
          <w:highlight w:val="none"/>
          <w:lang w:val="en-US" w:eastAsia="zh-CN"/>
        </w:rPr>
        <w:t>本项目SS按2000mg/L计算，SS产生量为0.04t/次，本项目基坑积水经沉淀后回用于洒水降尘。</w:t>
      </w:r>
    </w:p>
    <w:p w14:paraId="0F10B9AE">
      <w:pPr>
        <w:pStyle w:val="32"/>
        <w:keepNext w:val="0"/>
        <w:keepLines w:val="0"/>
        <w:pageBreakBefore w:val="0"/>
        <w:kinsoku/>
        <w:wordWrap/>
        <w:overflowPunct/>
        <w:topLinePunct w:val="0"/>
        <w:bidi w:val="0"/>
        <w:adjustRightInd w:val="0"/>
        <w:snapToGrid w:val="0"/>
        <w:spacing w:before="0" w:after="0" w:line="360" w:lineRule="auto"/>
        <w:ind w:right="0" w:firstLine="454" w:firstLineChars="200"/>
        <w:jc w:val="both"/>
        <w:textAlignment w:val="auto"/>
        <w:rPr>
          <w:rFonts w:hint="default" w:ascii="Times New Roman" w:hAnsi="Times New Roman" w:eastAsia="宋体" w:cs="Times New Roman"/>
          <w:b w:val="0"/>
          <w:bCs w:val="0"/>
          <w:i w:val="0"/>
          <w:iCs w:val="0"/>
          <w:color w:val="auto"/>
          <w:kern w:val="2"/>
          <w:sz w:val="24"/>
          <w:szCs w:val="24"/>
          <w:highlight w:val="none"/>
          <w:u w:val="none"/>
          <w:lang w:val="en-US" w:eastAsia="zh-CN" w:bidi="ar-SA"/>
        </w:rPr>
      </w:pPr>
      <w:r>
        <w:rPr>
          <w:rFonts w:hint="default" w:ascii="Times New Roman" w:hAnsi="Times New Roman" w:cs="Times New Roman"/>
          <w:b w:val="0"/>
          <w:bCs w:val="0"/>
          <w:i w:val="0"/>
          <w:iCs w:val="0"/>
          <w:color w:val="auto"/>
          <w:kern w:val="2"/>
          <w:sz w:val="24"/>
          <w:szCs w:val="24"/>
          <w:highlight w:val="none"/>
          <w:u w:val="none"/>
          <w:lang w:val="en-US" w:eastAsia="zh-CN" w:bidi="ar-SA"/>
        </w:rPr>
        <w:t>本项目施工区、</w:t>
      </w:r>
      <w:r>
        <w:rPr>
          <w:rFonts w:hint="eastAsia" w:ascii="Times New Roman" w:cs="Times New Roman"/>
          <w:b w:val="0"/>
          <w:bCs w:val="0"/>
          <w:i w:val="0"/>
          <w:iCs w:val="0"/>
          <w:color w:val="auto"/>
          <w:kern w:val="2"/>
          <w:sz w:val="24"/>
          <w:szCs w:val="24"/>
          <w:highlight w:val="none"/>
          <w:u w:val="none"/>
          <w:lang w:val="en-US" w:eastAsia="zh-CN" w:bidi="ar-SA"/>
        </w:rPr>
        <w:t>临时中转场</w:t>
      </w:r>
      <w:r>
        <w:rPr>
          <w:rFonts w:hint="default" w:ascii="Times New Roman" w:hAnsi="Times New Roman" w:cs="Times New Roman"/>
          <w:b w:val="0"/>
          <w:bCs w:val="0"/>
          <w:i w:val="0"/>
          <w:iCs w:val="0"/>
          <w:color w:val="auto"/>
          <w:kern w:val="2"/>
          <w:sz w:val="24"/>
          <w:szCs w:val="24"/>
          <w:highlight w:val="none"/>
          <w:u w:val="none"/>
          <w:lang w:val="en-US" w:eastAsia="zh-CN" w:bidi="ar-SA"/>
        </w:rPr>
        <w:t>总面积为57100m</w:t>
      </w:r>
      <w:r>
        <w:rPr>
          <w:rFonts w:hint="default" w:ascii="Times New Roman" w:hAnsi="Times New Roman" w:cs="Times New Roman"/>
          <w:b w:val="0"/>
          <w:bCs w:val="0"/>
          <w:i w:val="0"/>
          <w:iCs w:val="0"/>
          <w:color w:val="auto"/>
          <w:kern w:val="2"/>
          <w:sz w:val="24"/>
          <w:szCs w:val="24"/>
          <w:highlight w:val="none"/>
          <w:u w:val="none"/>
          <w:vertAlign w:val="superscript"/>
          <w:lang w:val="en-US" w:eastAsia="zh-CN" w:bidi="ar-SA"/>
        </w:rPr>
        <w:t>2</w:t>
      </w:r>
      <w:r>
        <w:rPr>
          <w:rFonts w:hint="default" w:ascii="Times New Roman" w:hAnsi="Times New Roman" w:eastAsia="宋体" w:cs="Times New Roman"/>
          <w:b w:val="0"/>
          <w:bCs w:val="0"/>
          <w:i w:val="0"/>
          <w:iCs w:val="0"/>
          <w:color w:val="auto"/>
          <w:kern w:val="2"/>
          <w:sz w:val="24"/>
          <w:szCs w:val="24"/>
          <w:highlight w:val="none"/>
          <w:u w:val="none"/>
          <w:lang w:val="en-US" w:eastAsia="zh-CN" w:bidi="ar-SA"/>
        </w:rPr>
        <w:t>，</w:t>
      </w:r>
      <w:r>
        <w:rPr>
          <w:rFonts w:hint="default" w:ascii="Times New Roman" w:hAnsi="Times New Roman" w:cs="Times New Roman"/>
          <w:b w:val="0"/>
          <w:bCs w:val="0"/>
          <w:i w:val="0"/>
          <w:iCs w:val="0"/>
          <w:color w:val="auto"/>
          <w:kern w:val="2"/>
          <w:sz w:val="24"/>
          <w:szCs w:val="24"/>
          <w:highlight w:val="none"/>
          <w:u w:val="none"/>
          <w:lang w:val="en-US" w:eastAsia="zh-CN" w:bidi="ar-SA"/>
        </w:rPr>
        <w:t>场地洒水抑尘需求量为1.5L/m</w:t>
      </w:r>
      <w:r>
        <w:rPr>
          <w:rFonts w:hint="default" w:ascii="Times New Roman" w:hAnsi="Times New Roman" w:cs="Times New Roman"/>
          <w:b w:val="0"/>
          <w:bCs w:val="0"/>
          <w:i w:val="0"/>
          <w:iCs w:val="0"/>
          <w:color w:val="auto"/>
          <w:kern w:val="2"/>
          <w:sz w:val="24"/>
          <w:szCs w:val="24"/>
          <w:highlight w:val="none"/>
          <w:u w:val="none"/>
          <w:vertAlign w:val="superscript"/>
          <w:lang w:val="en-US" w:eastAsia="zh-CN" w:bidi="ar-SA"/>
        </w:rPr>
        <w:t>2</w:t>
      </w:r>
      <w:r>
        <w:rPr>
          <w:rFonts w:hint="default" w:ascii="Times New Roman" w:hAnsi="Times New Roman" w:cs="Times New Roman"/>
          <w:b w:val="0"/>
          <w:bCs w:val="0"/>
          <w:i w:val="0"/>
          <w:iCs w:val="0"/>
          <w:color w:val="auto"/>
          <w:kern w:val="2"/>
          <w:sz w:val="24"/>
          <w:szCs w:val="24"/>
          <w:highlight w:val="none"/>
          <w:u w:val="none"/>
          <w:lang w:val="en-US" w:eastAsia="zh-CN" w:bidi="ar-SA"/>
        </w:rPr>
        <w:t>·次，每日至少洒水降尘2次，因此项目临时工程洒水抑尘需水量为171.3m</w:t>
      </w:r>
      <w:r>
        <w:rPr>
          <w:rFonts w:hint="default" w:ascii="Times New Roman" w:hAnsi="Times New Roman" w:cs="Times New Roman"/>
          <w:b w:val="0"/>
          <w:bCs w:val="0"/>
          <w:i w:val="0"/>
          <w:iCs w:val="0"/>
          <w:color w:val="auto"/>
          <w:kern w:val="2"/>
          <w:sz w:val="24"/>
          <w:szCs w:val="24"/>
          <w:highlight w:val="none"/>
          <w:u w:val="none"/>
          <w:vertAlign w:val="superscript"/>
          <w:lang w:val="en-US" w:eastAsia="zh-CN" w:bidi="ar-SA"/>
        </w:rPr>
        <w:t>3</w:t>
      </w:r>
      <w:r>
        <w:rPr>
          <w:rFonts w:hint="default" w:ascii="Times New Roman" w:hAnsi="Times New Roman" w:cs="Times New Roman"/>
          <w:b w:val="0"/>
          <w:bCs w:val="0"/>
          <w:i w:val="0"/>
          <w:iCs w:val="0"/>
          <w:color w:val="auto"/>
          <w:kern w:val="2"/>
          <w:sz w:val="24"/>
          <w:szCs w:val="24"/>
          <w:highlight w:val="none"/>
          <w:u w:val="none"/>
          <w:lang w:val="en-US" w:eastAsia="zh-CN" w:bidi="ar-SA"/>
        </w:rPr>
        <w:t>·天，</w:t>
      </w:r>
      <w:r>
        <w:rPr>
          <w:rFonts w:hint="default" w:ascii="Times New Roman" w:hAnsi="Times New Roman" w:eastAsia="宋体" w:cs="Times New Roman"/>
          <w:b w:val="0"/>
          <w:bCs w:val="0"/>
          <w:i w:val="0"/>
          <w:iCs w:val="0"/>
          <w:color w:val="auto"/>
          <w:kern w:val="2"/>
          <w:sz w:val="24"/>
          <w:szCs w:val="24"/>
          <w:highlight w:val="none"/>
          <w:u w:val="none"/>
          <w:lang w:val="en-US" w:eastAsia="zh-CN" w:bidi="ar-SA"/>
        </w:rPr>
        <w:t>因此</w:t>
      </w:r>
      <w:r>
        <w:rPr>
          <w:rFonts w:hint="default" w:ascii="Times New Roman" w:hAnsi="Times New Roman" w:cs="Times New Roman"/>
          <w:b w:val="0"/>
          <w:bCs w:val="0"/>
          <w:i w:val="0"/>
          <w:iCs w:val="0"/>
          <w:color w:val="auto"/>
          <w:kern w:val="2"/>
          <w:sz w:val="24"/>
          <w:szCs w:val="24"/>
          <w:highlight w:val="none"/>
          <w:u w:val="none"/>
          <w:lang w:val="en-US" w:eastAsia="zh-CN" w:bidi="ar-SA"/>
        </w:rPr>
        <w:t>基坑积水可全部用施工场地洒水抑尘，因此，项目基坑积水</w:t>
      </w:r>
      <w:r>
        <w:rPr>
          <w:rFonts w:hint="default" w:ascii="Times New Roman" w:hAnsi="Times New Roman" w:eastAsia="宋体" w:cs="Times New Roman"/>
          <w:b w:val="0"/>
          <w:bCs w:val="0"/>
          <w:i w:val="0"/>
          <w:iCs w:val="0"/>
          <w:color w:val="auto"/>
          <w:kern w:val="2"/>
          <w:sz w:val="24"/>
          <w:szCs w:val="24"/>
          <w:highlight w:val="none"/>
          <w:u w:val="none"/>
          <w:lang w:val="en-US" w:eastAsia="zh-CN" w:bidi="ar-SA"/>
        </w:rPr>
        <w:t>对周边地表水环境影响不大。</w:t>
      </w:r>
    </w:p>
    <w:p w14:paraId="67F48783">
      <w:pPr>
        <w:pStyle w:val="410"/>
        <w:numPr>
          <w:ilvl w:val="0"/>
          <w:numId w:val="33"/>
        </w:numPr>
        <w:rPr>
          <w:rFonts w:hint="default" w:ascii="Times New Roman" w:hAnsi="Times New Roman" w:eastAsia="宋体" w:cs="Times New Roman"/>
          <w:b/>
          <w:bCs/>
          <w:i w:val="0"/>
          <w:iCs w:val="0"/>
          <w:color w:val="auto"/>
          <w:kern w:val="2"/>
          <w:sz w:val="24"/>
          <w:szCs w:val="24"/>
          <w:highlight w:val="none"/>
          <w:u w:val="none"/>
          <w:lang w:val="en-US" w:eastAsia="zh-CN" w:bidi="ar-SA"/>
        </w:rPr>
      </w:pPr>
      <w:r>
        <w:rPr>
          <w:rFonts w:hint="eastAsia" w:ascii="Times New Roman" w:cs="Times New Roman"/>
          <w:b/>
          <w:bCs/>
          <w:i w:val="0"/>
          <w:iCs w:val="0"/>
          <w:color w:val="auto"/>
          <w:kern w:val="2"/>
          <w:sz w:val="24"/>
          <w:szCs w:val="24"/>
          <w:highlight w:val="none"/>
          <w:u w:val="none"/>
          <w:lang w:val="en-US" w:eastAsia="zh-CN" w:bidi="ar-SA"/>
        </w:rPr>
        <w:t>淤泥渗滤水</w:t>
      </w:r>
    </w:p>
    <w:p w14:paraId="6F10F67D">
      <w:pPr>
        <w:pStyle w:val="410"/>
        <w:rPr>
          <w:rFonts w:hint="eastAsia" w:ascii="Times New Roman" w:cs="Times New Roman"/>
          <w:b w:val="0"/>
          <w:bCs/>
          <w:color w:val="auto"/>
          <w:kern w:val="2"/>
          <w:sz w:val="24"/>
          <w:szCs w:val="32"/>
          <w:highlight w:val="none"/>
          <w:u w:val="single"/>
          <w:lang w:val="en-US" w:eastAsia="zh-CN" w:bidi="ar-SA"/>
        </w:rPr>
      </w:pPr>
      <w:r>
        <w:rPr>
          <w:rFonts w:hint="eastAsia" w:ascii="Times New Roman" w:cs="Times New Roman"/>
          <w:b w:val="0"/>
          <w:bCs/>
          <w:color w:val="auto"/>
          <w:kern w:val="2"/>
          <w:sz w:val="24"/>
          <w:szCs w:val="32"/>
          <w:highlight w:val="none"/>
          <w:u w:val="single"/>
          <w:lang w:val="en-US" w:eastAsia="zh-CN" w:bidi="ar-SA"/>
        </w:rPr>
        <w:t>项目设置围堰后进行晾晒几日，淤泥表面部分水分蒸发后相对干燥后，利于挖掘机开挖，淤泥上岸后置于临时中转场内进行晾晒，淤泥在临时中转场内产生一定渗滤液，一部分来自淤泥自身含水渗出，另一部分为降雨时渗入产生的淋溶水。</w:t>
      </w:r>
    </w:p>
    <w:p w14:paraId="4684EDA1">
      <w:pPr>
        <w:pStyle w:val="410"/>
        <w:rPr>
          <w:rFonts w:hint="eastAsia"/>
          <w:b/>
          <w:bCs/>
          <w:color w:val="auto"/>
          <w:highlight w:val="none"/>
          <w:lang w:val="en-US" w:eastAsia="zh-CN"/>
        </w:rPr>
      </w:pPr>
      <w:r>
        <w:rPr>
          <w:rFonts w:hint="eastAsia"/>
          <w:b/>
          <w:bCs/>
          <w:color w:val="auto"/>
          <w:highlight w:val="none"/>
          <w:lang w:val="en-US" w:eastAsia="zh-CN"/>
        </w:rPr>
        <w:t>①淤泥渗出水</w:t>
      </w:r>
    </w:p>
    <w:p w14:paraId="7122C1AA">
      <w:pPr>
        <w:pStyle w:val="410"/>
        <w:rPr>
          <w:rFonts w:hint="eastAsia" w:ascii="Times New Roman" w:cs="Times New Roman"/>
          <w:b w:val="0"/>
          <w:bCs/>
          <w:color w:val="auto"/>
          <w:kern w:val="2"/>
          <w:sz w:val="24"/>
          <w:szCs w:val="32"/>
          <w:highlight w:val="none"/>
          <w:lang w:val="en-US" w:eastAsia="zh-CN" w:bidi="ar-SA"/>
        </w:rPr>
      </w:pPr>
      <w:r>
        <w:rPr>
          <w:rFonts w:hint="eastAsia"/>
          <w:color w:val="auto"/>
          <w:highlight w:val="none"/>
          <w:lang w:val="en-US" w:eastAsia="zh-CN"/>
        </w:rPr>
        <w:t>根据</w:t>
      </w:r>
      <w:r>
        <w:rPr>
          <w:rFonts w:hint="eastAsia" w:ascii="Times New Roman" w:hAnsi="Times New Roman" w:eastAsia="宋体" w:cs="Times New Roman"/>
          <w:b w:val="0"/>
          <w:bCs/>
          <w:color w:val="auto"/>
          <w:kern w:val="2"/>
          <w:sz w:val="24"/>
          <w:szCs w:val="32"/>
          <w:highlight w:val="none"/>
          <w:lang w:val="en-US" w:eastAsia="zh-CN" w:bidi="ar-SA"/>
        </w:rPr>
        <w:t>《</w:t>
      </w:r>
      <w:r>
        <w:rPr>
          <w:rFonts w:hint="eastAsia"/>
          <w:color w:val="auto"/>
          <w:szCs w:val="24"/>
          <w:highlight w:val="none"/>
          <w:lang w:eastAsia="zh-CN"/>
        </w:rPr>
        <w:t>钦州港新型城乡融合发展示范区（自贸新城）排水改造工程</w:t>
      </w:r>
      <w:r>
        <w:rPr>
          <w:rFonts w:hint="eastAsia" w:ascii="Times New Roman" w:hAnsi="Times New Roman" w:eastAsia="宋体" w:cs="Times New Roman"/>
          <w:b w:val="0"/>
          <w:bCs/>
          <w:color w:val="auto"/>
          <w:kern w:val="2"/>
          <w:sz w:val="24"/>
          <w:szCs w:val="32"/>
          <w:highlight w:val="none"/>
          <w:lang w:val="en-US" w:eastAsia="zh-CN" w:bidi="ar-SA"/>
        </w:rPr>
        <w:t>水土保持方案报告书</w:t>
      </w:r>
      <w:r>
        <w:rPr>
          <w:rFonts w:hint="eastAsia" w:ascii="Times New Roman" w:cs="Times New Roman"/>
          <w:b w:val="0"/>
          <w:bCs/>
          <w:color w:val="auto"/>
          <w:kern w:val="2"/>
          <w:sz w:val="24"/>
          <w:szCs w:val="32"/>
          <w:highlight w:val="none"/>
          <w:lang w:val="en-US" w:eastAsia="zh-CN" w:bidi="ar-SA"/>
        </w:rPr>
        <w:t>（报批稿）</w:t>
      </w:r>
      <w:r>
        <w:rPr>
          <w:rFonts w:hint="eastAsia" w:ascii="Times New Roman" w:hAnsi="Times New Roman" w:eastAsia="宋体" w:cs="Times New Roman"/>
          <w:b w:val="0"/>
          <w:bCs/>
          <w:color w:val="auto"/>
          <w:kern w:val="2"/>
          <w:sz w:val="24"/>
          <w:szCs w:val="32"/>
          <w:highlight w:val="none"/>
          <w:lang w:val="en-US" w:eastAsia="zh-CN" w:bidi="ar-SA"/>
        </w:rPr>
        <w:t>》</w:t>
      </w:r>
      <w:r>
        <w:rPr>
          <w:rFonts w:hint="eastAsia" w:ascii="Times New Roman" w:cs="Times New Roman"/>
          <w:b w:val="0"/>
          <w:bCs/>
          <w:color w:val="auto"/>
          <w:kern w:val="2"/>
          <w:sz w:val="24"/>
          <w:szCs w:val="32"/>
          <w:highlight w:val="none"/>
          <w:lang w:val="en-US" w:eastAsia="zh-CN" w:bidi="ar-SA"/>
        </w:rPr>
        <w:t>土石方平衡计算，本项目清淤工程产生淤泥量0.89万m</w:t>
      </w:r>
      <w:r>
        <w:rPr>
          <w:rFonts w:hint="eastAsia" w:ascii="Times New Roman" w:cs="Times New Roman"/>
          <w:b w:val="0"/>
          <w:bCs/>
          <w:color w:val="auto"/>
          <w:kern w:val="2"/>
          <w:sz w:val="24"/>
          <w:szCs w:val="32"/>
          <w:highlight w:val="none"/>
          <w:vertAlign w:val="superscript"/>
          <w:lang w:val="en-US" w:eastAsia="zh-CN" w:bidi="ar-SA"/>
        </w:rPr>
        <w:t>3</w:t>
      </w:r>
      <w:r>
        <w:rPr>
          <w:rFonts w:hint="eastAsia" w:ascii="Times New Roman" w:cs="Times New Roman"/>
          <w:b w:val="0"/>
          <w:bCs/>
          <w:color w:val="auto"/>
          <w:kern w:val="2"/>
          <w:sz w:val="24"/>
          <w:szCs w:val="32"/>
          <w:highlight w:val="none"/>
          <w:lang w:val="en-US" w:eastAsia="zh-CN" w:bidi="ar-SA"/>
        </w:rPr>
        <w:t>。</w:t>
      </w:r>
      <w:r>
        <w:rPr>
          <w:rFonts w:hint="eastAsia" w:ascii="Times New Roman" w:cs="Times New Roman"/>
          <w:b w:val="0"/>
          <w:bCs/>
          <w:color w:val="auto"/>
          <w:kern w:val="2"/>
          <w:sz w:val="24"/>
          <w:szCs w:val="32"/>
          <w:highlight w:val="none"/>
          <w:u w:val="single"/>
          <w:lang w:val="en-US" w:eastAsia="zh-CN" w:bidi="ar-SA"/>
        </w:rPr>
        <w:t>项目分段施工，清淤施工预计15天完成，淤泥开挖自身含水按照土方量的5%计算，则项目淤泥渗出水</w:t>
      </w:r>
      <w:r>
        <w:rPr>
          <w:rFonts w:hint="eastAsia" w:ascii="Times New Roman" w:cs="Times New Roman"/>
          <w:b w:val="0"/>
          <w:bCs/>
          <w:color w:val="auto"/>
          <w:kern w:val="2"/>
          <w:sz w:val="24"/>
          <w:szCs w:val="32"/>
          <w:highlight w:val="none"/>
          <w:lang w:val="en-US" w:eastAsia="zh-CN" w:bidi="ar-SA"/>
        </w:rPr>
        <w:t>约为445m</w:t>
      </w:r>
      <w:r>
        <w:rPr>
          <w:rFonts w:hint="eastAsia" w:ascii="Times New Roman" w:cs="Times New Roman"/>
          <w:b w:val="0"/>
          <w:bCs/>
          <w:color w:val="auto"/>
          <w:kern w:val="2"/>
          <w:sz w:val="24"/>
          <w:szCs w:val="32"/>
          <w:highlight w:val="none"/>
          <w:vertAlign w:val="superscript"/>
          <w:lang w:val="en-US" w:eastAsia="zh-CN" w:bidi="ar-SA"/>
        </w:rPr>
        <w:t>3</w:t>
      </w:r>
      <w:r>
        <w:rPr>
          <w:rFonts w:hint="eastAsia" w:ascii="Times New Roman" w:cs="Times New Roman"/>
          <w:b w:val="0"/>
          <w:bCs/>
          <w:color w:val="auto"/>
          <w:kern w:val="2"/>
          <w:sz w:val="24"/>
          <w:szCs w:val="32"/>
          <w:highlight w:val="none"/>
          <w:vertAlign w:val="baseline"/>
          <w:lang w:val="en-US" w:eastAsia="zh-CN" w:bidi="ar-SA"/>
        </w:rPr>
        <w:t>/a，29.6</w:t>
      </w:r>
      <w:r>
        <w:rPr>
          <w:rFonts w:hint="eastAsia" w:ascii="Times New Roman" w:cs="Times New Roman"/>
          <w:b w:val="0"/>
          <w:bCs/>
          <w:color w:val="auto"/>
          <w:kern w:val="2"/>
          <w:sz w:val="24"/>
          <w:szCs w:val="32"/>
          <w:highlight w:val="none"/>
          <w:lang w:val="en-US" w:eastAsia="zh-CN" w:bidi="ar-SA"/>
        </w:rPr>
        <w:t>m</w:t>
      </w:r>
      <w:r>
        <w:rPr>
          <w:rFonts w:hint="eastAsia" w:ascii="Times New Roman" w:cs="Times New Roman"/>
          <w:b w:val="0"/>
          <w:bCs/>
          <w:color w:val="auto"/>
          <w:kern w:val="2"/>
          <w:sz w:val="24"/>
          <w:szCs w:val="32"/>
          <w:highlight w:val="none"/>
          <w:vertAlign w:val="superscript"/>
          <w:lang w:val="en-US" w:eastAsia="zh-CN" w:bidi="ar-SA"/>
        </w:rPr>
        <w:t>3</w:t>
      </w:r>
      <w:r>
        <w:rPr>
          <w:rFonts w:hint="eastAsia" w:ascii="Times New Roman" w:cs="Times New Roman"/>
          <w:b w:val="0"/>
          <w:bCs/>
          <w:color w:val="auto"/>
          <w:kern w:val="2"/>
          <w:sz w:val="24"/>
          <w:szCs w:val="32"/>
          <w:highlight w:val="none"/>
          <w:vertAlign w:val="baseline"/>
          <w:lang w:val="en-US" w:eastAsia="zh-CN" w:bidi="ar-SA"/>
        </w:rPr>
        <w:t>/d。</w:t>
      </w:r>
    </w:p>
    <w:p w14:paraId="0B3B93C6">
      <w:pPr>
        <w:pStyle w:val="410"/>
        <w:rPr>
          <w:rFonts w:hint="eastAsia" w:ascii="Times New Roman" w:cs="Times New Roman"/>
          <w:b w:val="0"/>
          <w:bCs/>
          <w:color w:val="auto"/>
          <w:kern w:val="2"/>
          <w:sz w:val="24"/>
          <w:szCs w:val="32"/>
          <w:highlight w:val="none"/>
          <w:vertAlign w:val="baseline"/>
          <w:lang w:val="en-US" w:eastAsia="zh-CN" w:bidi="ar-SA"/>
        </w:rPr>
      </w:pPr>
      <w:r>
        <w:rPr>
          <w:rFonts w:hint="eastAsia" w:ascii="Times New Roman" w:cs="Times New Roman"/>
          <w:b w:val="0"/>
          <w:bCs/>
          <w:color w:val="auto"/>
          <w:kern w:val="2"/>
          <w:sz w:val="24"/>
          <w:szCs w:val="32"/>
          <w:highlight w:val="none"/>
          <w:vertAlign w:val="baseline"/>
          <w:lang w:val="en-US" w:eastAsia="zh-CN" w:bidi="ar-SA"/>
        </w:rPr>
        <w:t>根据巢湖污染底泥疏挖机处置二期工程中疏浚淤泥堆存实验研究结果，余水中污染物含量随着泥浆沉淀时间增加而降低，在沉淀初始时，SS浓度可达900~1000mg，静止48h后，SS浓度降至70~80mg/L。</w:t>
      </w:r>
    </w:p>
    <w:p w14:paraId="6A0801A3">
      <w:pPr>
        <w:pStyle w:val="410"/>
        <w:rPr>
          <w:rFonts w:hint="default" w:ascii="Times New Roman" w:hAnsi="Times New Roman" w:cs="Times New Roman"/>
          <w:b/>
          <w:bCs w:val="0"/>
          <w:color w:val="auto"/>
          <w:kern w:val="2"/>
          <w:sz w:val="24"/>
          <w:szCs w:val="32"/>
          <w:highlight w:val="none"/>
          <w:u w:val="single"/>
          <w:lang w:val="en-US" w:eastAsia="zh-CN" w:bidi="ar-SA"/>
        </w:rPr>
      </w:pPr>
      <w:r>
        <w:rPr>
          <w:rFonts w:hint="eastAsia" w:ascii="Times New Roman" w:cs="Times New Roman"/>
          <w:b/>
          <w:bCs w:val="0"/>
          <w:color w:val="auto"/>
          <w:kern w:val="2"/>
          <w:sz w:val="24"/>
          <w:szCs w:val="32"/>
          <w:highlight w:val="none"/>
          <w:u w:val="single"/>
          <w:lang w:val="en-US" w:eastAsia="zh-CN" w:bidi="ar-SA"/>
        </w:rPr>
        <w:t>②淤泥淋溶水</w:t>
      </w:r>
    </w:p>
    <w:p w14:paraId="61086703">
      <w:pPr>
        <w:pStyle w:val="410"/>
        <w:rPr>
          <w:rFonts w:hint="default" w:ascii="Times New Roman" w:hAnsi="Times New Roman" w:eastAsia="宋体" w:cs="Times New Roman"/>
          <w:color w:val="auto"/>
          <w:sz w:val="24"/>
          <w:szCs w:val="24"/>
          <w:highlight w:val="none"/>
          <w:u w:val="single"/>
        </w:rPr>
      </w:pPr>
      <w:r>
        <w:rPr>
          <w:rFonts w:hint="default" w:ascii="Times New Roman" w:hAnsi="Times New Roman" w:cs="Times New Roman"/>
          <w:b w:val="0"/>
          <w:bCs/>
          <w:color w:val="auto"/>
          <w:kern w:val="2"/>
          <w:sz w:val="24"/>
          <w:szCs w:val="32"/>
          <w:highlight w:val="none"/>
          <w:u w:val="single"/>
          <w:lang w:val="en-US" w:eastAsia="zh-CN" w:bidi="ar-SA"/>
        </w:rPr>
        <w:t>由于临时中转场为</w:t>
      </w:r>
      <w:r>
        <w:rPr>
          <w:rFonts w:hint="default" w:ascii="Times New Roman" w:hAnsi="Times New Roman" w:eastAsia="宋体" w:cs="Times New Roman"/>
          <w:color w:val="auto"/>
          <w:sz w:val="24"/>
          <w:szCs w:val="24"/>
          <w:highlight w:val="none"/>
          <w:u w:val="single"/>
        </w:rPr>
        <w:t>露天形式，在雨季降水时会产生淋滤水，其废水产生量与</w:t>
      </w:r>
      <w:r>
        <w:rPr>
          <w:rFonts w:hint="default" w:ascii="Times New Roman" w:hAnsi="Times New Roman" w:eastAsia="宋体" w:cs="Times New Roman"/>
          <w:color w:val="auto"/>
          <w:sz w:val="24"/>
          <w:szCs w:val="24"/>
          <w:highlight w:val="none"/>
          <w:u w:val="single"/>
          <w:lang w:val="en-US" w:eastAsia="zh-CN"/>
        </w:rPr>
        <w:t>临时中转场</w:t>
      </w:r>
      <w:r>
        <w:rPr>
          <w:rFonts w:hint="default" w:ascii="Times New Roman" w:hAnsi="Times New Roman" w:eastAsia="宋体" w:cs="Times New Roman"/>
          <w:color w:val="auto"/>
          <w:sz w:val="24"/>
          <w:szCs w:val="24"/>
          <w:highlight w:val="none"/>
          <w:u w:val="single"/>
        </w:rPr>
        <w:t>汇水面积、当地降雨量和渗出系数等因素有关。可根据以下公式计算工程</w:t>
      </w:r>
      <w:r>
        <w:rPr>
          <w:rFonts w:hint="default" w:ascii="Times New Roman" w:hAnsi="Times New Roman" w:eastAsia="宋体" w:cs="Times New Roman"/>
          <w:color w:val="auto"/>
          <w:sz w:val="24"/>
          <w:szCs w:val="24"/>
          <w:highlight w:val="none"/>
          <w:u w:val="single"/>
          <w:lang w:val="en-US" w:eastAsia="zh-CN"/>
        </w:rPr>
        <w:t>临时中转场</w:t>
      </w:r>
      <w:r>
        <w:rPr>
          <w:rFonts w:hint="default" w:ascii="Times New Roman" w:hAnsi="Times New Roman" w:eastAsia="宋体" w:cs="Times New Roman"/>
          <w:color w:val="auto"/>
          <w:sz w:val="24"/>
          <w:szCs w:val="24"/>
          <w:highlight w:val="none"/>
          <w:u w:val="single"/>
        </w:rPr>
        <w:t>淋滤水量：</w:t>
      </w:r>
    </w:p>
    <w:p w14:paraId="0BD9BEE4">
      <w:pPr>
        <w:pStyle w:val="410"/>
        <w:jc w:val="center"/>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u w:val="single"/>
        </w:rPr>
        <w:t>Q=C*A*I/1000</w:t>
      </w:r>
    </w:p>
    <w:p w14:paraId="3D5E0F84">
      <w:pPr>
        <w:pStyle w:val="410"/>
        <w:keepNext w:val="0"/>
        <w:keepLines w:val="0"/>
        <w:pageBreakBefore w:val="0"/>
        <w:widowControl w:val="0"/>
        <w:kinsoku/>
        <w:wordWrap/>
        <w:overflowPunct/>
        <w:topLinePunct w:val="0"/>
        <w:autoSpaceDE/>
        <w:autoSpaceDN/>
        <w:bidi w:val="0"/>
        <w:adjustRightInd/>
        <w:snapToGrid/>
        <w:ind w:firstLine="454" w:firstLineChars="200"/>
        <w:jc w:val="both"/>
        <w:textAlignment w:val="auto"/>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u w:val="single"/>
        </w:rPr>
        <w:t>式中：</w:t>
      </w:r>
    </w:p>
    <w:p w14:paraId="3F2BBBCC">
      <w:pPr>
        <w:pStyle w:val="410"/>
        <w:keepNext w:val="0"/>
        <w:keepLines w:val="0"/>
        <w:pageBreakBefore w:val="0"/>
        <w:widowControl w:val="0"/>
        <w:kinsoku/>
        <w:wordWrap/>
        <w:overflowPunct/>
        <w:topLinePunct w:val="0"/>
        <w:autoSpaceDE/>
        <w:autoSpaceDN/>
        <w:bidi w:val="0"/>
        <w:adjustRightInd/>
        <w:snapToGrid/>
        <w:ind w:firstLine="454" w:firstLineChars="200"/>
        <w:jc w:val="both"/>
        <w:textAlignment w:val="auto"/>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u w:val="single"/>
        </w:rPr>
        <w:t>Q—堆场淋滤水量（m</w:t>
      </w:r>
      <w:r>
        <w:rPr>
          <w:rFonts w:hint="default" w:ascii="Times New Roman" w:hAnsi="Times New Roman" w:eastAsia="宋体" w:cs="Times New Roman"/>
          <w:color w:val="auto"/>
          <w:sz w:val="24"/>
          <w:szCs w:val="24"/>
          <w:highlight w:val="none"/>
          <w:u w:val="single"/>
          <w:vertAlign w:val="superscript"/>
        </w:rPr>
        <w:t>3</w:t>
      </w:r>
      <w:r>
        <w:rPr>
          <w:rFonts w:hint="default" w:ascii="Times New Roman" w:hAnsi="Times New Roman" w:eastAsia="宋体" w:cs="Times New Roman"/>
          <w:color w:val="auto"/>
          <w:sz w:val="24"/>
          <w:szCs w:val="24"/>
          <w:highlight w:val="none"/>
          <w:u w:val="single"/>
        </w:rPr>
        <w:t>/a）；</w:t>
      </w:r>
    </w:p>
    <w:p w14:paraId="18D4F7AA">
      <w:pPr>
        <w:pStyle w:val="410"/>
        <w:keepNext w:val="0"/>
        <w:keepLines w:val="0"/>
        <w:pageBreakBefore w:val="0"/>
        <w:widowControl w:val="0"/>
        <w:kinsoku/>
        <w:wordWrap/>
        <w:overflowPunct/>
        <w:topLinePunct w:val="0"/>
        <w:autoSpaceDE/>
        <w:autoSpaceDN/>
        <w:bidi w:val="0"/>
        <w:adjustRightInd/>
        <w:snapToGrid/>
        <w:ind w:firstLine="454" w:firstLineChars="200"/>
        <w:jc w:val="both"/>
        <w:textAlignment w:val="auto"/>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u w:val="single"/>
        </w:rPr>
        <w:t>I—</w:t>
      </w:r>
      <w:r>
        <w:rPr>
          <w:rFonts w:hint="default" w:ascii="Times New Roman" w:hAnsi="Times New Roman" w:eastAsia="宋体" w:cs="Times New Roman"/>
          <w:color w:val="auto"/>
          <w:sz w:val="24"/>
          <w:szCs w:val="24"/>
          <w:highlight w:val="none"/>
          <w:u w:val="single"/>
          <w:lang w:val="en-US" w:eastAsia="zh-CN"/>
        </w:rPr>
        <w:t>降雨参数</w:t>
      </w:r>
      <w:r>
        <w:rPr>
          <w:rFonts w:hint="default" w:ascii="Times New Roman" w:hAnsi="Times New Roman" w:eastAsia="宋体" w:cs="Times New Roman"/>
          <w:color w:val="auto"/>
          <w:sz w:val="24"/>
          <w:szCs w:val="24"/>
          <w:highlight w:val="none"/>
          <w:u w:val="single"/>
        </w:rPr>
        <w:t>（mm），</w:t>
      </w:r>
      <w:r>
        <w:rPr>
          <w:rFonts w:hint="default" w:ascii="Times New Roman" w:hAnsi="Times New Roman" w:eastAsia="宋体" w:cs="Times New Roman"/>
          <w:color w:val="auto"/>
          <w:sz w:val="24"/>
          <w:szCs w:val="24"/>
          <w:highlight w:val="none"/>
          <w:u w:val="single"/>
          <w:lang w:val="en-US" w:eastAsia="zh-CN"/>
        </w:rPr>
        <w:t>钦州市24小时最大降雨量为436.4mm</w:t>
      </w:r>
      <w:r>
        <w:rPr>
          <w:rFonts w:hint="default" w:ascii="Times New Roman" w:hAnsi="Times New Roman" w:eastAsia="宋体" w:cs="Times New Roman"/>
          <w:color w:val="auto"/>
          <w:sz w:val="24"/>
          <w:szCs w:val="24"/>
          <w:highlight w:val="none"/>
          <w:u w:val="single"/>
        </w:rPr>
        <w:t>；</w:t>
      </w:r>
    </w:p>
    <w:p w14:paraId="43049210">
      <w:pPr>
        <w:pStyle w:val="410"/>
        <w:keepNext w:val="0"/>
        <w:keepLines w:val="0"/>
        <w:pageBreakBefore w:val="0"/>
        <w:widowControl w:val="0"/>
        <w:kinsoku/>
        <w:wordWrap/>
        <w:overflowPunct/>
        <w:topLinePunct w:val="0"/>
        <w:autoSpaceDE/>
        <w:autoSpaceDN/>
        <w:bidi w:val="0"/>
        <w:adjustRightInd/>
        <w:snapToGrid/>
        <w:ind w:firstLine="454" w:firstLineChars="200"/>
        <w:jc w:val="both"/>
        <w:textAlignment w:val="auto"/>
        <w:rPr>
          <w:rFonts w:hint="eastAsia" w:ascii="Times New Roman" w:hAnsi="Times New Roman" w:eastAsia="宋体" w:cs="Times New Roman"/>
          <w:color w:val="auto"/>
          <w:sz w:val="24"/>
          <w:szCs w:val="24"/>
          <w:highlight w:val="none"/>
          <w:u w:val="single"/>
          <w:vertAlign w:val="baseline"/>
          <w:lang w:val="en-US" w:eastAsia="zh-CN"/>
        </w:rPr>
      </w:pPr>
      <w:r>
        <w:rPr>
          <w:rFonts w:hint="default" w:ascii="Times New Roman" w:hAnsi="Times New Roman" w:eastAsia="宋体" w:cs="Times New Roman"/>
          <w:color w:val="auto"/>
          <w:sz w:val="24"/>
          <w:szCs w:val="24"/>
          <w:highlight w:val="none"/>
          <w:u w:val="single"/>
        </w:rPr>
        <w:t>A—汇水面积（m</w:t>
      </w:r>
      <w:r>
        <w:rPr>
          <w:rFonts w:hint="default" w:ascii="Times New Roman" w:hAnsi="Times New Roman" w:eastAsia="宋体" w:cs="Times New Roman"/>
          <w:color w:val="auto"/>
          <w:sz w:val="24"/>
          <w:szCs w:val="24"/>
          <w:highlight w:val="none"/>
          <w:u w:val="single"/>
          <w:vertAlign w:val="superscript"/>
        </w:rPr>
        <w:t>2</w:t>
      </w:r>
      <w:r>
        <w:rPr>
          <w:rFonts w:hint="default" w:ascii="Times New Roman" w:hAnsi="Times New Roman" w:eastAsia="宋体" w:cs="Times New Roman"/>
          <w:color w:val="auto"/>
          <w:sz w:val="24"/>
          <w:szCs w:val="24"/>
          <w:highlight w:val="none"/>
          <w:u w:val="single"/>
        </w:rPr>
        <w:t>）；</w:t>
      </w:r>
      <w:r>
        <w:rPr>
          <w:rFonts w:hint="eastAsia" w:ascii="Times New Roman" w:hAnsi="Times New Roman" w:eastAsia="宋体" w:cs="Times New Roman"/>
          <w:color w:val="auto"/>
          <w:sz w:val="24"/>
          <w:szCs w:val="24"/>
          <w:highlight w:val="none"/>
          <w:u w:val="single"/>
          <w:lang w:val="en-US" w:eastAsia="zh-CN"/>
        </w:rPr>
        <w:t>临时中转场面积约0.85</w:t>
      </w:r>
      <w:r>
        <w:rPr>
          <w:rFonts w:hint="default" w:ascii="Times New Roman" w:hAnsi="Times New Roman" w:eastAsia="宋体" w:cs="Times New Roman"/>
          <w:color w:val="auto"/>
          <w:sz w:val="24"/>
          <w:szCs w:val="24"/>
          <w:highlight w:val="none"/>
          <w:u w:val="single"/>
          <w:lang w:val="en-US" w:eastAsia="zh-CN"/>
        </w:rPr>
        <w:t>hm</w:t>
      </w:r>
      <w:r>
        <w:rPr>
          <w:rFonts w:hint="default" w:ascii="Times New Roman" w:hAnsi="Times New Roman" w:eastAsia="宋体" w:cs="Times New Roman"/>
          <w:color w:val="auto"/>
          <w:sz w:val="24"/>
          <w:szCs w:val="24"/>
          <w:highlight w:val="none"/>
          <w:u w:val="single"/>
          <w:vertAlign w:val="superscript"/>
          <w:lang w:val="en-US" w:eastAsia="zh-CN"/>
        </w:rPr>
        <w:t>2</w:t>
      </w:r>
      <w:r>
        <w:rPr>
          <w:rFonts w:hint="eastAsia" w:ascii="Times New Roman" w:cs="Times New Roman"/>
          <w:color w:val="auto"/>
          <w:sz w:val="24"/>
          <w:szCs w:val="24"/>
          <w:highlight w:val="none"/>
          <w:u w:val="single"/>
          <w:vertAlign w:val="baseline"/>
          <w:lang w:val="en-US" w:eastAsia="zh-CN"/>
        </w:rPr>
        <w:t>，除去临时中转场四周截排水沟、拦挡边坡等，</w:t>
      </w:r>
      <w:r>
        <w:rPr>
          <w:rFonts w:hint="default" w:ascii="Times New Roman" w:hAnsi="Times New Roman" w:eastAsia="宋体" w:cs="Times New Roman"/>
          <w:color w:val="auto"/>
          <w:sz w:val="24"/>
          <w:szCs w:val="24"/>
          <w:highlight w:val="none"/>
          <w:u w:val="single"/>
          <w:lang w:val="en-US" w:eastAsia="zh-CN"/>
        </w:rPr>
        <w:t>汇水面积按临时中转场总面积</w:t>
      </w:r>
      <w:r>
        <w:rPr>
          <w:rFonts w:hint="eastAsia" w:ascii="Times New Roman" w:hAnsi="Times New Roman" w:eastAsia="宋体" w:cs="Times New Roman"/>
          <w:color w:val="auto"/>
          <w:sz w:val="24"/>
          <w:szCs w:val="24"/>
          <w:highlight w:val="none"/>
          <w:u w:val="single"/>
          <w:lang w:val="en-US" w:eastAsia="zh-CN"/>
        </w:rPr>
        <w:t>的70%</w:t>
      </w:r>
      <w:r>
        <w:rPr>
          <w:rFonts w:hint="default" w:ascii="Times New Roman" w:hAnsi="Times New Roman" w:eastAsia="宋体" w:cs="Times New Roman"/>
          <w:color w:val="auto"/>
          <w:sz w:val="24"/>
          <w:szCs w:val="24"/>
          <w:highlight w:val="none"/>
          <w:u w:val="single"/>
          <w:lang w:val="en-US" w:eastAsia="zh-CN"/>
        </w:rPr>
        <w:t>计算</w:t>
      </w:r>
      <w:r>
        <w:rPr>
          <w:rFonts w:hint="eastAsia" w:ascii="Times New Roman" w:hAnsi="Times New Roman" w:eastAsia="宋体" w:cs="Times New Roman"/>
          <w:color w:val="auto"/>
          <w:sz w:val="24"/>
          <w:szCs w:val="24"/>
          <w:highlight w:val="none"/>
          <w:u w:val="single"/>
          <w:lang w:val="en-US" w:eastAsia="zh-CN"/>
        </w:rPr>
        <w:t>，淋溶水汇水面积为5950</w:t>
      </w:r>
      <w:r>
        <w:rPr>
          <w:rFonts w:hint="default" w:ascii="Times New Roman" w:hAnsi="Times New Roman" w:eastAsia="宋体" w:cs="Times New Roman"/>
          <w:color w:val="auto"/>
          <w:sz w:val="24"/>
          <w:szCs w:val="24"/>
          <w:highlight w:val="none"/>
          <w:u w:val="single"/>
        </w:rPr>
        <w:t>m</w:t>
      </w:r>
      <w:r>
        <w:rPr>
          <w:rFonts w:hint="default" w:ascii="Times New Roman" w:hAnsi="Times New Roman" w:eastAsia="宋体" w:cs="Times New Roman"/>
          <w:color w:val="auto"/>
          <w:sz w:val="24"/>
          <w:szCs w:val="24"/>
          <w:highlight w:val="none"/>
          <w:u w:val="single"/>
          <w:vertAlign w:val="superscript"/>
        </w:rPr>
        <w:t>2</w:t>
      </w:r>
      <w:r>
        <w:rPr>
          <w:rFonts w:hint="eastAsia" w:ascii="Times New Roman" w:cs="Times New Roman"/>
          <w:color w:val="auto"/>
          <w:sz w:val="24"/>
          <w:szCs w:val="24"/>
          <w:highlight w:val="none"/>
          <w:u w:val="single"/>
          <w:vertAlign w:val="baseline"/>
          <w:lang w:eastAsia="zh-CN"/>
        </w:rPr>
        <w:t>。</w:t>
      </w:r>
    </w:p>
    <w:p w14:paraId="01851A57">
      <w:pPr>
        <w:pStyle w:val="410"/>
        <w:keepNext w:val="0"/>
        <w:keepLines w:val="0"/>
        <w:pageBreakBefore w:val="0"/>
        <w:widowControl w:val="0"/>
        <w:kinsoku/>
        <w:wordWrap/>
        <w:overflowPunct/>
        <w:topLinePunct w:val="0"/>
        <w:autoSpaceDE/>
        <w:autoSpaceDN/>
        <w:bidi w:val="0"/>
        <w:adjustRightInd/>
        <w:snapToGrid/>
        <w:ind w:firstLine="454" w:firstLineChars="200"/>
        <w:jc w:val="both"/>
        <w:textAlignment w:val="auto"/>
        <w:rPr>
          <w:rFonts w:hint="default" w:ascii="Times New Roman" w:hAnsi="Times New Roman" w:eastAsia="宋体" w:cs="Times New Roman"/>
          <w:color w:val="auto"/>
          <w:sz w:val="24"/>
          <w:szCs w:val="24"/>
          <w:highlight w:val="none"/>
          <w:u w:val="single"/>
        </w:rPr>
      </w:pPr>
      <w:r>
        <w:rPr>
          <w:rFonts w:hint="default" w:ascii="Times New Roman" w:hAnsi="Times New Roman" w:eastAsia="宋体" w:cs="Times New Roman"/>
          <w:color w:val="auto"/>
          <w:sz w:val="24"/>
          <w:szCs w:val="24"/>
          <w:highlight w:val="none"/>
          <w:u w:val="single"/>
        </w:rPr>
        <w:t>C—渗出系数，</w:t>
      </w:r>
      <w:r>
        <w:rPr>
          <w:rFonts w:hint="default" w:ascii="Times New Roman" w:hAnsi="Times New Roman" w:eastAsia="宋体" w:cs="Times New Roman"/>
          <w:color w:val="auto"/>
          <w:sz w:val="24"/>
          <w:szCs w:val="24"/>
          <w:highlight w:val="none"/>
          <w:u w:val="single"/>
          <w:lang w:val="en-US" w:eastAsia="zh-CN"/>
        </w:rPr>
        <w:t>非铺装地面</w:t>
      </w:r>
      <w:r>
        <w:rPr>
          <w:rFonts w:hint="eastAsia" w:ascii="Times New Roman" w:hAnsi="Times New Roman" w:eastAsia="宋体" w:cs="Times New Roman"/>
          <w:color w:val="auto"/>
          <w:sz w:val="24"/>
          <w:szCs w:val="24"/>
          <w:highlight w:val="none"/>
          <w:u w:val="single"/>
          <w:lang w:val="en-US" w:eastAsia="zh-CN"/>
        </w:rPr>
        <w:t>路面</w:t>
      </w:r>
      <w:r>
        <w:rPr>
          <w:rFonts w:hint="default" w:ascii="Times New Roman" w:hAnsi="Times New Roman" w:eastAsia="宋体" w:cs="Times New Roman"/>
          <w:color w:val="auto"/>
          <w:sz w:val="24"/>
          <w:szCs w:val="24"/>
          <w:highlight w:val="none"/>
          <w:u w:val="single"/>
          <w:lang w:val="en-US" w:eastAsia="zh-CN"/>
        </w:rPr>
        <w:t>，</w:t>
      </w:r>
      <w:r>
        <w:rPr>
          <w:rFonts w:hint="default" w:ascii="Times New Roman" w:hAnsi="Times New Roman" w:eastAsia="宋体" w:cs="Times New Roman"/>
          <w:color w:val="auto"/>
          <w:sz w:val="24"/>
          <w:szCs w:val="24"/>
          <w:highlight w:val="none"/>
          <w:u w:val="single"/>
        </w:rPr>
        <w:t>本次取</w:t>
      </w:r>
      <w:r>
        <w:rPr>
          <w:rFonts w:hint="eastAsia" w:ascii="Times New Roman" w:hAnsi="Times New Roman" w:eastAsia="宋体" w:cs="Times New Roman"/>
          <w:color w:val="auto"/>
          <w:sz w:val="24"/>
          <w:szCs w:val="24"/>
          <w:highlight w:val="none"/>
          <w:u w:val="single"/>
          <w:lang w:val="en-US" w:eastAsia="zh-CN"/>
        </w:rPr>
        <w:t>0.25</w:t>
      </w:r>
      <w:r>
        <w:rPr>
          <w:rFonts w:hint="default" w:ascii="Times New Roman" w:hAnsi="Times New Roman" w:eastAsia="宋体" w:cs="Times New Roman"/>
          <w:color w:val="auto"/>
          <w:sz w:val="24"/>
          <w:szCs w:val="24"/>
          <w:highlight w:val="none"/>
          <w:u w:val="single"/>
        </w:rPr>
        <w:t>。</w:t>
      </w:r>
    </w:p>
    <w:p w14:paraId="3E3B9F1D">
      <w:pPr>
        <w:pStyle w:val="410"/>
        <w:keepNext w:val="0"/>
        <w:keepLines w:val="0"/>
        <w:pageBreakBefore w:val="0"/>
        <w:widowControl w:val="0"/>
        <w:kinsoku/>
        <w:wordWrap/>
        <w:overflowPunct/>
        <w:topLinePunct w:val="0"/>
        <w:autoSpaceDE/>
        <w:autoSpaceDN/>
        <w:bidi w:val="0"/>
        <w:adjustRightInd/>
        <w:snapToGrid/>
        <w:ind w:firstLine="454" w:firstLineChars="200"/>
        <w:jc w:val="both"/>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临时中转场计算日最大产生淋溶水</w:t>
      </w:r>
      <w:r>
        <w:rPr>
          <w:rFonts w:hint="eastAsia" w:ascii="Times New Roman" w:hAnsi="Times New Roman" w:eastAsia="宋体" w:cs="Times New Roman"/>
          <w:color w:val="auto"/>
          <w:sz w:val="24"/>
          <w:szCs w:val="24"/>
          <w:highlight w:val="none"/>
          <w:u w:val="single"/>
          <w:lang w:val="en-US" w:eastAsia="zh-CN"/>
        </w:rPr>
        <w:t>649.14</w:t>
      </w:r>
      <w:r>
        <w:rPr>
          <w:rFonts w:hint="default" w:ascii="Times New Roman" w:hAnsi="Times New Roman" w:eastAsia="宋体" w:cs="Times New Roman"/>
          <w:color w:val="auto"/>
          <w:sz w:val="24"/>
          <w:szCs w:val="24"/>
          <w:highlight w:val="none"/>
          <w:u w:val="single"/>
          <w:lang w:val="en-US" w:eastAsia="zh-CN"/>
        </w:rPr>
        <w:t>m³。类别同类项目，淋溶水SS浓度约</w:t>
      </w:r>
      <w:r>
        <w:rPr>
          <w:rFonts w:hint="eastAsia" w:ascii="Times New Roman" w:cs="Times New Roman"/>
          <w:color w:val="auto"/>
          <w:sz w:val="24"/>
          <w:szCs w:val="24"/>
          <w:highlight w:val="none"/>
          <w:u w:val="single"/>
          <w:lang w:val="en-US" w:eastAsia="zh-CN"/>
        </w:rPr>
        <w:t>1000</w:t>
      </w:r>
      <w:r>
        <w:rPr>
          <w:rFonts w:hint="default" w:ascii="Times New Roman" w:hAnsi="Times New Roman" w:eastAsia="宋体" w:cs="Times New Roman"/>
          <w:color w:val="auto"/>
          <w:sz w:val="24"/>
          <w:szCs w:val="24"/>
          <w:highlight w:val="none"/>
          <w:u w:val="single"/>
          <w:lang w:val="en-US" w:eastAsia="zh-CN"/>
        </w:rPr>
        <w:t>mg/L。</w:t>
      </w:r>
    </w:p>
    <w:p w14:paraId="2E1C163D">
      <w:pPr>
        <w:pStyle w:val="410"/>
        <w:keepNext w:val="0"/>
        <w:keepLines w:val="0"/>
        <w:pageBreakBefore w:val="0"/>
        <w:widowControl w:val="0"/>
        <w:kinsoku/>
        <w:wordWrap/>
        <w:overflowPunct/>
        <w:topLinePunct w:val="0"/>
        <w:autoSpaceDE/>
        <w:autoSpaceDN/>
        <w:bidi w:val="0"/>
        <w:adjustRightInd/>
        <w:snapToGrid/>
        <w:ind w:firstLine="454" w:firstLineChars="200"/>
        <w:jc w:val="both"/>
        <w:textAlignment w:val="auto"/>
        <w:rPr>
          <w:rFonts w:hint="default" w:ascii="Times New Roman" w:hAnsi="Times New Roman" w:eastAsia="宋体" w:cs="Times New Roman"/>
          <w:b/>
          <w:bCs/>
          <w:color w:val="auto"/>
          <w:sz w:val="24"/>
          <w:szCs w:val="24"/>
          <w:highlight w:val="none"/>
          <w:u w:val="single"/>
          <w:lang w:val="en-US" w:eastAsia="zh-CN"/>
        </w:rPr>
      </w:pPr>
      <w:r>
        <w:rPr>
          <w:rFonts w:hint="eastAsia" w:ascii="Times New Roman" w:cs="Times New Roman"/>
          <w:b/>
          <w:bCs/>
          <w:color w:val="auto"/>
          <w:sz w:val="24"/>
          <w:szCs w:val="24"/>
          <w:highlight w:val="none"/>
          <w:u w:val="single"/>
          <w:lang w:val="en-US" w:eastAsia="zh-CN"/>
        </w:rPr>
        <w:t>③淋溶水处置措施</w:t>
      </w:r>
    </w:p>
    <w:p w14:paraId="19A43221">
      <w:pPr>
        <w:pStyle w:val="410"/>
        <w:keepNext w:val="0"/>
        <w:keepLines w:val="0"/>
        <w:pageBreakBefore w:val="0"/>
        <w:widowControl w:val="0"/>
        <w:kinsoku/>
        <w:wordWrap/>
        <w:overflowPunct/>
        <w:topLinePunct w:val="0"/>
        <w:autoSpaceDE/>
        <w:autoSpaceDN/>
        <w:bidi w:val="0"/>
        <w:adjustRightInd/>
        <w:snapToGrid/>
        <w:ind w:firstLine="454" w:firstLineChars="200"/>
        <w:jc w:val="both"/>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在临时中转场周围设置</w:t>
      </w:r>
      <w:r>
        <w:rPr>
          <w:rFonts w:hint="eastAsia" w:ascii="Times New Roman" w:cs="Times New Roman"/>
          <w:color w:val="auto"/>
          <w:sz w:val="24"/>
          <w:szCs w:val="24"/>
          <w:highlight w:val="none"/>
          <w:u w:val="single"/>
          <w:lang w:val="en-US" w:eastAsia="zh-CN"/>
        </w:rPr>
        <w:t>编织袋土石拦挡，降雨时可有效避免雨水冲刷淤泥污染周边环境，临时中转场四周</w:t>
      </w:r>
      <w:r>
        <w:rPr>
          <w:rFonts w:hint="default" w:ascii="Times New Roman" w:hAnsi="Times New Roman" w:eastAsia="宋体" w:cs="Times New Roman"/>
          <w:color w:val="auto"/>
          <w:sz w:val="24"/>
          <w:szCs w:val="24"/>
          <w:highlight w:val="none"/>
          <w:u w:val="single"/>
          <w:lang w:val="en-US" w:eastAsia="zh-CN"/>
        </w:rPr>
        <w:t>截排水沟，并在临时中转场两侧下方建设收集池，</w:t>
      </w:r>
      <w:r>
        <w:rPr>
          <w:rFonts w:hint="eastAsia" w:ascii="Times New Roman" w:hAnsi="Times New Roman" w:eastAsia="宋体" w:cs="Times New Roman"/>
          <w:color w:val="auto"/>
          <w:sz w:val="24"/>
          <w:szCs w:val="24"/>
          <w:highlight w:val="none"/>
          <w:u w:val="single"/>
          <w:lang w:val="en-US" w:eastAsia="zh-CN"/>
        </w:rPr>
        <w:t>总</w:t>
      </w:r>
      <w:r>
        <w:rPr>
          <w:rFonts w:hint="default" w:ascii="Times New Roman" w:hAnsi="Times New Roman" w:eastAsia="宋体" w:cs="Times New Roman"/>
          <w:color w:val="auto"/>
          <w:sz w:val="24"/>
          <w:szCs w:val="24"/>
          <w:highlight w:val="none"/>
          <w:u w:val="single"/>
          <w:lang w:val="en-US" w:eastAsia="zh-CN"/>
        </w:rPr>
        <w:t>有效容积约</w:t>
      </w:r>
      <w:r>
        <w:rPr>
          <w:rFonts w:hint="eastAsia" w:ascii="Times New Roman" w:hAnsi="Times New Roman" w:eastAsia="宋体" w:cs="Times New Roman"/>
          <w:color w:val="auto"/>
          <w:sz w:val="24"/>
          <w:szCs w:val="24"/>
          <w:highlight w:val="none"/>
          <w:u w:val="single"/>
          <w:lang w:val="en-US" w:eastAsia="zh-CN"/>
        </w:rPr>
        <w:t>700</w:t>
      </w:r>
      <w:r>
        <w:rPr>
          <w:rFonts w:hint="default" w:ascii="Times New Roman" w:hAnsi="Times New Roman" w:eastAsia="宋体" w:cs="Times New Roman"/>
          <w:color w:val="auto"/>
          <w:sz w:val="24"/>
          <w:szCs w:val="24"/>
          <w:highlight w:val="none"/>
          <w:u w:val="single"/>
          <w:lang w:val="en-US" w:eastAsia="zh-CN"/>
        </w:rPr>
        <w:t>m³</w:t>
      </w:r>
      <w:r>
        <w:rPr>
          <w:rFonts w:hint="eastAsia" w:ascii="Times New Roman" w:hAnsi="Times New Roman" w:eastAsia="宋体" w:cs="Times New Roman"/>
          <w:color w:val="auto"/>
          <w:sz w:val="24"/>
          <w:szCs w:val="24"/>
          <w:highlight w:val="none"/>
          <w:u w:val="single"/>
          <w:lang w:val="en-US" w:eastAsia="zh-CN"/>
        </w:rPr>
        <w:t>；</w:t>
      </w:r>
      <w:r>
        <w:rPr>
          <w:rFonts w:hint="eastAsia" w:ascii="Times New Roman" w:cs="Times New Roman"/>
          <w:color w:val="auto"/>
          <w:sz w:val="24"/>
          <w:szCs w:val="24"/>
          <w:highlight w:val="none"/>
          <w:u w:val="single"/>
          <w:lang w:val="en-US" w:eastAsia="zh-CN"/>
        </w:rPr>
        <w:t>淤泥渗滤液</w:t>
      </w:r>
      <w:r>
        <w:rPr>
          <w:rFonts w:hint="default" w:ascii="Times New Roman" w:hAnsi="Times New Roman" w:eastAsia="宋体" w:cs="Times New Roman"/>
          <w:color w:val="auto"/>
          <w:sz w:val="24"/>
          <w:szCs w:val="24"/>
          <w:highlight w:val="none"/>
          <w:u w:val="single"/>
          <w:lang w:val="en-US" w:eastAsia="zh-CN"/>
        </w:rPr>
        <w:t>经下游沉淀池沉淀处理后作为施工抑尘、道路洒水、洗车用水等。</w:t>
      </w:r>
    </w:p>
    <w:p w14:paraId="1DC94552">
      <w:pPr>
        <w:pStyle w:val="410"/>
        <w:numPr>
          <w:ilvl w:val="0"/>
          <w:numId w:val="33"/>
        </w:numPr>
        <w:rPr>
          <w:rFonts w:hint="default" w:ascii="Times New Roman" w:cs="Times New Roman"/>
          <w:b/>
          <w:bCs w:val="0"/>
          <w:color w:val="auto"/>
          <w:kern w:val="2"/>
          <w:sz w:val="24"/>
          <w:szCs w:val="32"/>
          <w:highlight w:val="none"/>
          <w:u w:val="single"/>
          <w:vertAlign w:val="baseline"/>
          <w:lang w:val="en-US" w:eastAsia="zh-CN" w:bidi="ar-SA"/>
        </w:rPr>
      </w:pPr>
      <w:r>
        <w:rPr>
          <w:rFonts w:hint="eastAsia" w:ascii="Times New Roman" w:cs="Times New Roman"/>
          <w:b/>
          <w:bCs w:val="0"/>
          <w:color w:val="auto"/>
          <w:kern w:val="2"/>
          <w:sz w:val="24"/>
          <w:szCs w:val="32"/>
          <w:highlight w:val="none"/>
          <w:u w:val="single"/>
          <w:vertAlign w:val="baseline"/>
          <w:lang w:val="en-US" w:eastAsia="zh-CN" w:bidi="ar-SA"/>
        </w:rPr>
        <w:t>施工期初期雨水</w:t>
      </w:r>
    </w:p>
    <w:p w14:paraId="45BAFD1C">
      <w:pPr>
        <w:pStyle w:val="410"/>
        <w:keepNext w:val="0"/>
        <w:keepLines w:val="0"/>
        <w:pageBreakBefore w:val="0"/>
        <w:widowControl w:val="0"/>
        <w:kinsoku/>
        <w:wordWrap/>
        <w:overflowPunct/>
        <w:topLinePunct w:val="0"/>
        <w:autoSpaceDE/>
        <w:autoSpaceDN/>
        <w:bidi w:val="0"/>
        <w:adjustRightInd/>
        <w:snapToGrid/>
        <w:ind w:firstLine="454" w:firstLineChars="200"/>
        <w:jc w:val="both"/>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施工场地初期雨水量根据《室外排水设计标准》（GB50014-2021）公式计算，如下：</w:t>
      </w:r>
    </w:p>
    <w:p w14:paraId="5FECB0E1">
      <w:pPr>
        <w:pStyle w:val="410"/>
        <w:keepNext w:val="0"/>
        <w:keepLines w:val="0"/>
        <w:pageBreakBefore w:val="0"/>
        <w:widowControl w:val="0"/>
        <w:kinsoku/>
        <w:wordWrap/>
        <w:overflowPunct/>
        <w:topLinePunct w:val="0"/>
        <w:autoSpaceDE/>
        <w:autoSpaceDN/>
        <w:bidi w:val="0"/>
        <w:adjustRightInd/>
        <w:snapToGrid/>
        <w:ind w:firstLine="454" w:firstLineChars="200"/>
        <w:jc w:val="center"/>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Qs=qΨF</w:t>
      </w:r>
    </w:p>
    <w:p w14:paraId="25E2B9A1">
      <w:pPr>
        <w:pStyle w:val="410"/>
        <w:keepNext w:val="0"/>
        <w:keepLines w:val="0"/>
        <w:pageBreakBefore w:val="0"/>
        <w:widowControl w:val="0"/>
        <w:kinsoku/>
        <w:wordWrap/>
        <w:overflowPunct/>
        <w:topLinePunct w:val="0"/>
        <w:autoSpaceDE/>
        <w:autoSpaceDN/>
        <w:bidi w:val="0"/>
        <w:adjustRightInd/>
        <w:snapToGrid/>
        <w:ind w:firstLine="454" w:firstLineChars="200"/>
        <w:jc w:val="both"/>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式中：</w:t>
      </w:r>
    </w:p>
    <w:p w14:paraId="6F9773DD">
      <w:pPr>
        <w:pStyle w:val="410"/>
        <w:keepNext w:val="0"/>
        <w:keepLines w:val="0"/>
        <w:pageBreakBefore w:val="0"/>
        <w:widowControl w:val="0"/>
        <w:kinsoku/>
        <w:wordWrap/>
        <w:overflowPunct/>
        <w:topLinePunct w:val="0"/>
        <w:autoSpaceDE/>
        <w:autoSpaceDN/>
        <w:bidi w:val="0"/>
        <w:adjustRightInd/>
        <w:snapToGrid/>
        <w:ind w:firstLine="454" w:firstLineChars="200"/>
        <w:jc w:val="both"/>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Qs—雨水设计流量（L/s）；</w:t>
      </w:r>
    </w:p>
    <w:p w14:paraId="769E69E9">
      <w:pPr>
        <w:pStyle w:val="410"/>
        <w:keepNext w:val="0"/>
        <w:keepLines w:val="0"/>
        <w:pageBreakBefore w:val="0"/>
        <w:widowControl w:val="0"/>
        <w:kinsoku/>
        <w:wordWrap/>
        <w:overflowPunct/>
        <w:topLinePunct w:val="0"/>
        <w:autoSpaceDE/>
        <w:autoSpaceDN/>
        <w:bidi w:val="0"/>
        <w:adjustRightInd/>
        <w:snapToGrid/>
        <w:ind w:firstLine="454" w:firstLineChars="200"/>
        <w:jc w:val="both"/>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q—设计暴雨强度，L/s·hm</w:t>
      </w:r>
      <w:r>
        <w:rPr>
          <w:rFonts w:hint="default" w:ascii="Times New Roman" w:hAnsi="Times New Roman" w:eastAsia="宋体" w:cs="Times New Roman"/>
          <w:color w:val="auto"/>
          <w:sz w:val="24"/>
          <w:szCs w:val="24"/>
          <w:highlight w:val="none"/>
          <w:u w:val="single"/>
          <w:vertAlign w:val="superscript"/>
          <w:lang w:val="en-US" w:eastAsia="zh-CN"/>
        </w:rPr>
        <w:t>2</w:t>
      </w:r>
      <w:r>
        <w:rPr>
          <w:rFonts w:hint="default" w:ascii="Times New Roman" w:hAnsi="Times New Roman" w:eastAsia="宋体" w:cs="Times New Roman"/>
          <w:color w:val="auto"/>
          <w:sz w:val="24"/>
          <w:szCs w:val="24"/>
          <w:highlight w:val="none"/>
          <w:u w:val="single"/>
          <w:lang w:val="en-US" w:eastAsia="zh-CN"/>
        </w:rPr>
        <w:t xml:space="preserve"> ；</w:t>
      </w:r>
    </w:p>
    <w:p w14:paraId="1A88389D">
      <w:pPr>
        <w:pStyle w:val="410"/>
        <w:keepNext w:val="0"/>
        <w:keepLines w:val="0"/>
        <w:pageBreakBefore w:val="0"/>
        <w:widowControl w:val="0"/>
        <w:kinsoku/>
        <w:wordWrap/>
        <w:overflowPunct/>
        <w:topLinePunct w:val="0"/>
        <w:autoSpaceDE/>
        <w:autoSpaceDN/>
        <w:bidi w:val="0"/>
        <w:adjustRightInd/>
        <w:snapToGrid/>
        <w:ind w:firstLine="454" w:firstLineChars="200"/>
        <w:jc w:val="both"/>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 xml:space="preserve">Ψ—综合径流系数（非铺砌土路面计取 </w:t>
      </w:r>
      <w:r>
        <w:rPr>
          <w:rFonts w:hint="eastAsia" w:ascii="Times New Roman" w:cs="Times New Roman"/>
          <w:color w:val="auto"/>
          <w:sz w:val="24"/>
          <w:szCs w:val="24"/>
          <w:highlight w:val="none"/>
          <w:u w:val="single"/>
          <w:lang w:val="en-US" w:eastAsia="zh-CN"/>
        </w:rPr>
        <w:t>0.25</w:t>
      </w:r>
      <w:r>
        <w:rPr>
          <w:rFonts w:hint="default" w:ascii="Times New Roman" w:hAnsi="Times New Roman" w:eastAsia="宋体" w:cs="Times New Roman"/>
          <w:color w:val="auto"/>
          <w:sz w:val="24"/>
          <w:szCs w:val="24"/>
          <w:highlight w:val="none"/>
          <w:u w:val="single"/>
          <w:lang w:val="en-US" w:eastAsia="zh-CN"/>
        </w:rPr>
        <w:t>）；</w:t>
      </w:r>
    </w:p>
    <w:p w14:paraId="2B99C389">
      <w:pPr>
        <w:pStyle w:val="410"/>
        <w:keepNext w:val="0"/>
        <w:keepLines w:val="0"/>
        <w:pageBreakBefore w:val="0"/>
        <w:widowControl w:val="0"/>
        <w:kinsoku/>
        <w:wordWrap/>
        <w:overflowPunct/>
        <w:topLinePunct w:val="0"/>
        <w:autoSpaceDE/>
        <w:autoSpaceDN/>
        <w:bidi w:val="0"/>
        <w:adjustRightInd/>
        <w:snapToGrid/>
        <w:ind w:firstLine="454" w:firstLineChars="200"/>
        <w:jc w:val="both"/>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F—汇水面积，hm</w:t>
      </w:r>
      <w:r>
        <w:rPr>
          <w:rFonts w:hint="default" w:ascii="Times New Roman" w:hAnsi="Times New Roman" w:eastAsia="宋体" w:cs="Times New Roman"/>
          <w:color w:val="auto"/>
          <w:sz w:val="24"/>
          <w:szCs w:val="24"/>
          <w:highlight w:val="none"/>
          <w:u w:val="single"/>
          <w:vertAlign w:val="superscript"/>
          <w:lang w:val="en-US" w:eastAsia="zh-CN"/>
        </w:rPr>
        <w:t>2</w:t>
      </w:r>
      <w:r>
        <w:rPr>
          <w:rFonts w:hint="default" w:ascii="Times New Roman" w:hAnsi="Times New Roman" w:eastAsia="宋体" w:cs="Times New Roman"/>
          <w:color w:val="auto"/>
          <w:sz w:val="24"/>
          <w:szCs w:val="24"/>
          <w:highlight w:val="none"/>
          <w:u w:val="single"/>
          <w:lang w:val="en-US" w:eastAsia="zh-CN"/>
        </w:rPr>
        <w:t xml:space="preserve"> ；</w:t>
      </w:r>
    </w:p>
    <w:p w14:paraId="5E667235">
      <w:pPr>
        <w:pStyle w:val="410"/>
        <w:keepNext w:val="0"/>
        <w:keepLines w:val="0"/>
        <w:pageBreakBefore w:val="0"/>
        <w:widowControl w:val="0"/>
        <w:kinsoku/>
        <w:wordWrap/>
        <w:overflowPunct/>
        <w:topLinePunct w:val="0"/>
        <w:autoSpaceDE/>
        <w:autoSpaceDN/>
        <w:bidi w:val="0"/>
        <w:adjustRightInd/>
        <w:snapToGrid/>
        <w:ind w:firstLine="454" w:firstLineChars="200"/>
        <w:jc w:val="both"/>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其中，设计暴雨强度采用钦州市暴雨强度公式：</w:t>
      </w:r>
    </w:p>
    <w:p w14:paraId="3DE3738F">
      <w:pPr>
        <w:pStyle w:val="410"/>
        <w:keepNext w:val="0"/>
        <w:keepLines w:val="0"/>
        <w:pageBreakBefore w:val="0"/>
        <w:widowControl w:val="0"/>
        <w:kinsoku/>
        <w:wordWrap/>
        <w:overflowPunct/>
        <w:topLinePunct w:val="0"/>
        <w:autoSpaceDE/>
        <w:autoSpaceDN/>
        <w:bidi w:val="0"/>
        <w:adjustRightInd/>
        <w:snapToGrid/>
        <w:ind w:firstLine="454" w:firstLineChars="200"/>
        <w:jc w:val="center"/>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q=1817(1+0.5051gP)/(t+5.7) 0.58</w:t>
      </w:r>
    </w:p>
    <w:p w14:paraId="6C984BF5">
      <w:pPr>
        <w:pStyle w:val="410"/>
        <w:keepNext w:val="0"/>
        <w:keepLines w:val="0"/>
        <w:pageBreakBefore w:val="0"/>
        <w:widowControl w:val="0"/>
        <w:kinsoku/>
        <w:wordWrap/>
        <w:overflowPunct/>
        <w:topLinePunct w:val="0"/>
        <w:autoSpaceDE/>
        <w:autoSpaceDN/>
        <w:bidi w:val="0"/>
        <w:adjustRightInd/>
        <w:snapToGrid/>
        <w:ind w:firstLine="454" w:firstLineChars="200"/>
        <w:jc w:val="both"/>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式中：</w:t>
      </w:r>
    </w:p>
    <w:p w14:paraId="50AA1050">
      <w:pPr>
        <w:pStyle w:val="410"/>
        <w:keepNext w:val="0"/>
        <w:keepLines w:val="0"/>
        <w:pageBreakBefore w:val="0"/>
        <w:widowControl w:val="0"/>
        <w:kinsoku/>
        <w:wordWrap/>
        <w:overflowPunct/>
        <w:topLinePunct w:val="0"/>
        <w:autoSpaceDE/>
        <w:autoSpaceDN/>
        <w:bidi w:val="0"/>
        <w:adjustRightInd/>
        <w:snapToGrid/>
        <w:ind w:firstLine="454" w:firstLineChars="200"/>
        <w:jc w:val="both"/>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q—设计暴雨强度，L/s·hm</w:t>
      </w:r>
      <w:r>
        <w:rPr>
          <w:rFonts w:hint="default" w:ascii="Times New Roman" w:hAnsi="Times New Roman" w:eastAsia="宋体" w:cs="Times New Roman"/>
          <w:color w:val="auto"/>
          <w:sz w:val="24"/>
          <w:szCs w:val="24"/>
          <w:highlight w:val="none"/>
          <w:u w:val="single"/>
          <w:vertAlign w:val="superscript"/>
          <w:lang w:val="en-US" w:eastAsia="zh-CN"/>
        </w:rPr>
        <w:t>2</w:t>
      </w:r>
      <w:r>
        <w:rPr>
          <w:rFonts w:hint="default" w:ascii="Times New Roman" w:hAnsi="Times New Roman" w:eastAsia="宋体" w:cs="Times New Roman"/>
          <w:color w:val="auto"/>
          <w:sz w:val="24"/>
          <w:szCs w:val="24"/>
          <w:highlight w:val="none"/>
          <w:u w:val="single"/>
          <w:lang w:val="en-US" w:eastAsia="zh-CN"/>
        </w:rPr>
        <w:t xml:space="preserve"> ；</w:t>
      </w:r>
    </w:p>
    <w:p w14:paraId="079837A8">
      <w:pPr>
        <w:pStyle w:val="410"/>
        <w:keepNext w:val="0"/>
        <w:keepLines w:val="0"/>
        <w:pageBreakBefore w:val="0"/>
        <w:widowControl w:val="0"/>
        <w:kinsoku/>
        <w:wordWrap/>
        <w:overflowPunct/>
        <w:topLinePunct w:val="0"/>
        <w:autoSpaceDE/>
        <w:autoSpaceDN/>
        <w:bidi w:val="0"/>
        <w:adjustRightInd/>
        <w:snapToGrid/>
        <w:ind w:firstLine="454" w:firstLineChars="200"/>
        <w:jc w:val="both"/>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t—降雨历时（min），取 15min；</w:t>
      </w:r>
    </w:p>
    <w:p w14:paraId="78948000">
      <w:pPr>
        <w:pStyle w:val="410"/>
        <w:keepNext w:val="0"/>
        <w:keepLines w:val="0"/>
        <w:pageBreakBefore w:val="0"/>
        <w:widowControl w:val="0"/>
        <w:kinsoku/>
        <w:wordWrap/>
        <w:overflowPunct/>
        <w:topLinePunct w:val="0"/>
        <w:autoSpaceDE/>
        <w:autoSpaceDN/>
        <w:bidi w:val="0"/>
        <w:adjustRightInd/>
        <w:snapToGrid/>
        <w:ind w:firstLine="454" w:firstLineChars="200"/>
        <w:jc w:val="both"/>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P—重现期（年），取 2 。</w:t>
      </w:r>
    </w:p>
    <w:p w14:paraId="758CE054">
      <w:pPr>
        <w:pStyle w:val="410"/>
        <w:rPr>
          <w:rFonts w:hint="eastAsia" w:ascii="Times New Roman" w:cs="Times New Roman"/>
          <w:color w:val="auto"/>
          <w:sz w:val="24"/>
          <w:szCs w:val="24"/>
          <w:highlight w:val="none"/>
          <w:u w:val="single"/>
          <w:lang w:val="en-US" w:eastAsia="zh-CN"/>
        </w:rPr>
      </w:pPr>
      <w:r>
        <w:rPr>
          <w:rFonts w:hint="eastAsia" w:ascii="Times New Roman" w:cs="Times New Roman"/>
          <w:b w:val="0"/>
          <w:bCs/>
          <w:color w:val="auto"/>
          <w:kern w:val="2"/>
          <w:sz w:val="24"/>
          <w:szCs w:val="32"/>
          <w:highlight w:val="none"/>
          <w:u w:val="single"/>
          <w:vertAlign w:val="baseline"/>
          <w:lang w:val="en-US" w:eastAsia="zh-CN" w:bidi="ar-SA"/>
        </w:rPr>
        <w:t>经计算，钦州市暴雨轻度为</w:t>
      </w:r>
      <w:r>
        <w:rPr>
          <w:rFonts w:hint="default" w:ascii="Times New Roman" w:hAnsi="Times New Roman" w:eastAsia="宋体" w:cs="Times New Roman"/>
          <w:color w:val="auto"/>
          <w:sz w:val="24"/>
          <w:szCs w:val="24"/>
          <w:highlight w:val="none"/>
          <w:u w:val="single"/>
          <w:lang w:val="en-US" w:eastAsia="zh-CN"/>
        </w:rPr>
        <w:t>361L/（hm</w:t>
      </w:r>
      <w:r>
        <w:rPr>
          <w:rFonts w:hint="default" w:ascii="Times New Roman" w:hAnsi="Times New Roman" w:eastAsia="宋体" w:cs="Times New Roman"/>
          <w:color w:val="auto"/>
          <w:sz w:val="24"/>
          <w:szCs w:val="24"/>
          <w:highlight w:val="none"/>
          <w:u w:val="single"/>
          <w:vertAlign w:val="superscript"/>
          <w:lang w:val="en-US" w:eastAsia="zh-CN"/>
        </w:rPr>
        <w:t xml:space="preserve">2 </w:t>
      </w:r>
      <w:r>
        <w:rPr>
          <w:rFonts w:hint="default" w:ascii="Times New Roman" w:hAnsi="Times New Roman" w:eastAsia="宋体" w:cs="Times New Roman"/>
          <w:color w:val="auto"/>
          <w:sz w:val="24"/>
          <w:szCs w:val="24"/>
          <w:highlight w:val="none"/>
          <w:u w:val="single"/>
          <w:lang w:val="en-US" w:eastAsia="zh-CN"/>
        </w:rPr>
        <w:t xml:space="preserve"> </w:t>
      </w:r>
      <w:r>
        <w:rPr>
          <w:rFonts w:hint="eastAsia" w:ascii="Times New Roman" w:hAnsi="Times New Roman" w:eastAsia="宋体" w:cs="Times New Roman"/>
          <w:color w:val="auto"/>
          <w:sz w:val="24"/>
          <w:szCs w:val="24"/>
          <w:highlight w:val="none"/>
          <w:u w:val="single"/>
          <w:lang w:val="en-US" w:eastAsia="zh-CN"/>
        </w:rPr>
        <w:t>/</w:t>
      </w:r>
      <w:r>
        <w:rPr>
          <w:rFonts w:hint="default" w:ascii="Times New Roman" w:hAnsi="Times New Roman" w:eastAsia="宋体" w:cs="Times New Roman"/>
          <w:color w:val="auto"/>
          <w:sz w:val="24"/>
          <w:szCs w:val="24"/>
          <w:highlight w:val="none"/>
          <w:u w:val="single"/>
          <w:lang w:val="en-US" w:eastAsia="zh-CN"/>
        </w:rPr>
        <w:t>s）</w:t>
      </w:r>
      <w:r>
        <w:rPr>
          <w:rFonts w:hint="eastAsia" w:ascii="Times New Roman" w:cs="Times New Roman"/>
          <w:color w:val="auto"/>
          <w:sz w:val="24"/>
          <w:szCs w:val="24"/>
          <w:highlight w:val="none"/>
          <w:u w:val="single"/>
          <w:lang w:val="en-US" w:eastAsia="zh-CN"/>
        </w:rPr>
        <w:t>，项目主要分为锦绣大道排水改造工程段、钦州港路排水工程段、水系改造段3个施工区，水系改造段设置施工围堰，围堰内降雨纳入基坑经常性废水中。</w:t>
      </w:r>
    </w:p>
    <w:p w14:paraId="68D66E7E">
      <w:pPr>
        <w:pStyle w:val="410"/>
        <w:rPr>
          <w:rFonts w:hint="default" w:ascii="Times New Roman" w:cs="Times New Roman"/>
          <w:color w:val="auto"/>
          <w:sz w:val="24"/>
          <w:szCs w:val="24"/>
          <w:highlight w:val="none"/>
          <w:u w:val="single"/>
          <w:lang w:val="en-US" w:eastAsia="zh-CN"/>
        </w:rPr>
      </w:pPr>
      <w:r>
        <w:rPr>
          <w:rFonts w:hint="eastAsia" w:ascii="Times New Roman" w:cs="Times New Roman"/>
          <w:color w:val="auto"/>
          <w:sz w:val="24"/>
          <w:szCs w:val="24"/>
          <w:highlight w:val="none"/>
          <w:u w:val="single"/>
          <w:lang w:val="en-US" w:eastAsia="zh-CN"/>
        </w:rPr>
        <w:t>项目分段施工，每个施工区施工面积约3000</w:t>
      </w:r>
      <w:r>
        <w:rPr>
          <w:rFonts w:hint="default" w:ascii="Times New Roman" w:hAnsi="Times New Roman" w:eastAsia="宋体" w:cs="Times New Roman"/>
          <w:color w:val="auto"/>
          <w:sz w:val="24"/>
          <w:szCs w:val="24"/>
          <w:highlight w:val="none"/>
          <w:u w:val="single"/>
          <w:lang w:val="en-US" w:eastAsia="zh-CN"/>
        </w:rPr>
        <w:t>m</w:t>
      </w:r>
      <w:r>
        <w:rPr>
          <w:rFonts w:hint="default" w:ascii="Times New Roman" w:hAnsi="Times New Roman" w:eastAsia="宋体" w:cs="Times New Roman"/>
          <w:color w:val="auto"/>
          <w:sz w:val="24"/>
          <w:szCs w:val="24"/>
          <w:highlight w:val="none"/>
          <w:u w:val="single"/>
          <w:vertAlign w:val="superscript"/>
          <w:lang w:val="en-US" w:eastAsia="zh-CN"/>
        </w:rPr>
        <w:t>2</w:t>
      </w:r>
      <w:r>
        <w:rPr>
          <w:rFonts w:hint="eastAsia" w:ascii="Times New Roman" w:cs="Times New Roman"/>
          <w:color w:val="auto"/>
          <w:sz w:val="24"/>
          <w:szCs w:val="24"/>
          <w:highlight w:val="none"/>
          <w:u w:val="single"/>
          <w:lang w:val="en-US" w:eastAsia="zh-CN"/>
        </w:rPr>
        <w:t xml:space="preserve">，初期雨水集水时间按15min计，则计算得到每个施工场地初期雨水量约 97.47m </w:t>
      </w:r>
      <w:r>
        <w:rPr>
          <w:rFonts w:hint="eastAsia" w:ascii="Times New Roman" w:cs="Times New Roman"/>
          <w:color w:val="auto"/>
          <w:sz w:val="24"/>
          <w:szCs w:val="24"/>
          <w:highlight w:val="none"/>
          <w:u w:val="single"/>
          <w:vertAlign w:val="superscript"/>
          <w:lang w:val="en-US" w:eastAsia="zh-CN"/>
        </w:rPr>
        <w:t>3</w:t>
      </w:r>
      <w:r>
        <w:rPr>
          <w:rFonts w:hint="eastAsia" w:ascii="Times New Roman" w:cs="Times New Roman"/>
          <w:color w:val="auto"/>
          <w:sz w:val="24"/>
          <w:szCs w:val="24"/>
          <w:highlight w:val="none"/>
          <w:u w:val="single"/>
          <w:lang w:val="en-US" w:eastAsia="zh-CN"/>
        </w:rPr>
        <w:t xml:space="preserve"> /次。项目在每个施工区设置一个容积为100</w:t>
      </w:r>
      <w:r>
        <w:rPr>
          <w:rFonts w:hint="default" w:ascii="Times New Roman" w:hAnsi="Times New Roman" w:eastAsia="宋体" w:cs="Times New Roman"/>
          <w:color w:val="auto"/>
          <w:sz w:val="24"/>
          <w:szCs w:val="24"/>
          <w:highlight w:val="none"/>
          <w:u w:val="single"/>
          <w:lang w:val="en-US" w:eastAsia="zh-CN"/>
        </w:rPr>
        <w:t>m</w:t>
      </w:r>
      <w:r>
        <w:rPr>
          <w:rFonts w:hint="eastAsia" w:ascii="Times New Roman" w:cs="Times New Roman"/>
          <w:color w:val="auto"/>
          <w:sz w:val="24"/>
          <w:szCs w:val="24"/>
          <w:highlight w:val="none"/>
          <w:u w:val="single"/>
          <w:vertAlign w:val="superscript"/>
          <w:lang w:val="en-US" w:eastAsia="zh-CN"/>
        </w:rPr>
        <w:t>3</w:t>
      </w:r>
      <w:r>
        <w:rPr>
          <w:rFonts w:hint="eastAsia" w:ascii="Times New Roman" w:cs="Times New Roman"/>
          <w:color w:val="auto"/>
          <w:sz w:val="24"/>
          <w:szCs w:val="24"/>
          <w:highlight w:val="none"/>
          <w:u w:val="single"/>
          <w:lang w:val="en-US" w:eastAsia="zh-CN"/>
        </w:rPr>
        <w:t>的初期雨水收集池，施 工期雨水通过在周边设置的临时截排水沟进入初期雨水池，初期雨水主要为悬浮物（SS），浓 度一般为 500~1000mg/L，经沉淀处理后，悬浮物浓度＜70 mg/L，初期雨水收集沉淀后作为施 工场地洒水、抑尘等用水，不外排。</w:t>
      </w:r>
    </w:p>
    <w:p w14:paraId="6B5562E4">
      <w:pPr>
        <w:pStyle w:val="5"/>
        <w:bidi w:val="0"/>
        <w:ind w:left="452" w:leftChars="0" w:firstLine="0" w:firstLineChars="0"/>
        <w:rPr>
          <w:rFonts w:hint="default"/>
          <w:color w:val="auto"/>
          <w:highlight w:val="none"/>
        </w:rPr>
      </w:pPr>
      <w:r>
        <w:rPr>
          <w:rFonts w:hint="default"/>
          <w:color w:val="auto"/>
          <w:highlight w:val="none"/>
        </w:rPr>
        <w:t>施工期噪声源强</w:t>
      </w:r>
    </w:p>
    <w:p w14:paraId="7BD4B0A4">
      <w:pPr>
        <w:ind w:firstLine="416"/>
        <w:rPr>
          <w:rFonts w:hint="default" w:ascii="Times New Roman" w:hAnsi="Times New Roman" w:eastAsia="宋体" w:cs="Times New Roman"/>
          <w:bCs/>
          <w:color w:val="auto"/>
          <w:highlight w:val="none"/>
          <w:u w:val="none"/>
        </w:rPr>
      </w:pPr>
      <w:r>
        <w:rPr>
          <w:rFonts w:hint="default" w:ascii="Times New Roman" w:hAnsi="Times New Roman" w:eastAsia="宋体" w:cs="Times New Roman"/>
          <w:bCs/>
          <w:color w:val="auto"/>
          <w:highlight w:val="none"/>
          <w:u w:val="single"/>
        </w:rPr>
        <w:t>施工期</w:t>
      </w:r>
      <w:r>
        <w:rPr>
          <w:rFonts w:hint="eastAsia" w:ascii="Times New Roman" w:cs="Times New Roman"/>
          <w:bCs/>
          <w:color w:val="auto"/>
          <w:highlight w:val="none"/>
          <w:u w:val="single"/>
          <w:lang w:val="en-US" w:eastAsia="zh-CN"/>
        </w:rPr>
        <w:t>位于临时中转场内设置钢筋加工厂1处，不设置混凝土搅拌站</w:t>
      </w:r>
      <w:r>
        <w:rPr>
          <w:rFonts w:hint="default" w:ascii="Times New Roman" w:hAnsi="Times New Roman" w:eastAsia="宋体" w:cs="Times New Roman"/>
          <w:bCs/>
          <w:color w:val="auto"/>
          <w:highlight w:val="none"/>
          <w:u w:val="single"/>
        </w:rPr>
        <w:t>，</w:t>
      </w:r>
      <w:r>
        <w:rPr>
          <w:rFonts w:hint="default" w:ascii="Times New Roman" w:hAnsi="Times New Roman" w:eastAsia="宋体" w:cs="Times New Roman"/>
          <w:bCs/>
          <w:color w:val="auto"/>
          <w:highlight w:val="none"/>
          <w:u w:val="none"/>
        </w:rPr>
        <w:t>根据工程所需，在当地市场直接加工购买</w:t>
      </w:r>
      <w:r>
        <w:rPr>
          <w:rFonts w:hint="eastAsia" w:ascii="Times New Roman" w:cs="Times New Roman"/>
          <w:bCs/>
          <w:color w:val="auto"/>
          <w:highlight w:val="none"/>
          <w:u w:val="single"/>
          <w:lang w:val="en-US" w:eastAsia="zh-CN"/>
        </w:rPr>
        <w:t>成品混凝土</w:t>
      </w:r>
      <w:r>
        <w:rPr>
          <w:rFonts w:hint="default" w:ascii="Times New Roman" w:hAnsi="Times New Roman" w:eastAsia="宋体" w:cs="Times New Roman"/>
          <w:bCs/>
          <w:color w:val="auto"/>
          <w:highlight w:val="none"/>
          <w:u w:val="none"/>
        </w:rPr>
        <w:t>。施工期噪声污染源主要流动源主要来源于施工区的施工机械、运输车辆运行和物料装卸等施工过程产生的噪声，其中施工机械是主要噪声源。根据施工设备选型情况，主要设备、车辆噪声源强（取值来自</w:t>
      </w:r>
      <w:r>
        <w:rPr>
          <w:rFonts w:hint="eastAsia" w:ascii="Times New Roman" w:cs="Times New Roman"/>
          <w:bCs/>
          <w:color w:val="auto"/>
          <w:highlight w:val="none"/>
          <w:u w:val="single"/>
          <w:lang w:eastAsia="zh-CN"/>
        </w:rPr>
        <w:t>《</w:t>
      </w:r>
      <w:r>
        <w:rPr>
          <w:rFonts w:hint="eastAsia" w:ascii="Times New Roman" w:cs="Times New Roman"/>
          <w:bCs/>
          <w:color w:val="auto"/>
          <w:highlight w:val="none"/>
          <w:u w:val="single"/>
          <w:lang w:val="en-US" w:eastAsia="zh-CN"/>
        </w:rPr>
        <w:t>环境噪声与振动控制工程技术导则</w:t>
      </w:r>
      <w:r>
        <w:rPr>
          <w:rFonts w:hint="eastAsia" w:ascii="Times New Roman" w:cs="Times New Roman"/>
          <w:bCs/>
          <w:color w:val="auto"/>
          <w:highlight w:val="none"/>
          <w:u w:val="single"/>
          <w:lang w:eastAsia="zh-CN"/>
        </w:rPr>
        <w:t>》（</w:t>
      </w:r>
      <w:r>
        <w:rPr>
          <w:rFonts w:hint="eastAsia" w:ascii="Times New Roman" w:cs="Times New Roman"/>
          <w:bCs/>
          <w:color w:val="auto"/>
          <w:highlight w:val="none"/>
          <w:u w:val="single"/>
          <w:lang w:val="en-US" w:eastAsia="zh-CN"/>
        </w:rPr>
        <w:t>HJ2034-2013</w:t>
      </w:r>
      <w:r>
        <w:rPr>
          <w:rFonts w:hint="eastAsia" w:ascii="Times New Roman" w:cs="Times New Roman"/>
          <w:bCs/>
          <w:color w:val="auto"/>
          <w:highlight w:val="none"/>
          <w:u w:val="single"/>
          <w:lang w:eastAsia="zh-CN"/>
        </w:rPr>
        <w:t>）</w:t>
      </w:r>
      <w:r>
        <w:rPr>
          <w:rFonts w:hint="default" w:ascii="Times New Roman" w:hAnsi="Times New Roman" w:eastAsia="宋体" w:cs="Times New Roman"/>
          <w:bCs/>
          <w:color w:val="auto"/>
          <w:highlight w:val="none"/>
          <w:u w:val="none"/>
        </w:rPr>
        <w:t>《环境保护实用数据手册》），本项目主要施工设备噪声源强见</w:t>
      </w:r>
      <w:r>
        <w:rPr>
          <w:rFonts w:hint="eastAsia" w:ascii="Times New Roman" w:cs="Times New Roman"/>
          <w:bCs/>
          <w:color w:val="auto"/>
          <w:highlight w:val="none"/>
          <w:u w:val="none"/>
          <w:lang w:eastAsia="zh-CN"/>
        </w:rPr>
        <w:t>下表</w:t>
      </w:r>
      <w:r>
        <w:rPr>
          <w:rFonts w:hint="default" w:ascii="Times New Roman" w:hAnsi="Times New Roman" w:eastAsia="宋体" w:cs="Times New Roman"/>
          <w:bCs/>
          <w:color w:val="auto"/>
          <w:highlight w:val="none"/>
          <w:u w:val="none"/>
          <w:lang w:val="en-US"/>
        </w:rPr>
        <w:fldChar w:fldCharType="begin"/>
      </w:r>
      <w:r>
        <w:rPr>
          <w:rFonts w:hint="default" w:ascii="Times New Roman" w:hAnsi="Times New Roman" w:eastAsia="宋体" w:cs="Times New Roman"/>
          <w:bCs/>
          <w:color w:val="auto"/>
          <w:highlight w:val="none"/>
          <w:u w:val="none"/>
          <w:lang w:val="en-US"/>
        </w:rPr>
        <w:instrText xml:space="preserve"> REF _Ref31527 \r \h </w:instrText>
      </w:r>
      <w:r>
        <w:rPr>
          <w:rFonts w:hint="default" w:ascii="Times New Roman" w:hAnsi="Times New Roman" w:eastAsia="宋体" w:cs="Times New Roman"/>
          <w:bCs/>
          <w:color w:val="auto"/>
          <w:highlight w:val="none"/>
          <w:u w:val="none"/>
          <w:lang w:val="en-US"/>
        </w:rPr>
        <w:fldChar w:fldCharType="separate"/>
      </w:r>
      <w:r>
        <w:rPr>
          <w:rFonts w:hint="default" w:ascii="Times New Roman" w:hAnsi="Times New Roman" w:eastAsia="宋体" w:cs="Times New Roman"/>
          <w:bCs/>
          <w:color w:val="auto"/>
          <w:highlight w:val="none"/>
          <w:u w:val="none"/>
          <w:lang w:val="en-US"/>
        </w:rPr>
        <w:fldChar w:fldCharType="end"/>
      </w:r>
      <w:r>
        <w:rPr>
          <w:rFonts w:hint="default" w:ascii="Times New Roman" w:hAnsi="Times New Roman" w:eastAsia="宋体" w:cs="Times New Roman"/>
          <w:bCs/>
          <w:color w:val="auto"/>
          <w:highlight w:val="none"/>
          <w:u w:val="none"/>
        </w:rPr>
        <w:t>。</w:t>
      </w:r>
    </w:p>
    <w:p w14:paraId="112A0718">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主要施工噪声源源强</w:t>
      </w:r>
    </w:p>
    <w:tbl>
      <w:tblPr>
        <w:tblStyle w:val="1679"/>
        <w:tblW w:w="5033"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1885"/>
        <w:gridCol w:w="3748"/>
        <w:gridCol w:w="3066"/>
      </w:tblGrid>
      <w:tr w14:paraId="0A4445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4" w:hRule="atLeast"/>
          <w:jc w:val="center"/>
        </w:trPr>
        <w:tc>
          <w:tcPr>
            <w:tcW w:w="1083" w:type="pct"/>
            <w:tcBorders>
              <w:top w:val="single" w:color="000000" w:sz="12" w:space="0"/>
              <w:left w:val="single" w:color="000000" w:sz="12" w:space="0"/>
              <w:bottom w:val="single" w:color="000000" w:sz="4" w:space="0"/>
              <w:right w:val="single" w:color="000000" w:sz="4" w:space="0"/>
            </w:tcBorders>
            <w:noWrap w:val="0"/>
            <w:vAlign w:val="center"/>
          </w:tcPr>
          <w:p w14:paraId="7E58F9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21"/>
                <w:szCs w:val="21"/>
                <w:highlight w:val="none"/>
                <w:lang w:eastAsia="en-US"/>
              </w:rPr>
            </w:pPr>
            <w:r>
              <w:rPr>
                <w:rFonts w:hint="default" w:ascii="Times New Roman" w:hAnsi="Times New Roman" w:eastAsia="宋体" w:cs="Times New Roman"/>
                <w:b/>
                <w:bCs/>
                <w:color w:val="auto"/>
                <w:sz w:val="21"/>
                <w:szCs w:val="21"/>
                <w:highlight w:val="none"/>
                <w:lang w:eastAsia="en-US"/>
              </w:rPr>
              <w:t>声源类型</w:t>
            </w:r>
          </w:p>
        </w:tc>
        <w:tc>
          <w:tcPr>
            <w:tcW w:w="2154" w:type="pct"/>
            <w:tcBorders>
              <w:top w:val="single" w:color="000000" w:sz="12" w:space="0"/>
              <w:left w:val="single" w:color="000000" w:sz="4" w:space="0"/>
              <w:bottom w:val="single" w:color="000000" w:sz="4" w:space="0"/>
              <w:right w:val="single" w:color="000000" w:sz="4" w:space="0"/>
            </w:tcBorders>
            <w:noWrap w:val="0"/>
            <w:vAlign w:val="center"/>
          </w:tcPr>
          <w:p w14:paraId="00B2208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21"/>
                <w:szCs w:val="21"/>
                <w:highlight w:val="none"/>
                <w:lang w:eastAsia="en-US"/>
              </w:rPr>
            </w:pPr>
            <w:r>
              <w:rPr>
                <w:rFonts w:hint="default" w:ascii="Times New Roman" w:hAnsi="Times New Roman" w:eastAsia="宋体" w:cs="Times New Roman"/>
                <w:b/>
                <w:bCs/>
                <w:color w:val="auto"/>
                <w:sz w:val="21"/>
                <w:szCs w:val="21"/>
                <w:highlight w:val="none"/>
                <w:lang w:eastAsia="en-US"/>
              </w:rPr>
              <w:t>设备名称</w:t>
            </w:r>
          </w:p>
        </w:tc>
        <w:tc>
          <w:tcPr>
            <w:tcW w:w="1762" w:type="pct"/>
            <w:tcBorders>
              <w:top w:val="single" w:color="000000" w:sz="12" w:space="0"/>
              <w:left w:val="single" w:color="000000" w:sz="4" w:space="0"/>
              <w:bottom w:val="single" w:color="000000" w:sz="4" w:space="0"/>
              <w:right w:val="single" w:color="000000" w:sz="12" w:space="0"/>
            </w:tcBorders>
            <w:noWrap w:val="0"/>
            <w:vAlign w:val="center"/>
          </w:tcPr>
          <w:p w14:paraId="28BAC4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21"/>
                <w:szCs w:val="21"/>
                <w:highlight w:val="none"/>
                <w:lang w:eastAsia="en-US"/>
              </w:rPr>
            </w:pPr>
            <w:r>
              <w:rPr>
                <w:rFonts w:hint="default" w:ascii="Times New Roman" w:hAnsi="Times New Roman" w:eastAsia="宋体" w:cs="Times New Roman"/>
                <w:b/>
                <w:bCs/>
                <w:color w:val="auto"/>
                <w:sz w:val="21"/>
                <w:szCs w:val="21"/>
                <w:highlight w:val="none"/>
                <w:lang w:eastAsia="en-US"/>
              </w:rPr>
              <w:t>噪声级（dB（A））</w:t>
            </w:r>
          </w:p>
        </w:tc>
      </w:tr>
      <w:tr w14:paraId="360642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7" w:hRule="atLeast"/>
          <w:jc w:val="center"/>
        </w:trPr>
        <w:tc>
          <w:tcPr>
            <w:tcW w:w="1083" w:type="pct"/>
            <w:vMerge w:val="restart"/>
            <w:tcBorders>
              <w:top w:val="single" w:color="000000" w:sz="4" w:space="0"/>
              <w:left w:val="single" w:color="000000" w:sz="12" w:space="0"/>
              <w:bottom w:val="single" w:color="000000" w:sz="4" w:space="0"/>
              <w:right w:val="single" w:color="000000" w:sz="4" w:space="0"/>
            </w:tcBorders>
            <w:noWrap w:val="0"/>
            <w:vAlign w:val="center"/>
          </w:tcPr>
          <w:p w14:paraId="48060F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点源</w:t>
            </w:r>
          </w:p>
        </w:tc>
        <w:tc>
          <w:tcPr>
            <w:tcW w:w="2154" w:type="pct"/>
            <w:tcBorders>
              <w:top w:val="single" w:color="000000" w:sz="4" w:space="0"/>
              <w:left w:val="single" w:color="000000" w:sz="4" w:space="0"/>
              <w:bottom w:val="single" w:color="000000" w:sz="4" w:space="0"/>
              <w:right w:val="single" w:color="000000" w:sz="4" w:space="0"/>
            </w:tcBorders>
            <w:noWrap w:val="0"/>
            <w:vAlign w:val="center"/>
          </w:tcPr>
          <w:p w14:paraId="06A38E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挖掘机</w:t>
            </w:r>
          </w:p>
        </w:tc>
        <w:tc>
          <w:tcPr>
            <w:tcW w:w="1762" w:type="pct"/>
            <w:tcBorders>
              <w:top w:val="single" w:color="000000" w:sz="4" w:space="0"/>
              <w:left w:val="single" w:color="000000" w:sz="4" w:space="0"/>
              <w:bottom w:val="single" w:color="000000" w:sz="4" w:space="0"/>
              <w:right w:val="single" w:color="000000" w:sz="12" w:space="0"/>
            </w:tcBorders>
            <w:noWrap w:val="0"/>
            <w:vAlign w:val="center"/>
          </w:tcPr>
          <w:p w14:paraId="744A82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u w:val="single"/>
                <w:lang w:val="en-US" w:eastAsia="zh-CN"/>
              </w:rPr>
              <w:t>82~90</w:t>
            </w:r>
          </w:p>
        </w:tc>
      </w:tr>
      <w:tr w14:paraId="706949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7" w:hRule="atLeast"/>
          <w:jc w:val="center"/>
        </w:trPr>
        <w:tc>
          <w:tcPr>
            <w:tcW w:w="1083" w:type="pct"/>
            <w:vMerge w:val="continue"/>
            <w:tcBorders>
              <w:top w:val="single" w:color="000000" w:sz="4" w:space="0"/>
              <w:left w:val="single" w:color="000000" w:sz="12" w:space="0"/>
              <w:bottom w:val="single" w:color="000000" w:sz="4" w:space="0"/>
              <w:right w:val="single" w:color="000000" w:sz="4" w:space="0"/>
            </w:tcBorders>
            <w:noWrap w:val="0"/>
            <w:vAlign w:val="center"/>
          </w:tcPr>
          <w:p w14:paraId="776C5D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eastAsia="en-US"/>
              </w:rPr>
            </w:pPr>
          </w:p>
        </w:tc>
        <w:tc>
          <w:tcPr>
            <w:tcW w:w="2154" w:type="pct"/>
            <w:tcBorders>
              <w:top w:val="single" w:color="000000" w:sz="4" w:space="0"/>
              <w:left w:val="single" w:color="000000" w:sz="4" w:space="0"/>
              <w:bottom w:val="single" w:color="000000" w:sz="4" w:space="0"/>
              <w:right w:val="single" w:color="000000" w:sz="4" w:space="0"/>
            </w:tcBorders>
            <w:noWrap w:val="0"/>
            <w:vAlign w:val="center"/>
          </w:tcPr>
          <w:p w14:paraId="2D1B45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single"/>
                <w:lang w:eastAsia="en-US"/>
              </w:rPr>
            </w:pPr>
            <w:r>
              <w:rPr>
                <w:rFonts w:hint="eastAsia" w:ascii="Times New Roman" w:cs="Times New Roman"/>
                <w:color w:val="auto"/>
                <w:sz w:val="21"/>
                <w:szCs w:val="21"/>
                <w:highlight w:val="none"/>
                <w:u w:val="single"/>
                <w:lang w:val="en-US" w:eastAsia="zh-CN"/>
              </w:rPr>
              <w:t>轮式</w:t>
            </w:r>
            <w:r>
              <w:rPr>
                <w:rFonts w:hint="default" w:ascii="Times New Roman" w:hAnsi="Times New Roman" w:eastAsia="宋体" w:cs="Times New Roman"/>
                <w:color w:val="auto"/>
                <w:sz w:val="21"/>
                <w:szCs w:val="21"/>
                <w:highlight w:val="none"/>
                <w:u w:val="single"/>
                <w:lang w:eastAsia="en-US"/>
              </w:rPr>
              <w:t>装载机</w:t>
            </w:r>
          </w:p>
        </w:tc>
        <w:tc>
          <w:tcPr>
            <w:tcW w:w="1762" w:type="pct"/>
            <w:tcBorders>
              <w:top w:val="single" w:color="000000" w:sz="4" w:space="0"/>
              <w:left w:val="single" w:color="000000" w:sz="4" w:space="0"/>
              <w:bottom w:val="single" w:color="000000" w:sz="4" w:space="0"/>
              <w:right w:val="single" w:color="000000" w:sz="12" w:space="0"/>
            </w:tcBorders>
            <w:noWrap w:val="0"/>
            <w:vAlign w:val="center"/>
          </w:tcPr>
          <w:p w14:paraId="1485753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cs="Times New Roman"/>
                <w:color w:val="auto"/>
                <w:sz w:val="21"/>
                <w:szCs w:val="21"/>
                <w:highlight w:val="none"/>
                <w:u w:val="single"/>
                <w:lang w:val="en-US" w:eastAsia="zh-CN"/>
              </w:rPr>
              <w:t>90~95</w:t>
            </w:r>
          </w:p>
        </w:tc>
      </w:tr>
      <w:tr w14:paraId="116F06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7" w:hRule="atLeast"/>
          <w:jc w:val="center"/>
        </w:trPr>
        <w:tc>
          <w:tcPr>
            <w:tcW w:w="1083" w:type="pct"/>
            <w:vMerge w:val="continue"/>
            <w:tcBorders>
              <w:top w:val="single" w:color="000000" w:sz="4" w:space="0"/>
              <w:left w:val="single" w:color="000000" w:sz="12" w:space="0"/>
              <w:bottom w:val="single" w:color="000000" w:sz="4" w:space="0"/>
              <w:right w:val="single" w:color="000000" w:sz="4" w:space="0"/>
            </w:tcBorders>
            <w:noWrap w:val="0"/>
            <w:vAlign w:val="center"/>
          </w:tcPr>
          <w:p w14:paraId="7A60BB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eastAsia="en-US"/>
              </w:rPr>
            </w:pPr>
          </w:p>
        </w:tc>
        <w:tc>
          <w:tcPr>
            <w:tcW w:w="2154" w:type="pct"/>
            <w:tcBorders>
              <w:top w:val="single" w:color="000000" w:sz="4" w:space="0"/>
              <w:left w:val="single" w:color="000000" w:sz="4" w:space="0"/>
              <w:bottom w:val="single" w:color="000000" w:sz="4" w:space="0"/>
              <w:right w:val="single" w:color="000000" w:sz="4" w:space="0"/>
            </w:tcBorders>
            <w:noWrap w:val="0"/>
            <w:vAlign w:val="center"/>
          </w:tcPr>
          <w:p w14:paraId="5537BE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cs="Times New Roman"/>
                <w:color w:val="auto"/>
                <w:sz w:val="21"/>
                <w:szCs w:val="21"/>
                <w:highlight w:val="none"/>
                <w:u w:val="single"/>
                <w:lang w:val="en-US" w:eastAsia="zh-CN"/>
              </w:rPr>
            </w:pPr>
            <w:r>
              <w:rPr>
                <w:rFonts w:hint="eastAsia" w:ascii="Times New Roman" w:cs="Times New Roman"/>
                <w:color w:val="auto"/>
                <w:sz w:val="21"/>
                <w:szCs w:val="21"/>
                <w:highlight w:val="none"/>
                <w:u w:val="single"/>
                <w:lang w:val="en-US" w:eastAsia="zh-CN"/>
              </w:rPr>
              <w:t>云石机、角磨机</w:t>
            </w:r>
          </w:p>
        </w:tc>
        <w:tc>
          <w:tcPr>
            <w:tcW w:w="1762" w:type="pct"/>
            <w:tcBorders>
              <w:top w:val="single" w:color="000000" w:sz="4" w:space="0"/>
              <w:left w:val="single" w:color="000000" w:sz="4" w:space="0"/>
              <w:bottom w:val="single" w:color="000000" w:sz="4" w:space="0"/>
              <w:right w:val="single" w:color="000000" w:sz="12" w:space="0"/>
            </w:tcBorders>
            <w:noWrap w:val="0"/>
            <w:vAlign w:val="center"/>
          </w:tcPr>
          <w:p w14:paraId="040257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cs="Times New Roman"/>
                <w:color w:val="auto"/>
                <w:sz w:val="21"/>
                <w:szCs w:val="21"/>
                <w:highlight w:val="none"/>
                <w:u w:val="single"/>
                <w:lang w:val="en-US" w:eastAsia="zh-CN"/>
              </w:rPr>
            </w:pPr>
            <w:r>
              <w:rPr>
                <w:rFonts w:hint="eastAsia" w:ascii="Times New Roman" w:cs="Times New Roman"/>
                <w:color w:val="auto"/>
                <w:sz w:val="21"/>
                <w:szCs w:val="21"/>
                <w:highlight w:val="none"/>
                <w:u w:val="single"/>
                <w:lang w:val="en-US" w:eastAsia="zh-CN"/>
              </w:rPr>
              <w:t>90~96</w:t>
            </w:r>
          </w:p>
        </w:tc>
      </w:tr>
      <w:tr w14:paraId="164023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7" w:hRule="atLeast"/>
          <w:jc w:val="center"/>
        </w:trPr>
        <w:tc>
          <w:tcPr>
            <w:tcW w:w="1083" w:type="pct"/>
            <w:vMerge w:val="continue"/>
            <w:tcBorders>
              <w:top w:val="single" w:color="000000" w:sz="4" w:space="0"/>
              <w:left w:val="single" w:color="000000" w:sz="12" w:space="0"/>
              <w:bottom w:val="single" w:color="000000" w:sz="4" w:space="0"/>
              <w:right w:val="single" w:color="000000" w:sz="4" w:space="0"/>
            </w:tcBorders>
            <w:noWrap w:val="0"/>
            <w:vAlign w:val="center"/>
          </w:tcPr>
          <w:p w14:paraId="5984B48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eastAsia="en-US"/>
              </w:rPr>
            </w:pPr>
          </w:p>
        </w:tc>
        <w:tc>
          <w:tcPr>
            <w:tcW w:w="2154" w:type="pct"/>
            <w:tcBorders>
              <w:top w:val="single" w:color="000000" w:sz="4" w:space="0"/>
              <w:left w:val="single" w:color="000000" w:sz="4" w:space="0"/>
              <w:bottom w:val="single" w:color="000000" w:sz="4" w:space="0"/>
              <w:right w:val="single" w:color="000000" w:sz="4" w:space="0"/>
            </w:tcBorders>
            <w:noWrap w:val="0"/>
            <w:vAlign w:val="center"/>
          </w:tcPr>
          <w:p w14:paraId="3F821D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振捣器</w:t>
            </w:r>
          </w:p>
        </w:tc>
        <w:tc>
          <w:tcPr>
            <w:tcW w:w="1762" w:type="pct"/>
            <w:tcBorders>
              <w:top w:val="single" w:color="000000" w:sz="4" w:space="0"/>
              <w:left w:val="single" w:color="000000" w:sz="4" w:space="0"/>
              <w:bottom w:val="single" w:color="000000" w:sz="4" w:space="0"/>
              <w:right w:val="single" w:color="000000" w:sz="12" w:space="0"/>
            </w:tcBorders>
            <w:noWrap w:val="0"/>
            <w:vAlign w:val="center"/>
          </w:tcPr>
          <w:p w14:paraId="02723F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u w:val="single"/>
                <w:lang w:val="en-US" w:eastAsia="zh-CN"/>
              </w:rPr>
              <w:t>80~88</w:t>
            </w:r>
          </w:p>
        </w:tc>
      </w:tr>
      <w:tr w14:paraId="48C195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7" w:hRule="atLeast"/>
          <w:jc w:val="center"/>
        </w:trPr>
        <w:tc>
          <w:tcPr>
            <w:tcW w:w="1083" w:type="pct"/>
            <w:vMerge w:val="restart"/>
            <w:tcBorders>
              <w:top w:val="single" w:color="000000" w:sz="4" w:space="0"/>
              <w:left w:val="single" w:color="000000" w:sz="12" w:space="0"/>
              <w:bottom w:val="single" w:color="000000" w:sz="4" w:space="0"/>
              <w:right w:val="single" w:color="000000" w:sz="4" w:space="0"/>
            </w:tcBorders>
            <w:noWrap w:val="0"/>
            <w:vAlign w:val="center"/>
          </w:tcPr>
          <w:p w14:paraId="1C51EA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线源</w:t>
            </w:r>
          </w:p>
        </w:tc>
        <w:tc>
          <w:tcPr>
            <w:tcW w:w="2154" w:type="pct"/>
            <w:tcBorders>
              <w:top w:val="single" w:color="000000" w:sz="4" w:space="0"/>
              <w:left w:val="single" w:color="000000" w:sz="4" w:space="0"/>
              <w:bottom w:val="single" w:color="000000" w:sz="4" w:space="0"/>
              <w:right w:val="single" w:color="000000" w:sz="4" w:space="0"/>
            </w:tcBorders>
            <w:noWrap w:val="0"/>
            <w:vAlign w:val="center"/>
          </w:tcPr>
          <w:p w14:paraId="580C19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u w:val="single"/>
                <w:lang w:eastAsia="en-US"/>
              </w:rPr>
              <w:t>重型</w:t>
            </w:r>
            <w:r>
              <w:rPr>
                <w:rFonts w:hint="eastAsia" w:ascii="Times New Roman" w:cs="Times New Roman"/>
                <w:color w:val="auto"/>
                <w:sz w:val="21"/>
                <w:szCs w:val="21"/>
                <w:highlight w:val="none"/>
                <w:u w:val="single"/>
                <w:lang w:val="en-US" w:eastAsia="zh-CN"/>
              </w:rPr>
              <w:t>运输车</w:t>
            </w:r>
          </w:p>
        </w:tc>
        <w:tc>
          <w:tcPr>
            <w:tcW w:w="1762" w:type="pct"/>
            <w:tcBorders>
              <w:top w:val="single" w:color="000000" w:sz="4" w:space="0"/>
              <w:left w:val="single" w:color="000000" w:sz="4" w:space="0"/>
              <w:bottom w:val="single" w:color="000000" w:sz="4" w:space="0"/>
              <w:right w:val="single" w:color="000000" w:sz="12" w:space="0"/>
            </w:tcBorders>
            <w:noWrap w:val="0"/>
            <w:vAlign w:val="center"/>
          </w:tcPr>
          <w:p w14:paraId="7D29DF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u w:val="single"/>
                <w:lang w:val="en-US" w:eastAsia="zh-CN"/>
              </w:rPr>
              <w:t>82~90</w:t>
            </w:r>
          </w:p>
        </w:tc>
      </w:tr>
      <w:tr w14:paraId="1DB48A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9" w:hRule="atLeast"/>
          <w:jc w:val="center"/>
        </w:trPr>
        <w:tc>
          <w:tcPr>
            <w:tcW w:w="1083" w:type="pct"/>
            <w:vMerge w:val="continue"/>
            <w:tcBorders>
              <w:top w:val="single" w:color="000000" w:sz="4" w:space="0"/>
              <w:left w:val="single" w:color="000000" w:sz="12" w:space="0"/>
              <w:bottom w:val="single" w:color="000000" w:sz="4" w:space="0"/>
              <w:right w:val="single" w:color="000000" w:sz="4" w:space="0"/>
            </w:tcBorders>
            <w:noWrap w:val="0"/>
            <w:vAlign w:val="center"/>
          </w:tcPr>
          <w:p w14:paraId="285B22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eastAsia="en-US"/>
              </w:rPr>
            </w:pPr>
          </w:p>
        </w:tc>
        <w:tc>
          <w:tcPr>
            <w:tcW w:w="2154" w:type="pct"/>
            <w:tcBorders>
              <w:top w:val="single" w:color="000000" w:sz="4" w:space="0"/>
              <w:left w:val="single" w:color="000000" w:sz="4" w:space="0"/>
              <w:bottom w:val="single" w:color="000000" w:sz="4" w:space="0"/>
              <w:right w:val="single" w:color="000000" w:sz="4" w:space="0"/>
            </w:tcBorders>
            <w:noWrap w:val="0"/>
            <w:vAlign w:val="center"/>
          </w:tcPr>
          <w:p w14:paraId="65164C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推土机</w:t>
            </w:r>
          </w:p>
        </w:tc>
        <w:tc>
          <w:tcPr>
            <w:tcW w:w="1762" w:type="pct"/>
            <w:tcBorders>
              <w:top w:val="single" w:color="000000" w:sz="4" w:space="0"/>
              <w:left w:val="single" w:color="000000" w:sz="4" w:space="0"/>
              <w:bottom w:val="single" w:color="000000" w:sz="4" w:space="0"/>
              <w:right w:val="single" w:color="000000" w:sz="12" w:space="0"/>
            </w:tcBorders>
            <w:noWrap w:val="0"/>
            <w:vAlign w:val="center"/>
          </w:tcPr>
          <w:p w14:paraId="429126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u w:val="single"/>
                <w:lang w:val="en-US" w:eastAsia="zh-CN"/>
              </w:rPr>
              <w:t>83~88</w:t>
            </w:r>
          </w:p>
        </w:tc>
      </w:tr>
      <w:tr w14:paraId="2BB568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27" w:hRule="atLeast"/>
          <w:jc w:val="center"/>
        </w:trPr>
        <w:tc>
          <w:tcPr>
            <w:tcW w:w="1083" w:type="pct"/>
            <w:vMerge w:val="continue"/>
            <w:tcBorders>
              <w:top w:val="single" w:color="000000" w:sz="4" w:space="0"/>
              <w:left w:val="single" w:color="000000" w:sz="12" w:space="0"/>
              <w:bottom w:val="single" w:color="000000" w:sz="4" w:space="0"/>
              <w:right w:val="single" w:color="000000" w:sz="4" w:space="0"/>
            </w:tcBorders>
            <w:noWrap w:val="0"/>
            <w:vAlign w:val="center"/>
          </w:tcPr>
          <w:p w14:paraId="1BBF74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eastAsia="en-US"/>
              </w:rPr>
            </w:pPr>
          </w:p>
        </w:tc>
        <w:tc>
          <w:tcPr>
            <w:tcW w:w="2154" w:type="pct"/>
            <w:tcBorders>
              <w:top w:val="single" w:color="000000" w:sz="4" w:space="0"/>
              <w:left w:val="single" w:color="000000" w:sz="4" w:space="0"/>
              <w:bottom w:val="single" w:color="000000" w:sz="4" w:space="0"/>
              <w:right w:val="single" w:color="000000" w:sz="4" w:space="0"/>
            </w:tcBorders>
            <w:noWrap w:val="0"/>
            <w:vAlign w:val="center"/>
          </w:tcPr>
          <w:p w14:paraId="6F06A1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压路机</w:t>
            </w:r>
          </w:p>
        </w:tc>
        <w:tc>
          <w:tcPr>
            <w:tcW w:w="1762" w:type="pct"/>
            <w:tcBorders>
              <w:top w:val="single" w:color="000000" w:sz="4" w:space="0"/>
              <w:left w:val="single" w:color="000000" w:sz="4" w:space="0"/>
              <w:bottom w:val="single" w:color="000000" w:sz="4" w:space="0"/>
              <w:right w:val="single" w:color="000000" w:sz="12" w:space="0"/>
            </w:tcBorders>
            <w:noWrap w:val="0"/>
            <w:vAlign w:val="center"/>
          </w:tcPr>
          <w:p w14:paraId="0394FA7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u w:val="single"/>
                <w:lang w:val="en-US" w:eastAsia="zh-CN"/>
              </w:rPr>
              <w:t>80~90</w:t>
            </w:r>
          </w:p>
        </w:tc>
      </w:tr>
      <w:tr w14:paraId="6796A2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7" w:hRule="atLeast"/>
          <w:jc w:val="center"/>
        </w:trPr>
        <w:tc>
          <w:tcPr>
            <w:tcW w:w="1083" w:type="pct"/>
            <w:vMerge w:val="continue"/>
            <w:tcBorders>
              <w:top w:val="single" w:color="000000" w:sz="4" w:space="0"/>
              <w:left w:val="single" w:color="000000" w:sz="12" w:space="0"/>
              <w:bottom w:val="single" w:color="000000" w:sz="4" w:space="0"/>
              <w:right w:val="single" w:color="000000" w:sz="4" w:space="0"/>
            </w:tcBorders>
            <w:noWrap w:val="0"/>
            <w:vAlign w:val="center"/>
          </w:tcPr>
          <w:p w14:paraId="7E32A6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eastAsia="en-US"/>
              </w:rPr>
            </w:pPr>
          </w:p>
        </w:tc>
        <w:tc>
          <w:tcPr>
            <w:tcW w:w="2154" w:type="pct"/>
            <w:tcBorders>
              <w:top w:val="single" w:color="000000" w:sz="4" w:space="0"/>
              <w:left w:val="single" w:color="000000" w:sz="4" w:space="0"/>
              <w:bottom w:val="single" w:color="000000" w:sz="4" w:space="0"/>
              <w:right w:val="single" w:color="000000" w:sz="4" w:space="0"/>
            </w:tcBorders>
            <w:noWrap w:val="0"/>
            <w:vAlign w:val="center"/>
          </w:tcPr>
          <w:p w14:paraId="504B16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混凝</w:t>
            </w:r>
            <w:r>
              <w:rPr>
                <w:rFonts w:hint="eastAsia" w:ascii="Times New Roman" w:cs="Times New Roman"/>
                <w:color w:val="auto"/>
                <w:sz w:val="21"/>
                <w:szCs w:val="21"/>
                <w:highlight w:val="none"/>
                <w:lang w:val="en-US" w:eastAsia="zh-CN"/>
              </w:rPr>
              <w:t>输送泵</w:t>
            </w:r>
          </w:p>
        </w:tc>
        <w:tc>
          <w:tcPr>
            <w:tcW w:w="1762" w:type="pct"/>
            <w:tcBorders>
              <w:top w:val="single" w:color="000000" w:sz="4" w:space="0"/>
              <w:left w:val="single" w:color="000000" w:sz="4" w:space="0"/>
              <w:bottom w:val="single" w:color="000000" w:sz="4" w:space="0"/>
              <w:right w:val="single" w:color="000000" w:sz="12" w:space="0"/>
            </w:tcBorders>
            <w:noWrap w:val="0"/>
            <w:vAlign w:val="center"/>
          </w:tcPr>
          <w:p w14:paraId="153B92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u w:val="single"/>
                <w:lang w:val="en-US" w:eastAsia="zh-CN"/>
              </w:rPr>
              <w:t>88~95</w:t>
            </w:r>
          </w:p>
        </w:tc>
      </w:tr>
      <w:tr w14:paraId="0F047E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7" w:hRule="atLeast"/>
          <w:jc w:val="center"/>
        </w:trPr>
        <w:tc>
          <w:tcPr>
            <w:tcW w:w="1083" w:type="pct"/>
            <w:vMerge w:val="continue"/>
            <w:tcBorders>
              <w:top w:val="single" w:color="000000" w:sz="4" w:space="0"/>
              <w:left w:val="single" w:color="000000" w:sz="12" w:space="0"/>
              <w:bottom w:val="single" w:color="000000" w:sz="12" w:space="0"/>
              <w:right w:val="single" w:color="000000" w:sz="4" w:space="0"/>
            </w:tcBorders>
            <w:noWrap w:val="0"/>
            <w:vAlign w:val="center"/>
          </w:tcPr>
          <w:p w14:paraId="13637D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eastAsia="en-US"/>
              </w:rPr>
            </w:pPr>
          </w:p>
        </w:tc>
        <w:tc>
          <w:tcPr>
            <w:tcW w:w="2154" w:type="pct"/>
            <w:tcBorders>
              <w:top w:val="single" w:color="000000" w:sz="4" w:space="0"/>
              <w:left w:val="single" w:color="000000" w:sz="4" w:space="0"/>
              <w:bottom w:val="single" w:color="000000" w:sz="12" w:space="0"/>
              <w:right w:val="single" w:color="000000" w:sz="4" w:space="0"/>
            </w:tcBorders>
            <w:noWrap w:val="0"/>
            <w:vAlign w:val="center"/>
          </w:tcPr>
          <w:p w14:paraId="3CB997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洒水车</w:t>
            </w:r>
          </w:p>
        </w:tc>
        <w:tc>
          <w:tcPr>
            <w:tcW w:w="1762" w:type="pct"/>
            <w:tcBorders>
              <w:top w:val="single" w:color="000000" w:sz="4" w:space="0"/>
              <w:left w:val="single" w:color="000000" w:sz="4" w:space="0"/>
              <w:bottom w:val="single" w:color="000000" w:sz="12" w:space="0"/>
              <w:right w:val="single" w:color="000000" w:sz="12" w:space="0"/>
            </w:tcBorders>
            <w:noWrap w:val="0"/>
            <w:vAlign w:val="center"/>
          </w:tcPr>
          <w:p w14:paraId="3D1DFA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76</w:t>
            </w:r>
          </w:p>
        </w:tc>
      </w:tr>
    </w:tbl>
    <w:p w14:paraId="3B5F2662">
      <w:pPr>
        <w:pStyle w:val="5"/>
        <w:bidi w:val="0"/>
        <w:ind w:left="452" w:leftChars="0" w:firstLine="0" w:firstLineChars="0"/>
        <w:rPr>
          <w:rFonts w:hint="default"/>
          <w:color w:val="auto"/>
          <w:highlight w:val="none"/>
        </w:rPr>
      </w:pPr>
      <w:r>
        <w:rPr>
          <w:rFonts w:hint="default"/>
          <w:color w:val="auto"/>
          <w:highlight w:val="none"/>
        </w:rPr>
        <w:t>施工期固体废物源强</w:t>
      </w:r>
    </w:p>
    <w:p w14:paraId="3A6340F6">
      <w:pPr>
        <w:ind w:firstLine="453"/>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本项目不设置施工营地，施工人员产生的生活垃圾依托租用民房的垃圾桶收集后交由环卫部门处置。项目施工期产生的固体废物主要为永久弃方、建筑垃圾，</w:t>
      </w:r>
      <w:r>
        <w:rPr>
          <w:rFonts w:hint="default" w:ascii="Times New Roman" w:hAnsi="Times New Roman" w:cs="Times New Roman"/>
          <w:color w:val="auto"/>
          <w:highlight w:val="none"/>
          <w:lang w:val="en-US" w:eastAsia="zh-CN"/>
        </w:rPr>
        <w:t>车辆冲洗池沉淀产生的隔油池污油。</w:t>
      </w:r>
    </w:p>
    <w:p w14:paraId="690AC632">
      <w:pPr>
        <w:ind w:firstLine="453"/>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（1）永久弃方</w:t>
      </w:r>
    </w:p>
    <w:p w14:paraId="70D1BE32">
      <w:pPr>
        <w:ind w:firstLine="453"/>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w:t>
      </w:r>
      <w:r>
        <w:rPr>
          <w:rFonts w:hint="default" w:ascii="Times New Roman" w:hAnsi="Times New Roman" w:cs="Times New Roman"/>
          <w:color w:val="auto"/>
          <w:highlight w:val="none"/>
        </w:rPr>
        <w:t>工程土石方平衡主要涉及道路回填工程，排水沟工程、管道改造工程，水系改造工程等。本项目</w:t>
      </w:r>
      <w:r>
        <w:rPr>
          <w:rFonts w:hint="eastAsia" w:ascii="Times New Roman" w:cs="Times New Roman"/>
          <w:color w:val="auto"/>
          <w:highlight w:val="none"/>
          <w:lang w:eastAsia="zh-CN"/>
        </w:rPr>
        <w:t>曲绣路</w:t>
      </w:r>
      <w:r>
        <w:rPr>
          <w:rFonts w:hint="default" w:ascii="Times New Roman" w:hAnsi="Times New Roman" w:cs="Times New Roman"/>
          <w:color w:val="auto"/>
          <w:highlight w:val="none"/>
        </w:rPr>
        <w:t>与钦州港路需先进行回填至周边标高后再敷设管网。排水沟、管道改造工程土石方主要为管沟开槽施工土石方，水系改造工程主要为清淤工程等。经统计，本项目总挖方量约为3.74万m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（表土0.59万m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，普通土石方2.26万m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，淤泥0.89万m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），总填方量约为26.04万m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（表土0.59万m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，普通土石方24.56万m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，淤泥0.89万m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），借方22.30万m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，从钦州港西港区供水水源管网改造工程调运，无弃土。</w:t>
      </w:r>
    </w:p>
    <w:p w14:paraId="184D2FF6">
      <w:pPr>
        <w:ind w:firstLine="455"/>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rPr>
        <w:t>（2）</w:t>
      </w:r>
      <w:r>
        <w:rPr>
          <w:rFonts w:hint="default" w:ascii="Times New Roman" w:hAnsi="Times New Roman" w:cs="Times New Roman"/>
          <w:b/>
          <w:bCs/>
          <w:color w:val="auto"/>
          <w:highlight w:val="none"/>
          <w:lang w:val="en-US" w:eastAsia="zh-CN"/>
        </w:rPr>
        <w:t>建筑垃圾</w:t>
      </w:r>
    </w:p>
    <w:p w14:paraId="2E15576B">
      <w:pPr>
        <w:ind w:firstLine="453"/>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工程产生的建筑垃圾主要为施工过程、清障、施工辅助设施拆除过程中产生一定数量的碎砖块、废石料、水泥块和混凝土残渣等，还有部分废钢筋等建筑垃圾，多为无机物。根据建筑垃圾露天堆放影响环境卫生、妨碍交通，部分物质锈蚀、腐烂后会对周围土壤、水体等造成污染；项目在施工过程中产生建筑垃圾若处理不当，遇降水等会被冲刷流失到水环境中造成水污染，因此，施工单位须对废土、废物采取防止其四散的措施，建筑材料应建立临时堆放场地，并在堆场四周挖有截流沟；同时必须实行标准施工、规划运输，不能随地洒落物料，不能随意倾倒建筑垃圾、制造新的“垃圾堆场”。</w:t>
      </w:r>
    </w:p>
    <w:p w14:paraId="20A88F96">
      <w:pPr>
        <w:ind w:firstLine="453"/>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施工过程建筑垃圾主要有建设过程产生的废渣土、混凝土碎块、废弃钢筋等。参照《建筑垃圾的产生与循环利用管理》及其他同类型项目类比，每平方米建筑面积将产生20～50kg的建筑垃圾，本次评价取每平方米建筑面积产生20kg建筑垃圾，项目仅只有水电改造工程挡土墙工程修建时，产生建筑垃圾，挡土墙建筑面积约为800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，则项目建筑垃圾总产生量约为16t。</w:t>
      </w:r>
    </w:p>
    <w:p w14:paraId="239AF10F">
      <w:pPr>
        <w:ind w:firstLine="453"/>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施工期产生的建筑垃圾（如废弃钢筋）不能回收利用的回收利用，不能回收利用的部分（如废渣土、混凝土碎块）需按照城市建设主管部门要求运至钦州市指定的建筑垃圾处置地点妥善处置。本项目施工前，负责施工的单位应当向当地环境卫生行政主管部门提出申请，经核准并按规定缴纳建筑垃圾处理费，取得《建筑垃圾处置许可证》后，方可施工过程产生的建筑垃圾运至许可证中规定的卸放建筑垃圾的地点统一处置。同时，建筑垃圾应当交由依法取得《建筑垃圾运输许可证》的单位运输。</w:t>
      </w:r>
    </w:p>
    <w:p w14:paraId="6FEAAD80">
      <w:pPr>
        <w:ind w:firstLine="455"/>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（3）隔油池污油</w:t>
      </w:r>
    </w:p>
    <w:p w14:paraId="4F1501B6">
      <w:pPr>
        <w:ind w:firstLine="453"/>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本工程不设置施工设备维修区，设备检修到附近修配厂进行，不产生废机油和废弃含油抹布。项目施工期车辆冲洗废水产生量约为12.6m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/d，洗车废水经隔油沉淀处理后回用，洗车废水隔油沉淀池产生的将产生污油，洗车废水石油类6mg/L计，隔油池产生的污油约0.0021t/a。</w:t>
      </w:r>
    </w:p>
    <w:p w14:paraId="15195F7F">
      <w:pPr>
        <w:ind w:firstLine="453"/>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隔油池污油按《国家危险废物名录（2025年版）》，属于危险废物（HW08-废矿物油与含矿物油废物）隔油池污油定期委托有资质的单位进行清掏、清运处置，不在场内设置危废暂存间暂存。项目产生的污油性质特征见下表。</w:t>
      </w:r>
    </w:p>
    <w:p w14:paraId="7BEEA025">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lang w:val="en-US" w:eastAsia="zh-CN"/>
        </w:rPr>
      </w:pPr>
      <w:r>
        <w:rPr>
          <w:rFonts w:hint="default"/>
          <w:color w:val="auto"/>
          <w:highlight w:val="none"/>
          <w:lang w:val="en-US" w:eastAsia="zh-CN"/>
        </w:rPr>
        <w:t>项目污油特征一览表</w:t>
      </w:r>
    </w:p>
    <w:tbl>
      <w:tblPr>
        <w:tblStyle w:val="8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8"/>
        <w:gridCol w:w="878"/>
        <w:gridCol w:w="880"/>
        <w:gridCol w:w="912"/>
        <w:gridCol w:w="789"/>
        <w:gridCol w:w="730"/>
        <w:gridCol w:w="1022"/>
        <w:gridCol w:w="721"/>
        <w:gridCol w:w="686"/>
        <w:gridCol w:w="1332"/>
      </w:tblGrid>
      <w:tr w14:paraId="2F38D1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78" w:type="dxa"/>
            <w:noWrap w:val="0"/>
            <w:vAlign w:val="center"/>
          </w:tcPr>
          <w:p w14:paraId="3633E6B0">
            <w:pPr>
              <w:autoSpaceDE/>
              <w:autoSpaceDN/>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名称</w:t>
            </w:r>
          </w:p>
        </w:tc>
        <w:tc>
          <w:tcPr>
            <w:tcW w:w="878" w:type="dxa"/>
            <w:noWrap w:val="0"/>
            <w:vAlign w:val="center"/>
          </w:tcPr>
          <w:p w14:paraId="295EA52E">
            <w:pPr>
              <w:autoSpaceDE/>
              <w:autoSpaceDN/>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类别</w:t>
            </w:r>
          </w:p>
        </w:tc>
        <w:tc>
          <w:tcPr>
            <w:tcW w:w="880" w:type="dxa"/>
            <w:noWrap w:val="0"/>
            <w:vAlign w:val="center"/>
          </w:tcPr>
          <w:p w14:paraId="3BD6F1D6">
            <w:pPr>
              <w:autoSpaceDE/>
              <w:autoSpaceDN/>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代码</w:t>
            </w:r>
          </w:p>
        </w:tc>
        <w:tc>
          <w:tcPr>
            <w:tcW w:w="912" w:type="dxa"/>
            <w:noWrap w:val="0"/>
            <w:vAlign w:val="center"/>
          </w:tcPr>
          <w:p w14:paraId="74BCAF2B">
            <w:pPr>
              <w:autoSpaceDE/>
              <w:autoSpaceDN/>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产量(t/a)</w:t>
            </w:r>
          </w:p>
        </w:tc>
        <w:tc>
          <w:tcPr>
            <w:tcW w:w="789" w:type="dxa"/>
            <w:noWrap w:val="0"/>
            <w:vAlign w:val="center"/>
          </w:tcPr>
          <w:p w14:paraId="40EFA6FF">
            <w:pPr>
              <w:autoSpaceDE/>
              <w:autoSpaceDN/>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产生工序</w:t>
            </w:r>
          </w:p>
        </w:tc>
        <w:tc>
          <w:tcPr>
            <w:tcW w:w="730" w:type="dxa"/>
            <w:noWrap w:val="0"/>
            <w:vAlign w:val="center"/>
          </w:tcPr>
          <w:p w14:paraId="46908986">
            <w:pPr>
              <w:autoSpaceDE/>
              <w:autoSpaceDN/>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形态</w:t>
            </w:r>
          </w:p>
        </w:tc>
        <w:tc>
          <w:tcPr>
            <w:tcW w:w="1022" w:type="dxa"/>
            <w:noWrap w:val="0"/>
            <w:vAlign w:val="center"/>
          </w:tcPr>
          <w:p w14:paraId="139994B4">
            <w:pPr>
              <w:autoSpaceDE/>
              <w:autoSpaceDN/>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主要成分</w:t>
            </w:r>
          </w:p>
        </w:tc>
        <w:tc>
          <w:tcPr>
            <w:tcW w:w="721" w:type="dxa"/>
            <w:noWrap w:val="0"/>
            <w:vAlign w:val="center"/>
          </w:tcPr>
          <w:p w14:paraId="2591EF90">
            <w:pPr>
              <w:autoSpaceDE/>
              <w:autoSpaceDN/>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有害成分</w:t>
            </w:r>
          </w:p>
        </w:tc>
        <w:tc>
          <w:tcPr>
            <w:tcW w:w="686" w:type="dxa"/>
            <w:noWrap w:val="0"/>
            <w:vAlign w:val="center"/>
          </w:tcPr>
          <w:p w14:paraId="48346DB1">
            <w:pPr>
              <w:autoSpaceDE/>
              <w:autoSpaceDN/>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危险特性</w:t>
            </w:r>
          </w:p>
        </w:tc>
        <w:tc>
          <w:tcPr>
            <w:tcW w:w="1332" w:type="dxa"/>
            <w:noWrap w:val="0"/>
            <w:vAlign w:val="center"/>
          </w:tcPr>
          <w:p w14:paraId="6B82DE3A">
            <w:pPr>
              <w:autoSpaceDE/>
              <w:autoSpaceDN/>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防治措施</w:t>
            </w:r>
          </w:p>
        </w:tc>
      </w:tr>
      <w:tr w14:paraId="0228CA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78" w:type="dxa"/>
            <w:noWrap w:val="0"/>
            <w:vAlign w:val="center"/>
          </w:tcPr>
          <w:p w14:paraId="06F689A2">
            <w:pPr>
              <w:autoSpaceDE/>
              <w:autoSpaceDN/>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污油</w:t>
            </w:r>
          </w:p>
        </w:tc>
        <w:tc>
          <w:tcPr>
            <w:tcW w:w="878" w:type="dxa"/>
            <w:noWrap w:val="0"/>
            <w:vAlign w:val="center"/>
          </w:tcPr>
          <w:p w14:paraId="05D4B608">
            <w:pPr>
              <w:autoSpaceDE/>
              <w:autoSpaceDN/>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HW08</w:t>
            </w:r>
          </w:p>
        </w:tc>
        <w:tc>
          <w:tcPr>
            <w:tcW w:w="880" w:type="dxa"/>
            <w:noWrap w:val="0"/>
            <w:vAlign w:val="center"/>
          </w:tcPr>
          <w:p w14:paraId="270F70BA">
            <w:pPr>
              <w:autoSpaceDE/>
              <w:autoSpaceDN/>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900-210-08</w:t>
            </w:r>
          </w:p>
        </w:tc>
        <w:tc>
          <w:tcPr>
            <w:tcW w:w="912" w:type="dxa"/>
            <w:noWrap w:val="0"/>
            <w:vAlign w:val="center"/>
          </w:tcPr>
          <w:p w14:paraId="59085A13">
            <w:pPr>
              <w:autoSpaceDE/>
              <w:autoSpaceDN/>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0.0021</w:t>
            </w:r>
          </w:p>
        </w:tc>
        <w:tc>
          <w:tcPr>
            <w:tcW w:w="789" w:type="dxa"/>
            <w:noWrap w:val="0"/>
            <w:vAlign w:val="center"/>
          </w:tcPr>
          <w:p w14:paraId="7BC594FD">
            <w:pPr>
              <w:autoSpaceDE/>
              <w:autoSpaceDN/>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隔油沉淀池</w:t>
            </w:r>
          </w:p>
        </w:tc>
        <w:tc>
          <w:tcPr>
            <w:tcW w:w="730" w:type="dxa"/>
            <w:noWrap w:val="0"/>
            <w:vAlign w:val="center"/>
          </w:tcPr>
          <w:p w14:paraId="3DA3BD4B">
            <w:pPr>
              <w:autoSpaceDE/>
              <w:autoSpaceDN/>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1022" w:type="dxa"/>
            <w:noWrap w:val="0"/>
            <w:vAlign w:val="center"/>
          </w:tcPr>
          <w:p w14:paraId="6E2D8D64">
            <w:pPr>
              <w:autoSpaceDE/>
              <w:autoSpaceDN/>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废矿物油</w:t>
            </w:r>
          </w:p>
        </w:tc>
        <w:tc>
          <w:tcPr>
            <w:tcW w:w="721" w:type="dxa"/>
            <w:noWrap w:val="0"/>
            <w:vAlign w:val="center"/>
          </w:tcPr>
          <w:p w14:paraId="2C697A9D">
            <w:pPr>
              <w:autoSpaceDE/>
              <w:autoSpaceDN/>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废矿物油</w:t>
            </w:r>
          </w:p>
        </w:tc>
        <w:tc>
          <w:tcPr>
            <w:tcW w:w="686" w:type="dxa"/>
            <w:noWrap w:val="0"/>
            <w:vAlign w:val="center"/>
          </w:tcPr>
          <w:p w14:paraId="53A51901">
            <w:pPr>
              <w:autoSpaceDE/>
              <w:autoSpaceDN/>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T，I</w:t>
            </w:r>
          </w:p>
        </w:tc>
        <w:tc>
          <w:tcPr>
            <w:tcW w:w="1332" w:type="dxa"/>
            <w:noWrap w:val="0"/>
            <w:vAlign w:val="center"/>
          </w:tcPr>
          <w:p w14:paraId="726D240B">
            <w:pPr>
              <w:autoSpaceDE/>
              <w:autoSpaceDN/>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由有资质的单位处置</w:t>
            </w:r>
          </w:p>
        </w:tc>
      </w:tr>
    </w:tbl>
    <w:p w14:paraId="51307DB5">
      <w:pPr>
        <w:pStyle w:val="5"/>
        <w:bidi w:val="0"/>
        <w:ind w:left="452" w:leftChars="0" w:firstLine="0" w:firstLineChars="0"/>
        <w:rPr>
          <w:rFonts w:hint="default"/>
          <w:color w:val="auto"/>
          <w:highlight w:val="none"/>
        </w:rPr>
      </w:pPr>
      <w:r>
        <w:rPr>
          <w:rFonts w:hint="eastAsia"/>
          <w:color w:val="auto"/>
          <w:highlight w:val="none"/>
          <w:lang w:eastAsia="zh-CN"/>
        </w:rPr>
        <w:t>施工期源强汇总</w:t>
      </w:r>
    </w:p>
    <w:p w14:paraId="34C7AC07">
      <w:pPr>
        <w:pStyle w:val="410"/>
        <w:rPr>
          <w:rFonts w:hint="eastAsia"/>
          <w:color w:val="auto"/>
          <w:highlight w:val="none"/>
          <w:lang w:eastAsia="zh-CN"/>
        </w:rPr>
      </w:pPr>
      <w:r>
        <w:rPr>
          <w:rFonts w:hint="eastAsia"/>
          <w:color w:val="auto"/>
          <w:highlight w:val="none"/>
          <w:lang w:eastAsia="zh-CN"/>
        </w:rPr>
        <w:t>根据上述工程分析，本项目施工期污染源强见下表。</w:t>
      </w:r>
    </w:p>
    <w:p w14:paraId="1C672D67">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本项目施工期污染源强汇总</w:t>
      </w:r>
    </w:p>
    <w:tbl>
      <w:tblPr>
        <w:tblStyle w:val="8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351"/>
        <w:gridCol w:w="1570"/>
        <w:gridCol w:w="1300"/>
        <w:gridCol w:w="1070"/>
        <w:gridCol w:w="2880"/>
      </w:tblGrid>
      <w:tr w14:paraId="702C31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2" w:type="pct"/>
            <w:vAlign w:val="center"/>
          </w:tcPr>
          <w:p w14:paraId="50F96DC7">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环境要素</w:t>
            </w:r>
          </w:p>
        </w:tc>
        <w:tc>
          <w:tcPr>
            <w:tcW w:w="765" w:type="pct"/>
            <w:vAlign w:val="center"/>
          </w:tcPr>
          <w:p w14:paraId="2A12529E">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污染源</w:t>
            </w:r>
          </w:p>
        </w:tc>
        <w:tc>
          <w:tcPr>
            <w:tcW w:w="889" w:type="pct"/>
            <w:vAlign w:val="center"/>
          </w:tcPr>
          <w:p w14:paraId="00B0CB28">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污染物名称</w:t>
            </w:r>
          </w:p>
        </w:tc>
        <w:tc>
          <w:tcPr>
            <w:tcW w:w="736" w:type="pct"/>
            <w:vAlign w:val="center"/>
          </w:tcPr>
          <w:p w14:paraId="46766307">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产生量</w:t>
            </w:r>
          </w:p>
        </w:tc>
        <w:tc>
          <w:tcPr>
            <w:tcW w:w="606" w:type="pct"/>
            <w:vAlign w:val="center"/>
          </w:tcPr>
          <w:p w14:paraId="5BECCBA7">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排放量</w:t>
            </w:r>
          </w:p>
        </w:tc>
        <w:tc>
          <w:tcPr>
            <w:tcW w:w="1631" w:type="pct"/>
            <w:vAlign w:val="center"/>
          </w:tcPr>
          <w:p w14:paraId="21C6A354">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措施</w:t>
            </w:r>
          </w:p>
        </w:tc>
      </w:tr>
      <w:tr w14:paraId="7928D5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2" w:type="pct"/>
            <w:vMerge w:val="restart"/>
            <w:vAlign w:val="center"/>
          </w:tcPr>
          <w:p w14:paraId="22076A96">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废气</w:t>
            </w:r>
          </w:p>
        </w:tc>
        <w:tc>
          <w:tcPr>
            <w:tcW w:w="765" w:type="pct"/>
            <w:vAlign w:val="center"/>
          </w:tcPr>
          <w:p w14:paraId="3D48A5D0">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施工扬尘</w:t>
            </w:r>
          </w:p>
        </w:tc>
        <w:tc>
          <w:tcPr>
            <w:tcW w:w="889" w:type="pct"/>
            <w:vAlign w:val="center"/>
          </w:tcPr>
          <w:p w14:paraId="2E40754C">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TSP</w:t>
            </w:r>
          </w:p>
        </w:tc>
        <w:tc>
          <w:tcPr>
            <w:tcW w:w="736" w:type="pct"/>
            <w:vAlign w:val="center"/>
          </w:tcPr>
          <w:p w14:paraId="1E2B1D97">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18.4t</w:t>
            </w:r>
          </w:p>
        </w:tc>
        <w:tc>
          <w:tcPr>
            <w:tcW w:w="606" w:type="pct"/>
            <w:vAlign w:val="center"/>
          </w:tcPr>
          <w:p w14:paraId="08B4E868">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vertAlign w:val="baseline"/>
                <w:lang w:val="en-US" w:eastAsia="zh-CN"/>
              </w:rPr>
              <w:t>4.60t</w:t>
            </w:r>
          </w:p>
        </w:tc>
        <w:tc>
          <w:tcPr>
            <w:tcW w:w="1631" w:type="pct"/>
            <w:vAlign w:val="center"/>
          </w:tcPr>
          <w:p w14:paraId="3C80D66C">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采取围挡、洒水、车辆加盖遮布和限速等措施</w:t>
            </w:r>
          </w:p>
        </w:tc>
      </w:tr>
      <w:tr w14:paraId="1A3F8B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2" w:type="pct"/>
            <w:vMerge w:val="continue"/>
            <w:vAlign w:val="center"/>
          </w:tcPr>
          <w:p w14:paraId="1B724E44">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765" w:type="pct"/>
            <w:vAlign w:val="center"/>
          </w:tcPr>
          <w:p w14:paraId="3092B89D">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lang w:val="en-US" w:eastAsia="zh-CN"/>
              </w:rPr>
              <w:t>交通运输</w:t>
            </w:r>
            <w:r>
              <w:rPr>
                <w:rFonts w:hint="default" w:ascii="Times New Roman" w:hAnsi="Times New Roman" w:eastAsia="宋体" w:cs="Times New Roman"/>
                <w:bCs/>
                <w:color w:val="auto"/>
                <w:sz w:val="21"/>
                <w:szCs w:val="21"/>
                <w:highlight w:val="none"/>
              </w:rPr>
              <w:t>扬尘</w:t>
            </w:r>
          </w:p>
        </w:tc>
        <w:tc>
          <w:tcPr>
            <w:tcW w:w="889" w:type="pct"/>
            <w:vAlign w:val="center"/>
          </w:tcPr>
          <w:p w14:paraId="614DF6DC">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TSP</w:t>
            </w:r>
          </w:p>
        </w:tc>
        <w:tc>
          <w:tcPr>
            <w:tcW w:w="736" w:type="pct"/>
            <w:vAlign w:val="center"/>
          </w:tcPr>
          <w:p w14:paraId="419BB842">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pacing w:val="-1"/>
                <w:sz w:val="21"/>
                <w:szCs w:val="21"/>
                <w:highlight w:val="none"/>
                <w:lang w:val="en-US" w:eastAsia="zh-CN"/>
              </w:rPr>
              <w:t>0.6039</w:t>
            </w:r>
            <w:r>
              <w:rPr>
                <w:rFonts w:hint="default" w:ascii="Times New Roman" w:hAnsi="Times New Roman" w:eastAsia="宋体" w:cs="Times New Roman"/>
                <w:color w:val="auto"/>
                <w:sz w:val="21"/>
                <w:szCs w:val="21"/>
                <w:highlight w:val="none"/>
                <w:vertAlign w:val="baseline"/>
                <w:lang w:val="en-US" w:eastAsia="zh-CN"/>
              </w:rPr>
              <w:t>t</w:t>
            </w:r>
          </w:p>
        </w:tc>
        <w:tc>
          <w:tcPr>
            <w:tcW w:w="606" w:type="pct"/>
            <w:vAlign w:val="center"/>
          </w:tcPr>
          <w:p w14:paraId="3C00807B">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Cs/>
                <w:color w:val="auto"/>
                <w:sz w:val="21"/>
                <w:szCs w:val="21"/>
                <w:highlight w:val="none"/>
                <w:u w:val="none"/>
                <w:lang w:val="en-US" w:eastAsia="zh-CN"/>
              </w:rPr>
              <w:t>0.18117</w:t>
            </w:r>
            <w:r>
              <w:rPr>
                <w:rFonts w:hint="default" w:ascii="Times New Roman" w:hAnsi="Times New Roman" w:eastAsia="宋体" w:cs="Times New Roman"/>
                <w:bCs/>
                <w:color w:val="auto"/>
                <w:sz w:val="21"/>
                <w:szCs w:val="21"/>
                <w:highlight w:val="none"/>
                <w:u w:val="none"/>
              </w:rPr>
              <w:t>t</w:t>
            </w:r>
          </w:p>
        </w:tc>
        <w:tc>
          <w:tcPr>
            <w:tcW w:w="1631" w:type="pct"/>
            <w:vAlign w:val="center"/>
          </w:tcPr>
          <w:p w14:paraId="180013DC">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洒水降尘、慢速行驶、洗车平台</w:t>
            </w:r>
          </w:p>
        </w:tc>
      </w:tr>
      <w:tr w14:paraId="5652BB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72" w:type="pct"/>
            <w:vMerge w:val="continue"/>
            <w:vAlign w:val="center"/>
          </w:tcPr>
          <w:p w14:paraId="27A742D4">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765" w:type="pct"/>
            <w:vMerge w:val="restart"/>
            <w:vAlign w:val="center"/>
          </w:tcPr>
          <w:p w14:paraId="67394229">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rPr>
              <w:t>施工机械及运输车辆尾气</w:t>
            </w:r>
          </w:p>
        </w:tc>
        <w:tc>
          <w:tcPr>
            <w:tcW w:w="889" w:type="pct"/>
            <w:vAlign w:val="center"/>
          </w:tcPr>
          <w:p w14:paraId="35C4C4D8">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pacing w:val="-2"/>
                <w:sz w:val="21"/>
                <w:szCs w:val="21"/>
                <w:highlight w:val="none"/>
              </w:rPr>
              <w:t>CO</w:t>
            </w:r>
          </w:p>
        </w:tc>
        <w:tc>
          <w:tcPr>
            <w:tcW w:w="736" w:type="pct"/>
            <w:vAlign w:val="center"/>
          </w:tcPr>
          <w:p w14:paraId="04C90BD7">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2.32</w:t>
            </w:r>
            <w:r>
              <w:rPr>
                <w:rFonts w:hint="default" w:ascii="Times New Roman" w:hAnsi="Times New Roman" w:eastAsia="宋体" w:cs="Times New Roman"/>
                <w:bCs/>
                <w:color w:val="auto"/>
                <w:sz w:val="21"/>
                <w:szCs w:val="21"/>
                <w:highlight w:val="none"/>
                <w:u w:val="none"/>
              </w:rPr>
              <w:t>t</w:t>
            </w:r>
          </w:p>
        </w:tc>
        <w:tc>
          <w:tcPr>
            <w:tcW w:w="606" w:type="pct"/>
            <w:vAlign w:val="center"/>
          </w:tcPr>
          <w:p w14:paraId="7E256BE7">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vertAlign w:val="baseline"/>
                <w:lang w:val="en-US" w:eastAsia="zh-CN"/>
              </w:rPr>
              <w:t>2.32</w:t>
            </w:r>
            <w:r>
              <w:rPr>
                <w:rFonts w:hint="default" w:ascii="Times New Roman" w:hAnsi="Times New Roman" w:eastAsia="宋体" w:cs="Times New Roman"/>
                <w:bCs/>
                <w:color w:val="auto"/>
                <w:sz w:val="21"/>
                <w:szCs w:val="21"/>
                <w:highlight w:val="none"/>
                <w:u w:val="none"/>
              </w:rPr>
              <w:t>t</w:t>
            </w:r>
          </w:p>
        </w:tc>
        <w:tc>
          <w:tcPr>
            <w:tcW w:w="1631" w:type="pct"/>
            <w:vMerge w:val="restart"/>
            <w:vAlign w:val="center"/>
          </w:tcPr>
          <w:p w14:paraId="2B9555C0">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使用符合标准的机械车辆、加强保养、采用优质柴油等</w:t>
            </w:r>
          </w:p>
        </w:tc>
      </w:tr>
      <w:tr w14:paraId="2D9506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2" w:type="pct"/>
            <w:vMerge w:val="continue"/>
            <w:vAlign w:val="center"/>
          </w:tcPr>
          <w:p w14:paraId="69801CB9">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765" w:type="pct"/>
            <w:vMerge w:val="continue"/>
            <w:vAlign w:val="center"/>
          </w:tcPr>
          <w:p w14:paraId="3B6102AA">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rPr>
            </w:pPr>
          </w:p>
        </w:tc>
        <w:tc>
          <w:tcPr>
            <w:tcW w:w="889" w:type="pct"/>
            <w:vAlign w:val="center"/>
          </w:tcPr>
          <w:p w14:paraId="37809F34">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pacing w:val="1"/>
                <w:sz w:val="21"/>
                <w:szCs w:val="21"/>
                <w:highlight w:val="none"/>
              </w:rPr>
              <w:t>NOx</w:t>
            </w:r>
          </w:p>
        </w:tc>
        <w:tc>
          <w:tcPr>
            <w:tcW w:w="736" w:type="pct"/>
            <w:vAlign w:val="center"/>
          </w:tcPr>
          <w:p w14:paraId="37D76A37">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2.17</w:t>
            </w:r>
            <w:r>
              <w:rPr>
                <w:rFonts w:hint="default" w:ascii="Times New Roman" w:hAnsi="Times New Roman" w:eastAsia="宋体" w:cs="Times New Roman"/>
                <w:bCs/>
                <w:color w:val="auto"/>
                <w:sz w:val="21"/>
                <w:szCs w:val="21"/>
                <w:highlight w:val="none"/>
                <w:u w:val="none"/>
              </w:rPr>
              <w:t>t</w:t>
            </w:r>
          </w:p>
        </w:tc>
        <w:tc>
          <w:tcPr>
            <w:tcW w:w="606" w:type="pct"/>
            <w:vAlign w:val="center"/>
          </w:tcPr>
          <w:p w14:paraId="0A851C85">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2.17</w:t>
            </w:r>
            <w:r>
              <w:rPr>
                <w:rFonts w:hint="default" w:ascii="Times New Roman" w:hAnsi="Times New Roman" w:eastAsia="宋体" w:cs="Times New Roman"/>
                <w:bCs/>
                <w:color w:val="auto"/>
                <w:sz w:val="21"/>
                <w:szCs w:val="21"/>
                <w:highlight w:val="none"/>
                <w:u w:val="none"/>
              </w:rPr>
              <w:t>t</w:t>
            </w:r>
          </w:p>
        </w:tc>
        <w:tc>
          <w:tcPr>
            <w:tcW w:w="1631" w:type="pct"/>
            <w:vMerge w:val="continue"/>
            <w:vAlign w:val="center"/>
          </w:tcPr>
          <w:p w14:paraId="335AA636">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496FF5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2" w:type="pct"/>
            <w:vMerge w:val="continue"/>
            <w:vAlign w:val="center"/>
          </w:tcPr>
          <w:p w14:paraId="7E8A69D0">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765" w:type="pct"/>
            <w:vMerge w:val="continue"/>
            <w:vAlign w:val="center"/>
          </w:tcPr>
          <w:p w14:paraId="747B5A7B">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rPr>
            </w:pPr>
          </w:p>
        </w:tc>
        <w:tc>
          <w:tcPr>
            <w:tcW w:w="889" w:type="pct"/>
            <w:vAlign w:val="center"/>
          </w:tcPr>
          <w:p w14:paraId="034F2672">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pacing w:val="-4"/>
                <w:sz w:val="21"/>
                <w:szCs w:val="21"/>
                <w:highlight w:val="none"/>
              </w:rPr>
              <w:t>SO</w:t>
            </w:r>
            <w:r>
              <w:rPr>
                <w:rFonts w:hint="default" w:ascii="Times New Roman" w:hAnsi="Times New Roman" w:eastAsia="宋体" w:cs="Times New Roman"/>
                <w:color w:val="auto"/>
                <w:spacing w:val="-4"/>
                <w:sz w:val="21"/>
                <w:szCs w:val="21"/>
                <w:highlight w:val="none"/>
                <w:vertAlign w:val="subscript"/>
              </w:rPr>
              <w:t>2</w:t>
            </w:r>
          </w:p>
        </w:tc>
        <w:tc>
          <w:tcPr>
            <w:tcW w:w="736" w:type="pct"/>
            <w:vAlign w:val="center"/>
          </w:tcPr>
          <w:p w14:paraId="65E2411C">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0.15</w:t>
            </w:r>
            <w:r>
              <w:rPr>
                <w:rFonts w:hint="default" w:ascii="Times New Roman" w:hAnsi="Times New Roman" w:eastAsia="宋体" w:cs="Times New Roman"/>
                <w:bCs/>
                <w:color w:val="auto"/>
                <w:sz w:val="21"/>
                <w:szCs w:val="21"/>
                <w:highlight w:val="none"/>
                <w:u w:val="none"/>
              </w:rPr>
              <w:t>t</w:t>
            </w:r>
          </w:p>
        </w:tc>
        <w:tc>
          <w:tcPr>
            <w:tcW w:w="606" w:type="pct"/>
            <w:vAlign w:val="center"/>
          </w:tcPr>
          <w:p w14:paraId="4AE7403E">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0.15</w:t>
            </w:r>
            <w:r>
              <w:rPr>
                <w:rFonts w:hint="default" w:ascii="Times New Roman" w:hAnsi="Times New Roman" w:eastAsia="宋体" w:cs="Times New Roman"/>
                <w:bCs/>
                <w:color w:val="auto"/>
                <w:sz w:val="21"/>
                <w:szCs w:val="21"/>
                <w:highlight w:val="none"/>
                <w:u w:val="none"/>
              </w:rPr>
              <w:t>t</w:t>
            </w:r>
          </w:p>
        </w:tc>
        <w:tc>
          <w:tcPr>
            <w:tcW w:w="1631" w:type="pct"/>
            <w:vMerge w:val="continue"/>
            <w:vAlign w:val="center"/>
          </w:tcPr>
          <w:p w14:paraId="4F6B3852">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1B747A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2" w:type="pct"/>
            <w:vMerge w:val="continue"/>
            <w:vAlign w:val="center"/>
          </w:tcPr>
          <w:p w14:paraId="55F35907">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765" w:type="pct"/>
            <w:vMerge w:val="continue"/>
            <w:vAlign w:val="center"/>
          </w:tcPr>
          <w:p w14:paraId="4676B4B5">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rPr>
            </w:pPr>
          </w:p>
        </w:tc>
        <w:tc>
          <w:tcPr>
            <w:tcW w:w="889" w:type="pct"/>
            <w:vAlign w:val="center"/>
          </w:tcPr>
          <w:p w14:paraId="46C078AB">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pacing w:val="-2"/>
                <w:sz w:val="21"/>
                <w:szCs w:val="21"/>
                <w:highlight w:val="none"/>
              </w:rPr>
              <w:t>THC</w:t>
            </w:r>
          </w:p>
        </w:tc>
        <w:tc>
          <w:tcPr>
            <w:tcW w:w="736" w:type="pct"/>
            <w:vAlign w:val="center"/>
          </w:tcPr>
          <w:p w14:paraId="755A8B13">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0.55</w:t>
            </w:r>
            <w:r>
              <w:rPr>
                <w:rFonts w:hint="default" w:ascii="Times New Roman" w:hAnsi="Times New Roman" w:eastAsia="宋体" w:cs="Times New Roman"/>
                <w:bCs/>
                <w:color w:val="auto"/>
                <w:sz w:val="21"/>
                <w:szCs w:val="21"/>
                <w:highlight w:val="none"/>
                <w:u w:val="none"/>
              </w:rPr>
              <w:t>t</w:t>
            </w:r>
          </w:p>
        </w:tc>
        <w:tc>
          <w:tcPr>
            <w:tcW w:w="606" w:type="pct"/>
            <w:vAlign w:val="center"/>
          </w:tcPr>
          <w:p w14:paraId="7E34CEFC">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0.55</w:t>
            </w:r>
            <w:r>
              <w:rPr>
                <w:rFonts w:hint="default" w:ascii="Times New Roman" w:hAnsi="Times New Roman" w:eastAsia="宋体" w:cs="Times New Roman"/>
                <w:bCs/>
                <w:color w:val="auto"/>
                <w:sz w:val="21"/>
                <w:szCs w:val="21"/>
                <w:highlight w:val="none"/>
                <w:u w:val="none"/>
              </w:rPr>
              <w:t>t</w:t>
            </w:r>
          </w:p>
        </w:tc>
        <w:tc>
          <w:tcPr>
            <w:tcW w:w="1631" w:type="pct"/>
            <w:vMerge w:val="continue"/>
            <w:vAlign w:val="center"/>
          </w:tcPr>
          <w:p w14:paraId="5E0B8354">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436F7B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2" w:type="pct"/>
            <w:vMerge w:val="continue"/>
            <w:vAlign w:val="center"/>
          </w:tcPr>
          <w:p w14:paraId="73F784A7">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765" w:type="pct"/>
            <w:vAlign w:val="center"/>
          </w:tcPr>
          <w:p w14:paraId="122C76BE">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eastAsia="zh-CN"/>
              </w:rPr>
              <w:t>临时中转场及道路回填区扬尘</w:t>
            </w:r>
          </w:p>
        </w:tc>
        <w:tc>
          <w:tcPr>
            <w:tcW w:w="889" w:type="pct"/>
            <w:vAlign w:val="center"/>
          </w:tcPr>
          <w:p w14:paraId="5468CAB7">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TSP</w:t>
            </w:r>
          </w:p>
        </w:tc>
        <w:tc>
          <w:tcPr>
            <w:tcW w:w="736" w:type="pct"/>
            <w:vAlign w:val="center"/>
          </w:tcPr>
          <w:p w14:paraId="5A1D767E">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eastAsia="宋体" w:cs="Times New Roman"/>
                <w:color w:val="auto"/>
                <w:sz w:val="21"/>
                <w:szCs w:val="21"/>
                <w:highlight w:val="none"/>
                <w:u w:val="single"/>
                <w:vertAlign w:val="baseline"/>
                <w:lang w:val="en-US" w:eastAsia="zh-CN"/>
              </w:rPr>
              <w:t>13.37</w:t>
            </w:r>
            <w:r>
              <w:rPr>
                <w:rFonts w:hint="default" w:ascii="Times New Roman" w:hAnsi="Times New Roman" w:eastAsia="宋体" w:cs="Times New Roman"/>
                <w:color w:val="auto"/>
                <w:sz w:val="21"/>
                <w:szCs w:val="21"/>
                <w:highlight w:val="none"/>
                <w:u w:val="single"/>
                <w:vertAlign w:val="baseline"/>
                <w:lang w:val="en-US" w:eastAsia="zh-CN"/>
              </w:rPr>
              <w:t>t</w:t>
            </w:r>
          </w:p>
        </w:tc>
        <w:tc>
          <w:tcPr>
            <w:tcW w:w="606" w:type="pct"/>
            <w:vAlign w:val="center"/>
          </w:tcPr>
          <w:p w14:paraId="6A81835F">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eastAsia="宋体" w:cs="Times New Roman"/>
                <w:color w:val="auto"/>
                <w:sz w:val="21"/>
                <w:szCs w:val="21"/>
                <w:highlight w:val="none"/>
                <w:u w:val="single"/>
                <w:vertAlign w:val="baseline"/>
                <w:lang w:val="en-US" w:eastAsia="zh-CN"/>
              </w:rPr>
              <w:t>4.64t</w:t>
            </w:r>
          </w:p>
        </w:tc>
        <w:tc>
          <w:tcPr>
            <w:tcW w:w="1631" w:type="pct"/>
            <w:vAlign w:val="center"/>
          </w:tcPr>
          <w:p w14:paraId="63C93D8E">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采取围挡、洒水降尘、临时覆盖</w:t>
            </w:r>
          </w:p>
        </w:tc>
      </w:tr>
      <w:tr w14:paraId="10B836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2" w:type="pct"/>
            <w:vMerge w:val="continue"/>
            <w:vAlign w:val="center"/>
          </w:tcPr>
          <w:p w14:paraId="775F4BB7">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765" w:type="pct"/>
            <w:vAlign w:val="center"/>
          </w:tcPr>
          <w:p w14:paraId="7788D811">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淤泥恶臭</w:t>
            </w:r>
          </w:p>
        </w:tc>
        <w:tc>
          <w:tcPr>
            <w:tcW w:w="889" w:type="pct"/>
            <w:vAlign w:val="center"/>
          </w:tcPr>
          <w:p w14:paraId="79926467">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736" w:type="pct"/>
            <w:vAlign w:val="center"/>
          </w:tcPr>
          <w:p w14:paraId="1A543679">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606" w:type="pct"/>
            <w:vAlign w:val="center"/>
          </w:tcPr>
          <w:p w14:paraId="5B9448D5">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1631" w:type="pct"/>
            <w:vAlign w:val="center"/>
          </w:tcPr>
          <w:p w14:paraId="55623239">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喷洒除臭剂</w:t>
            </w:r>
          </w:p>
        </w:tc>
      </w:tr>
      <w:tr w14:paraId="05A13E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2" w:type="pct"/>
            <w:vMerge w:val="restart"/>
            <w:vAlign w:val="center"/>
          </w:tcPr>
          <w:p w14:paraId="715D5AAB">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废水</w:t>
            </w:r>
          </w:p>
        </w:tc>
        <w:tc>
          <w:tcPr>
            <w:tcW w:w="765" w:type="pct"/>
            <w:vAlign w:val="center"/>
          </w:tcPr>
          <w:p w14:paraId="57237878">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混凝土养护废水</w:t>
            </w:r>
          </w:p>
        </w:tc>
        <w:tc>
          <w:tcPr>
            <w:tcW w:w="889" w:type="pct"/>
            <w:vAlign w:val="center"/>
          </w:tcPr>
          <w:p w14:paraId="3F6FEBC8">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SS</w:t>
            </w:r>
          </w:p>
        </w:tc>
        <w:tc>
          <w:tcPr>
            <w:tcW w:w="736" w:type="pct"/>
            <w:vAlign w:val="center"/>
          </w:tcPr>
          <w:p w14:paraId="0F495AA5">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u w:val="none"/>
                <w:lang w:val="en-US" w:eastAsia="zh-CN"/>
              </w:rPr>
              <w:t>380</w:t>
            </w:r>
            <w:r>
              <w:rPr>
                <w:rFonts w:hint="default" w:ascii="Times New Roman" w:hAnsi="Times New Roman" w:eastAsia="宋体" w:cs="Times New Roman"/>
                <w:bCs/>
                <w:color w:val="auto"/>
                <w:sz w:val="21"/>
                <w:szCs w:val="21"/>
                <w:highlight w:val="none"/>
                <w:u w:val="none"/>
              </w:rPr>
              <w:t>m</w:t>
            </w:r>
            <w:r>
              <w:rPr>
                <w:rFonts w:hint="default" w:ascii="Times New Roman" w:hAnsi="Times New Roman" w:eastAsia="宋体" w:cs="Times New Roman"/>
                <w:bCs/>
                <w:color w:val="auto"/>
                <w:sz w:val="21"/>
                <w:szCs w:val="21"/>
                <w:highlight w:val="none"/>
                <w:u w:val="none"/>
                <w:vertAlign w:val="superscript"/>
              </w:rPr>
              <w:t>3</w:t>
            </w:r>
            <w:r>
              <w:rPr>
                <w:rFonts w:hint="default" w:ascii="Times New Roman" w:hAnsi="Times New Roman" w:eastAsia="宋体" w:cs="Times New Roman"/>
                <w:bCs/>
                <w:color w:val="auto"/>
                <w:sz w:val="21"/>
                <w:szCs w:val="21"/>
                <w:highlight w:val="none"/>
                <w:u w:val="none"/>
              </w:rPr>
              <w:t>/</w:t>
            </w:r>
            <w:r>
              <w:rPr>
                <w:rFonts w:hint="default" w:ascii="Times New Roman" w:hAnsi="Times New Roman" w:eastAsia="宋体" w:cs="Times New Roman"/>
                <w:bCs/>
                <w:color w:val="auto"/>
                <w:sz w:val="21"/>
                <w:szCs w:val="21"/>
                <w:highlight w:val="none"/>
                <w:u w:val="none"/>
                <w:lang w:val="en-US" w:eastAsia="zh-CN"/>
              </w:rPr>
              <w:t>a</w:t>
            </w:r>
          </w:p>
        </w:tc>
        <w:tc>
          <w:tcPr>
            <w:tcW w:w="606" w:type="pct"/>
            <w:vAlign w:val="center"/>
          </w:tcPr>
          <w:p w14:paraId="28350C8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0</w:t>
            </w:r>
          </w:p>
        </w:tc>
        <w:tc>
          <w:tcPr>
            <w:tcW w:w="1631" w:type="pct"/>
            <w:vAlign w:val="center"/>
          </w:tcPr>
          <w:p w14:paraId="55D57FFF">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u w:val="none"/>
              </w:rPr>
              <w:t>混凝土表面</w:t>
            </w:r>
            <w:r>
              <w:rPr>
                <w:rFonts w:hint="default" w:ascii="Times New Roman" w:hAnsi="Times New Roman" w:eastAsia="宋体" w:cs="Times New Roman"/>
                <w:bCs/>
                <w:color w:val="auto"/>
                <w:sz w:val="21"/>
                <w:szCs w:val="21"/>
                <w:highlight w:val="none"/>
                <w:u w:val="none"/>
                <w:lang w:eastAsia="zh-CN"/>
              </w:rPr>
              <w:t>吸收、自然蒸发</w:t>
            </w:r>
            <w:r>
              <w:rPr>
                <w:rFonts w:hint="default" w:ascii="Times New Roman" w:hAnsi="Times New Roman" w:eastAsia="宋体" w:cs="Times New Roman"/>
                <w:b w:val="0"/>
                <w:bCs/>
                <w:color w:val="auto"/>
                <w:kern w:val="2"/>
                <w:sz w:val="21"/>
                <w:szCs w:val="21"/>
                <w:highlight w:val="none"/>
                <w:vertAlign w:val="baseline"/>
                <w:lang w:val="en-US" w:eastAsia="zh-CN" w:bidi="ar-SA"/>
              </w:rPr>
              <w:t>，不外排</w:t>
            </w:r>
          </w:p>
        </w:tc>
      </w:tr>
      <w:tr w14:paraId="12C6C0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2" w:type="pct"/>
            <w:vMerge w:val="continue"/>
            <w:vAlign w:val="center"/>
          </w:tcPr>
          <w:p w14:paraId="7254A977">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765" w:type="pct"/>
            <w:vAlign w:val="center"/>
          </w:tcPr>
          <w:p w14:paraId="56E7C136">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运输车辆冲洗废水</w:t>
            </w:r>
          </w:p>
        </w:tc>
        <w:tc>
          <w:tcPr>
            <w:tcW w:w="889" w:type="pct"/>
            <w:vAlign w:val="center"/>
          </w:tcPr>
          <w:p w14:paraId="3EAABA28">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SS、石油类</w:t>
            </w:r>
          </w:p>
        </w:tc>
        <w:tc>
          <w:tcPr>
            <w:tcW w:w="736" w:type="pct"/>
            <w:vAlign w:val="center"/>
          </w:tcPr>
          <w:p w14:paraId="4E30DA33">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u w:val="none"/>
                <w:lang w:val="en-US" w:eastAsia="zh-CN"/>
              </w:rPr>
              <w:t>3628.8</w:t>
            </w:r>
            <w:r>
              <w:rPr>
                <w:rFonts w:hint="default" w:ascii="Times New Roman" w:hAnsi="Times New Roman" w:eastAsia="宋体" w:cs="Times New Roman"/>
                <w:bCs/>
                <w:color w:val="auto"/>
                <w:sz w:val="21"/>
                <w:szCs w:val="21"/>
                <w:highlight w:val="none"/>
                <w:u w:val="none"/>
              </w:rPr>
              <w:t>m</w:t>
            </w:r>
            <w:r>
              <w:rPr>
                <w:rFonts w:hint="default" w:ascii="Times New Roman" w:hAnsi="Times New Roman" w:eastAsia="宋体" w:cs="Times New Roman"/>
                <w:bCs/>
                <w:color w:val="auto"/>
                <w:sz w:val="21"/>
                <w:szCs w:val="21"/>
                <w:highlight w:val="none"/>
                <w:u w:val="none"/>
                <w:vertAlign w:val="superscript"/>
              </w:rPr>
              <w:t>3</w:t>
            </w:r>
            <w:r>
              <w:rPr>
                <w:rFonts w:hint="default" w:ascii="Times New Roman" w:hAnsi="Times New Roman" w:eastAsia="宋体" w:cs="Times New Roman"/>
                <w:bCs/>
                <w:color w:val="auto"/>
                <w:sz w:val="21"/>
                <w:szCs w:val="21"/>
                <w:highlight w:val="none"/>
                <w:u w:val="none"/>
              </w:rPr>
              <w:t>/</w:t>
            </w:r>
            <w:r>
              <w:rPr>
                <w:rFonts w:hint="default" w:ascii="Times New Roman" w:hAnsi="Times New Roman" w:eastAsia="宋体" w:cs="Times New Roman"/>
                <w:bCs/>
                <w:color w:val="auto"/>
                <w:sz w:val="21"/>
                <w:szCs w:val="21"/>
                <w:highlight w:val="none"/>
                <w:u w:val="none"/>
                <w:lang w:val="en-US" w:eastAsia="zh-CN"/>
              </w:rPr>
              <w:t>a</w:t>
            </w:r>
          </w:p>
        </w:tc>
        <w:tc>
          <w:tcPr>
            <w:tcW w:w="606" w:type="pct"/>
            <w:vAlign w:val="center"/>
          </w:tcPr>
          <w:p w14:paraId="10D551FC">
            <w:pPr>
              <w:keepNext w:val="0"/>
              <w:keepLines w:val="0"/>
              <w:pageBreakBefore w:val="0"/>
              <w:widowControl w:val="0"/>
              <w:numPr>
                <w:ilvl w:val="4"/>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u w:val="none"/>
                <w:lang w:val="en-US" w:eastAsia="zh-CN"/>
              </w:rPr>
              <w:t>0</w:t>
            </w:r>
          </w:p>
        </w:tc>
        <w:tc>
          <w:tcPr>
            <w:tcW w:w="1631" w:type="pct"/>
            <w:vAlign w:val="center"/>
          </w:tcPr>
          <w:p w14:paraId="4E1455AC">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经临时隔油沉淀后回用于洒水降尘</w:t>
            </w:r>
            <w:r>
              <w:rPr>
                <w:rFonts w:hint="default" w:ascii="Times New Roman" w:hAnsi="Times New Roman" w:eastAsia="宋体" w:cs="Times New Roman"/>
                <w:b w:val="0"/>
                <w:bCs/>
                <w:color w:val="auto"/>
                <w:kern w:val="2"/>
                <w:sz w:val="21"/>
                <w:szCs w:val="21"/>
                <w:highlight w:val="none"/>
                <w:vertAlign w:val="baseline"/>
                <w:lang w:val="en-US" w:eastAsia="zh-CN" w:bidi="ar-SA"/>
              </w:rPr>
              <w:t>，不外排</w:t>
            </w:r>
          </w:p>
        </w:tc>
      </w:tr>
      <w:tr w14:paraId="2EB65F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372" w:type="pct"/>
            <w:vMerge w:val="continue"/>
            <w:vAlign w:val="center"/>
          </w:tcPr>
          <w:p w14:paraId="1749C9D3">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765" w:type="pct"/>
            <w:vAlign w:val="center"/>
          </w:tcPr>
          <w:p w14:paraId="0EFBD351">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基坑废水</w:t>
            </w:r>
          </w:p>
        </w:tc>
        <w:tc>
          <w:tcPr>
            <w:tcW w:w="889" w:type="pct"/>
            <w:vAlign w:val="center"/>
          </w:tcPr>
          <w:p w14:paraId="54D8570B">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SS</w:t>
            </w:r>
          </w:p>
        </w:tc>
        <w:tc>
          <w:tcPr>
            <w:tcW w:w="736" w:type="pct"/>
            <w:vAlign w:val="center"/>
          </w:tcPr>
          <w:p w14:paraId="740D57CC">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20m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/次</w:t>
            </w:r>
          </w:p>
        </w:tc>
        <w:tc>
          <w:tcPr>
            <w:tcW w:w="606" w:type="pct"/>
            <w:vAlign w:val="center"/>
          </w:tcPr>
          <w:p w14:paraId="5515731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u w:val="none"/>
                <w:lang w:val="en-US" w:eastAsia="zh-CN"/>
              </w:rPr>
              <w:t>0</w:t>
            </w:r>
          </w:p>
        </w:tc>
        <w:tc>
          <w:tcPr>
            <w:tcW w:w="1631" w:type="pct"/>
            <w:vAlign w:val="center"/>
          </w:tcPr>
          <w:p w14:paraId="2D7B9E86">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经临时沉淀后回用于洒水降尘</w:t>
            </w:r>
            <w:r>
              <w:rPr>
                <w:rFonts w:hint="default" w:ascii="Times New Roman" w:hAnsi="Times New Roman" w:eastAsia="宋体" w:cs="Times New Roman"/>
                <w:b w:val="0"/>
                <w:bCs/>
                <w:color w:val="auto"/>
                <w:kern w:val="2"/>
                <w:sz w:val="21"/>
                <w:szCs w:val="21"/>
                <w:highlight w:val="none"/>
                <w:vertAlign w:val="baseline"/>
                <w:lang w:val="en-US" w:eastAsia="zh-CN" w:bidi="ar-SA"/>
              </w:rPr>
              <w:t>，不外排</w:t>
            </w:r>
          </w:p>
        </w:tc>
      </w:tr>
      <w:tr w14:paraId="0BC0BD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372" w:type="pct"/>
            <w:vMerge w:val="continue"/>
            <w:vAlign w:val="center"/>
          </w:tcPr>
          <w:p w14:paraId="72FBFA29">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765" w:type="pct"/>
            <w:shd w:val="clear" w:color="auto" w:fill="auto"/>
            <w:vAlign w:val="center"/>
          </w:tcPr>
          <w:p w14:paraId="7316F036">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淤泥</w:t>
            </w:r>
            <w:r>
              <w:rPr>
                <w:rFonts w:hint="eastAsia" w:eastAsia="宋体" w:cs="Times New Roman"/>
                <w:color w:val="auto"/>
                <w:sz w:val="21"/>
                <w:szCs w:val="21"/>
                <w:highlight w:val="none"/>
                <w:u w:val="single"/>
                <w:vertAlign w:val="baseline"/>
                <w:lang w:val="en-US" w:eastAsia="zh-CN"/>
              </w:rPr>
              <w:t>渗滤液</w:t>
            </w:r>
          </w:p>
        </w:tc>
        <w:tc>
          <w:tcPr>
            <w:tcW w:w="889" w:type="pct"/>
            <w:shd w:val="clear" w:color="auto" w:fill="auto"/>
            <w:vAlign w:val="center"/>
          </w:tcPr>
          <w:p w14:paraId="01BA76CA">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SS</w:t>
            </w:r>
          </w:p>
        </w:tc>
        <w:tc>
          <w:tcPr>
            <w:tcW w:w="736" w:type="pct"/>
            <w:shd w:val="clear" w:color="auto" w:fill="auto"/>
            <w:vAlign w:val="center"/>
          </w:tcPr>
          <w:p w14:paraId="1A1EB4CB">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bidi="ar-SA"/>
              </w:rPr>
            </w:pPr>
            <w:r>
              <w:rPr>
                <w:rFonts w:hint="eastAsia" w:eastAsia="宋体" w:cs="Times New Roman"/>
                <w:b w:val="0"/>
                <w:bCs/>
                <w:color w:val="auto"/>
                <w:kern w:val="2"/>
                <w:sz w:val="21"/>
                <w:szCs w:val="21"/>
                <w:highlight w:val="none"/>
                <w:u w:val="single"/>
                <w:lang w:val="en-US" w:eastAsia="zh-CN" w:bidi="ar-SA"/>
              </w:rPr>
              <w:t>1094.14</w:t>
            </w:r>
            <w:r>
              <w:rPr>
                <w:rFonts w:hint="default" w:ascii="Times New Roman" w:hAnsi="Times New Roman" w:eastAsia="宋体" w:cs="Times New Roman"/>
                <w:b w:val="0"/>
                <w:bCs/>
                <w:color w:val="auto"/>
                <w:kern w:val="2"/>
                <w:sz w:val="21"/>
                <w:szCs w:val="21"/>
                <w:highlight w:val="none"/>
                <w:u w:val="single"/>
                <w:lang w:val="en-US" w:eastAsia="zh-CN" w:bidi="ar-SA"/>
              </w:rPr>
              <w:t>m</w:t>
            </w:r>
            <w:r>
              <w:rPr>
                <w:rFonts w:hint="default" w:ascii="Times New Roman" w:hAnsi="Times New Roman" w:eastAsia="宋体" w:cs="Times New Roman"/>
                <w:b w:val="0"/>
                <w:bCs/>
                <w:color w:val="auto"/>
                <w:kern w:val="2"/>
                <w:sz w:val="21"/>
                <w:szCs w:val="21"/>
                <w:highlight w:val="none"/>
                <w:u w:val="single"/>
                <w:vertAlign w:val="superscript"/>
                <w:lang w:val="en-US" w:eastAsia="zh-CN" w:bidi="ar-SA"/>
              </w:rPr>
              <w:t>3</w:t>
            </w:r>
            <w:r>
              <w:rPr>
                <w:rFonts w:hint="default" w:ascii="Times New Roman" w:hAnsi="Times New Roman" w:eastAsia="宋体" w:cs="Times New Roman"/>
                <w:b w:val="0"/>
                <w:bCs/>
                <w:color w:val="auto"/>
                <w:kern w:val="2"/>
                <w:sz w:val="21"/>
                <w:szCs w:val="21"/>
                <w:highlight w:val="none"/>
                <w:u w:val="single"/>
                <w:vertAlign w:val="baseline"/>
                <w:lang w:val="en-US" w:eastAsia="zh-CN" w:bidi="ar-SA"/>
              </w:rPr>
              <w:t>/a</w:t>
            </w:r>
          </w:p>
        </w:tc>
        <w:tc>
          <w:tcPr>
            <w:tcW w:w="606" w:type="pct"/>
            <w:shd w:val="clear" w:color="auto" w:fill="auto"/>
            <w:vAlign w:val="center"/>
          </w:tcPr>
          <w:p w14:paraId="760651A1">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u w:val="single"/>
                <w:lang w:val="en-US" w:eastAsia="zh-CN" w:bidi="ar-SA"/>
              </w:rPr>
            </w:pPr>
            <w:r>
              <w:rPr>
                <w:rFonts w:hint="default" w:ascii="Times New Roman" w:hAnsi="Times New Roman" w:eastAsia="宋体" w:cs="Times New Roman"/>
                <w:bCs/>
                <w:color w:val="auto"/>
                <w:sz w:val="21"/>
                <w:szCs w:val="21"/>
                <w:highlight w:val="none"/>
                <w:u w:val="single"/>
                <w:lang w:val="en-US" w:eastAsia="zh-CN"/>
              </w:rPr>
              <w:t>0</w:t>
            </w:r>
          </w:p>
        </w:tc>
        <w:tc>
          <w:tcPr>
            <w:tcW w:w="1631" w:type="pct"/>
            <w:shd w:val="clear" w:color="auto" w:fill="auto"/>
            <w:vAlign w:val="center"/>
          </w:tcPr>
          <w:p w14:paraId="5370FA71">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lang w:val="en-US" w:eastAsia="zh-CN"/>
              </w:rPr>
              <w:t>经临时沉淀后回用于洒水降尘</w:t>
            </w:r>
            <w:r>
              <w:rPr>
                <w:rFonts w:hint="default" w:ascii="Times New Roman" w:hAnsi="Times New Roman" w:eastAsia="宋体" w:cs="Times New Roman"/>
                <w:b w:val="0"/>
                <w:bCs/>
                <w:color w:val="auto"/>
                <w:kern w:val="2"/>
                <w:sz w:val="21"/>
                <w:szCs w:val="21"/>
                <w:highlight w:val="none"/>
                <w:u w:val="single"/>
                <w:vertAlign w:val="baseline"/>
                <w:lang w:val="en-US" w:eastAsia="zh-CN" w:bidi="ar-SA"/>
              </w:rPr>
              <w:t>，不外排</w:t>
            </w:r>
          </w:p>
        </w:tc>
      </w:tr>
      <w:tr w14:paraId="6DF2F2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2" w:type="pct"/>
            <w:vMerge w:val="continue"/>
            <w:vAlign w:val="center"/>
          </w:tcPr>
          <w:p w14:paraId="68F9C208">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765" w:type="pct"/>
            <w:vAlign w:val="center"/>
          </w:tcPr>
          <w:p w14:paraId="6DB85CFD">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eastAsia" w:eastAsia="宋体" w:cs="Times New Roman"/>
                <w:color w:val="auto"/>
                <w:sz w:val="21"/>
                <w:szCs w:val="21"/>
                <w:highlight w:val="none"/>
                <w:u w:val="single"/>
                <w:vertAlign w:val="baseline"/>
                <w:lang w:val="en-US" w:eastAsia="zh-CN"/>
              </w:rPr>
              <w:t>初期雨水</w:t>
            </w:r>
          </w:p>
        </w:tc>
        <w:tc>
          <w:tcPr>
            <w:tcW w:w="889" w:type="pct"/>
            <w:vAlign w:val="center"/>
          </w:tcPr>
          <w:p w14:paraId="7EB2B4DC">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SS</w:t>
            </w:r>
          </w:p>
        </w:tc>
        <w:tc>
          <w:tcPr>
            <w:tcW w:w="736" w:type="pct"/>
            <w:vAlign w:val="center"/>
          </w:tcPr>
          <w:p w14:paraId="29DA3426">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 xml:space="preserve"> 97.47m </w:t>
            </w:r>
            <w:r>
              <w:rPr>
                <w:rFonts w:hint="default" w:ascii="Times New Roman" w:hAnsi="Times New Roman" w:eastAsia="宋体" w:cs="Times New Roman"/>
                <w:color w:val="auto"/>
                <w:sz w:val="21"/>
                <w:szCs w:val="21"/>
                <w:highlight w:val="none"/>
                <w:u w:val="single"/>
                <w:vertAlign w:val="superscript"/>
                <w:lang w:val="en-US" w:eastAsia="zh-CN"/>
              </w:rPr>
              <w:t>3</w:t>
            </w:r>
            <w:r>
              <w:rPr>
                <w:rFonts w:hint="default" w:ascii="Times New Roman" w:hAnsi="Times New Roman" w:eastAsia="宋体" w:cs="Times New Roman"/>
                <w:color w:val="auto"/>
                <w:sz w:val="21"/>
                <w:szCs w:val="21"/>
                <w:highlight w:val="none"/>
                <w:u w:val="single"/>
                <w:vertAlign w:val="baseline"/>
                <w:lang w:val="en-US" w:eastAsia="zh-CN"/>
              </w:rPr>
              <w:t xml:space="preserve"> /次</w:t>
            </w:r>
          </w:p>
        </w:tc>
        <w:tc>
          <w:tcPr>
            <w:tcW w:w="606" w:type="pct"/>
            <w:vAlign w:val="center"/>
          </w:tcPr>
          <w:p w14:paraId="7D9C011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cs="Times New Roman"/>
                <w:color w:val="auto"/>
                <w:sz w:val="21"/>
                <w:szCs w:val="21"/>
                <w:highlight w:val="none"/>
                <w:u w:val="single"/>
                <w:lang w:val="en-US" w:eastAsia="zh-CN"/>
              </w:rPr>
              <w:t>0</w:t>
            </w:r>
          </w:p>
        </w:tc>
        <w:tc>
          <w:tcPr>
            <w:tcW w:w="1631" w:type="pct"/>
            <w:vAlign w:val="center"/>
          </w:tcPr>
          <w:p w14:paraId="6E37AA54">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lang w:val="en-US" w:eastAsia="zh-CN"/>
              </w:rPr>
              <w:t>经</w:t>
            </w:r>
            <w:r>
              <w:rPr>
                <w:rFonts w:hint="eastAsia" w:ascii="Times New Roman" w:hAnsi="Times New Roman" w:eastAsia="宋体" w:cs="Times New Roman"/>
                <w:color w:val="auto"/>
                <w:sz w:val="21"/>
                <w:szCs w:val="21"/>
                <w:highlight w:val="none"/>
                <w:u w:val="single"/>
                <w:lang w:val="en-US" w:eastAsia="zh-CN"/>
              </w:rPr>
              <w:t>各施工区</w:t>
            </w:r>
            <w:r>
              <w:rPr>
                <w:rFonts w:hint="default" w:ascii="Times New Roman" w:hAnsi="Times New Roman" w:eastAsia="宋体" w:cs="Times New Roman"/>
                <w:color w:val="auto"/>
                <w:sz w:val="21"/>
                <w:szCs w:val="21"/>
                <w:highlight w:val="none"/>
                <w:u w:val="single"/>
                <w:lang w:val="en-US" w:eastAsia="zh-CN"/>
              </w:rPr>
              <w:t>临时沉淀后回用于洒水降尘</w:t>
            </w:r>
            <w:r>
              <w:rPr>
                <w:rFonts w:hint="default" w:ascii="Times New Roman" w:hAnsi="Times New Roman" w:eastAsia="宋体" w:cs="Times New Roman"/>
                <w:b w:val="0"/>
                <w:bCs/>
                <w:color w:val="auto"/>
                <w:kern w:val="2"/>
                <w:sz w:val="21"/>
                <w:szCs w:val="21"/>
                <w:highlight w:val="none"/>
                <w:u w:val="single"/>
                <w:vertAlign w:val="baseline"/>
                <w:lang w:val="en-US" w:eastAsia="zh-CN" w:bidi="ar-SA"/>
              </w:rPr>
              <w:t>，不外排</w:t>
            </w:r>
          </w:p>
        </w:tc>
      </w:tr>
      <w:tr w14:paraId="3A8A3F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2" w:type="pct"/>
            <w:vAlign w:val="center"/>
          </w:tcPr>
          <w:p w14:paraId="3F02E480">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噪声</w:t>
            </w:r>
          </w:p>
        </w:tc>
        <w:tc>
          <w:tcPr>
            <w:tcW w:w="765" w:type="pct"/>
            <w:vAlign w:val="center"/>
          </w:tcPr>
          <w:p w14:paraId="1D3642E0">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施工设备</w:t>
            </w:r>
          </w:p>
        </w:tc>
        <w:tc>
          <w:tcPr>
            <w:tcW w:w="889" w:type="pct"/>
            <w:vAlign w:val="center"/>
          </w:tcPr>
          <w:p w14:paraId="64B33B19">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机械噪声</w:t>
            </w:r>
          </w:p>
        </w:tc>
        <w:tc>
          <w:tcPr>
            <w:tcW w:w="736" w:type="pct"/>
            <w:vAlign w:val="center"/>
          </w:tcPr>
          <w:p w14:paraId="3ADF2403">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606" w:type="pct"/>
            <w:vAlign w:val="center"/>
          </w:tcPr>
          <w:p w14:paraId="039E0C88">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vertAlign w:val="baseline"/>
                <w:lang w:val="en-US" w:eastAsia="zh-CN"/>
              </w:rPr>
              <w:t>昼间＜70dB(A)</w:t>
            </w:r>
          </w:p>
        </w:tc>
        <w:tc>
          <w:tcPr>
            <w:tcW w:w="1631" w:type="pct"/>
            <w:vAlign w:val="center"/>
          </w:tcPr>
          <w:p w14:paraId="0FB745AA">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合理布局、合理安排施工时间、限速禁鸣，围蔽施工、设置临时声屏障</w:t>
            </w:r>
          </w:p>
        </w:tc>
      </w:tr>
      <w:tr w14:paraId="0A7687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2" w:type="pct"/>
            <w:vMerge w:val="restart"/>
            <w:vAlign w:val="center"/>
          </w:tcPr>
          <w:p w14:paraId="1FE1205A">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固废</w:t>
            </w:r>
          </w:p>
        </w:tc>
        <w:tc>
          <w:tcPr>
            <w:tcW w:w="765" w:type="pct"/>
            <w:vAlign w:val="center"/>
          </w:tcPr>
          <w:p w14:paraId="4610E150">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施工场地</w:t>
            </w:r>
          </w:p>
        </w:tc>
        <w:tc>
          <w:tcPr>
            <w:tcW w:w="889" w:type="pct"/>
            <w:vAlign w:val="center"/>
          </w:tcPr>
          <w:p w14:paraId="7360621A">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建筑垃圾</w:t>
            </w:r>
          </w:p>
        </w:tc>
        <w:tc>
          <w:tcPr>
            <w:tcW w:w="736" w:type="pct"/>
            <w:vAlign w:val="center"/>
          </w:tcPr>
          <w:p w14:paraId="31DC7E28">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16t</w:t>
            </w:r>
          </w:p>
        </w:tc>
        <w:tc>
          <w:tcPr>
            <w:tcW w:w="606" w:type="pct"/>
            <w:vAlign w:val="center"/>
          </w:tcPr>
          <w:p w14:paraId="7330C6F8">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16t</w:t>
            </w:r>
          </w:p>
        </w:tc>
        <w:tc>
          <w:tcPr>
            <w:tcW w:w="1631" w:type="pct"/>
            <w:vAlign w:val="center"/>
          </w:tcPr>
          <w:p w14:paraId="3669B508">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分类回收利用，不能回收部分运至指定消纳场处置</w:t>
            </w:r>
          </w:p>
        </w:tc>
      </w:tr>
      <w:tr w14:paraId="6A6533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2" w:type="pct"/>
            <w:vMerge w:val="continue"/>
            <w:vAlign w:val="center"/>
          </w:tcPr>
          <w:p w14:paraId="3C69122A">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765" w:type="pct"/>
            <w:vAlign w:val="center"/>
          </w:tcPr>
          <w:p w14:paraId="4E774688">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临时隔油沉淀池</w:t>
            </w:r>
          </w:p>
        </w:tc>
        <w:tc>
          <w:tcPr>
            <w:tcW w:w="889" w:type="pct"/>
            <w:vAlign w:val="center"/>
          </w:tcPr>
          <w:p w14:paraId="38F1A5CE">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隔油池污油（代码900-210-08）</w:t>
            </w:r>
          </w:p>
        </w:tc>
        <w:tc>
          <w:tcPr>
            <w:tcW w:w="736" w:type="pct"/>
            <w:vAlign w:val="center"/>
          </w:tcPr>
          <w:p w14:paraId="4E7480C9">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0.0021t</w:t>
            </w:r>
          </w:p>
        </w:tc>
        <w:tc>
          <w:tcPr>
            <w:tcW w:w="606" w:type="pct"/>
            <w:vAlign w:val="center"/>
          </w:tcPr>
          <w:p w14:paraId="65E2425F">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0</w:t>
            </w:r>
          </w:p>
        </w:tc>
        <w:tc>
          <w:tcPr>
            <w:tcW w:w="1631" w:type="pct"/>
            <w:vAlign w:val="center"/>
          </w:tcPr>
          <w:p w14:paraId="409A7506">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委托有资质的单位处置</w:t>
            </w:r>
          </w:p>
        </w:tc>
      </w:tr>
    </w:tbl>
    <w:p w14:paraId="340AF3E6">
      <w:pPr>
        <w:pStyle w:val="4"/>
        <w:bidi w:val="0"/>
        <w:ind w:left="678" w:leftChars="0" w:firstLine="0" w:firstLineChars="0"/>
        <w:rPr>
          <w:rFonts w:hint="default"/>
          <w:color w:val="auto"/>
          <w:highlight w:val="none"/>
        </w:rPr>
      </w:pPr>
      <w:bookmarkStart w:id="56" w:name="_Toc14415"/>
      <w:r>
        <w:rPr>
          <w:rFonts w:hint="eastAsia"/>
          <w:color w:val="auto"/>
          <w:highlight w:val="none"/>
          <w:lang w:eastAsia="zh-CN"/>
        </w:rPr>
        <w:t>运营期</w:t>
      </w:r>
      <w:r>
        <w:rPr>
          <w:rFonts w:hint="default"/>
          <w:color w:val="auto"/>
          <w:highlight w:val="none"/>
        </w:rPr>
        <w:t>污染源强分析</w:t>
      </w:r>
      <w:bookmarkEnd w:id="56"/>
    </w:p>
    <w:p w14:paraId="3B8890DE">
      <w:pPr>
        <w:pStyle w:val="5"/>
        <w:bidi w:val="0"/>
        <w:ind w:left="452" w:leftChars="0" w:firstLine="0" w:firstLineChars="0"/>
        <w:rPr>
          <w:rFonts w:hint="default"/>
          <w:color w:val="auto"/>
          <w:highlight w:val="none"/>
        </w:rPr>
      </w:pPr>
      <w:bookmarkStart w:id="57" w:name="_Toc195236151"/>
      <w:r>
        <w:rPr>
          <w:rFonts w:hint="eastAsia"/>
          <w:color w:val="auto"/>
          <w:highlight w:val="none"/>
          <w:lang w:eastAsia="zh-CN"/>
        </w:rPr>
        <w:t>运营期</w:t>
      </w:r>
      <w:r>
        <w:rPr>
          <w:rFonts w:hint="default"/>
          <w:color w:val="auto"/>
          <w:highlight w:val="none"/>
        </w:rPr>
        <w:t>生态影响</w:t>
      </w:r>
      <w:r>
        <w:rPr>
          <w:rFonts w:hint="default"/>
          <w:color w:val="auto"/>
          <w:highlight w:val="none"/>
          <w:lang w:eastAsia="zh-CN"/>
        </w:rPr>
        <w:t>因素</w:t>
      </w:r>
    </w:p>
    <w:p w14:paraId="097865F5">
      <w:pPr>
        <w:pStyle w:val="410"/>
        <w:rPr>
          <w:rFonts w:hint="default" w:ascii="Times New Roman" w:hAnsi="Times New Roman" w:eastAsia="宋体" w:cs="Times New Roman"/>
          <w:color w:val="auto"/>
          <w:spacing w:val="24"/>
          <w:sz w:val="24"/>
          <w:szCs w:val="24"/>
          <w:highlight w:val="none"/>
          <w:lang w:eastAsia="zh-CN"/>
        </w:rPr>
      </w:pPr>
      <w:r>
        <w:rPr>
          <w:rFonts w:hint="default" w:ascii="Times New Roman" w:hAnsi="Times New Roman" w:eastAsia="宋体" w:cs="Times New Roman"/>
          <w:color w:val="auto"/>
          <w:spacing w:val="24"/>
          <w:sz w:val="24"/>
          <w:szCs w:val="24"/>
          <w:highlight w:val="none"/>
          <w:lang w:eastAsia="zh-CN"/>
        </w:rPr>
        <w:t>本工程</w:t>
      </w:r>
      <w:r>
        <w:rPr>
          <w:rFonts w:hint="eastAsia" w:ascii="Times New Roman" w:hAnsi="Times New Roman" w:eastAsia="宋体" w:cs="Times New Roman"/>
          <w:color w:val="auto"/>
          <w:spacing w:val="24"/>
          <w:sz w:val="24"/>
          <w:szCs w:val="24"/>
          <w:highlight w:val="none"/>
          <w:lang w:eastAsia="zh-CN"/>
        </w:rPr>
        <w:t>运营期</w:t>
      </w:r>
      <w:r>
        <w:rPr>
          <w:rFonts w:hint="default" w:ascii="Times New Roman" w:hAnsi="Times New Roman" w:eastAsia="宋体" w:cs="Times New Roman"/>
          <w:color w:val="auto"/>
          <w:spacing w:val="24"/>
          <w:sz w:val="24"/>
          <w:szCs w:val="24"/>
          <w:highlight w:val="none"/>
          <w:lang w:eastAsia="zh-CN"/>
        </w:rPr>
        <w:t>对周边生态环境产生一定影响，项目建设对生态环境产生的影响方式及产生对应的生物表现如下：</w:t>
      </w:r>
    </w:p>
    <w:p w14:paraId="41710971">
      <w:pPr>
        <w:pStyle w:val="410"/>
        <w:numPr>
          <w:ilvl w:val="0"/>
          <w:numId w:val="34"/>
        </w:numPr>
        <w:rPr>
          <w:rFonts w:hint="default" w:ascii="Times New Roman" w:hAnsi="Times New Roman" w:eastAsia="宋体" w:cs="Times New Roman"/>
          <w:color w:val="auto"/>
          <w:spacing w:val="24"/>
          <w:sz w:val="24"/>
          <w:szCs w:val="24"/>
          <w:highlight w:val="none"/>
          <w:lang w:eastAsia="zh-CN"/>
        </w:rPr>
      </w:pPr>
      <w:r>
        <w:rPr>
          <w:rFonts w:hint="default" w:ascii="Times New Roman" w:hAnsi="Times New Roman" w:eastAsia="宋体" w:cs="Times New Roman"/>
          <w:b/>
          <w:bCs/>
          <w:color w:val="auto"/>
          <w:spacing w:val="24"/>
          <w:sz w:val="24"/>
          <w:szCs w:val="24"/>
          <w:highlight w:val="none"/>
          <w:lang w:eastAsia="zh-CN"/>
        </w:rPr>
        <w:t>土地利用性质改变</w:t>
      </w:r>
    </w:p>
    <w:p w14:paraId="28BA0007">
      <w:pPr>
        <w:pStyle w:val="410"/>
        <w:rPr>
          <w:rFonts w:hint="eastAsia" w:ascii="Times New Roman" w:cs="Times New Roman"/>
          <w:color w:val="auto"/>
          <w:spacing w:val="24"/>
          <w:sz w:val="24"/>
          <w:szCs w:val="24"/>
          <w:highlight w:val="none"/>
          <w:lang w:eastAsia="zh-CN"/>
        </w:rPr>
      </w:pPr>
      <w:r>
        <w:rPr>
          <w:rFonts w:hint="default" w:ascii="Times New Roman" w:hAnsi="Times New Roman" w:eastAsia="宋体" w:cs="Times New Roman"/>
          <w:color w:val="auto"/>
          <w:spacing w:val="24"/>
          <w:sz w:val="24"/>
          <w:szCs w:val="24"/>
          <w:highlight w:val="none"/>
          <w:lang w:eastAsia="zh-CN"/>
        </w:rPr>
        <w:t>项目建成后永久用地性质发生改变，永久占地内的植被永久破坏</w:t>
      </w:r>
      <w:r>
        <w:rPr>
          <w:rFonts w:hint="eastAsia" w:ascii="Times New Roman" w:cs="Times New Roman"/>
          <w:color w:val="auto"/>
          <w:spacing w:val="24"/>
          <w:sz w:val="24"/>
          <w:szCs w:val="24"/>
          <w:highlight w:val="none"/>
          <w:lang w:eastAsia="zh-CN"/>
        </w:rPr>
        <w:t>。</w:t>
      </w:r>
    </w:p>
    <w:p w14:paraId="72A2EE71">
      <w:pPr>
        <w:pStyle w:val="410"/>
        <w:rPr>
          <w:rFonts w:hint="eastAsia" w:ascii="Times New Roman" w:hAnsi="Times New Roman" w:eastAsia="宋体" w:cs="Times New Roman"/>
          <w:color w:val="auto"/>
          <w:sz w:val="24"/>
          <w:szCs w:val="20"/>
          <w:highlight w:val="none"/>
          <w:lang w:val="en-US" w:eastAsia="zh-CN" w:bidi="ar-SA"/>
        </w:rPr>
      </w:pPr>
      <w:r>
        <w:rPr>
          <w:rFonts w:hint="default" w:ascii="Times New Roman" w:hAnsi="Times New Roman" w:eastAsia="宋体" w:cs="Times New Roman"/>
          <w:color w:val="auto"/>
          <w:sz w:val="24"/>
          <w:szCs w:val="20"/>
          <w:highlight w:val="none"/>
          <w:lang w:val="en-US" w:eastAsia="zh-CN" w:bidi="ar-SA"/>
        </w:rPr>
        <w:t>钦州港新型城乡融合发展示范区（自贸新城）淡水湾及鸡墩头土地开发项目正在实施建设，但区域现状排水体系已不能支撑</w:t>
      </w:r>
      <w:r>
        <w:rPr>
          <w:rFonts w:hint="eastAsia" w:ascii="Times New Roman" w:hAnsi="Times New Roman" w:eastAsia="宋体" w:cs="Times New Roman"/>
          <w:color w:val="auto"/>
          <w:sz w:val="24"/>
          <w:szCs w:val="20"/>
          <w:highlight w:val="none"/>
          <w:lang w:val="en-US" w:eastAsia="zh-CN" w:bidi="ar-SA"/>
        </w:rPr>
        <w:t>项目</w:t>
      </w:r>
      <w:r>
        <w:rPr>
          <w:rFonts w:hint="default" w:ascii="Times New Roman" w:hAnsi="Times New Roman" w:eastAsia="宋体" w:cs="Times New Roman"/>
          <w:color w:val="auto"/>
          <w:sz w:val="24"/>
          <w:szCs w:val="20"/>
          <w:highlight w:val="none"/>
          <w:lang w:val="en-US" w:eastAsia="zh-CN" w:bidi="ar-SA"/>
        </w:rPr>
        <w:t>排水需要，制约</w:t>
      </w:r>
      <w:r>
        <w:rPr>
          <w:rFonts w:hint="eastAsia" w:ascii="Times New Roman" w:hAnsi="Times New Roman" w:eastAsia="宋体" w:cs="Times New Roman"/>
          <w:color w:val="auto"/>
          <w:sz w:val="24"/>
          <w:szCs w:val="20"/>
          <w:highlight w:val="none"/>
          <w:lang w:val="en-US" w:eastAsia="zh-CN" w:bidi="ar-SA"/>
        </w:rPr>
        <w:t>淡水湾及</w:t>
      </w:r>
      <w:r>
        <w:rPr>
          <w:rFonts w:hint="default" w:ascii="Times New Roman" w:hAnsi="Times New Roman" w:eastAsia="宋体" w:cs="Times New Roman"/>
          <w:color w:val="auto"/>
          <w:sz w:val="24"/>
          <w:szCs w:val="20"/>
          <w:highlight w:val="none"/>
          <w:lang w:val="en-US" w:eastAsia="zh-CN" w:bidi="ar-SA"/>
        </w:rPr>
        <w:t>鸡墩头土地开发项目</w:t>
      </w:r>
      <w:r>
        <w:rPr>
          <w:rFonts w:hint="eastAsia" w:ascii="Times New Roman" w:hAnsi="Times New Roman" w:eastAsia="宋体" w:cs="Times New Roman"/>
          <w:color w:val="auto"/>
          <w:sz w:val="24"/>
          <w:szCs w:val="20"/>
          <w:highlight w:val="none"/>
          <w:lang w:val="en-US" w:eastAsia="zh-CN" w:bidi="ar-SA"/>
        </w:rPr>
        <w:t>的建设，因此对区域排水系统进行完善，对现状水系进行改造。本项目建成后将符合区域排水规划，符合淡水湾及</w:t>
      </w:r>
      <w:r>
        <w:rPr>
          <w:rFonts w:hint="default" w:ascii="Times New Roman" w:hAnsi="Times New Roman" w:eastAsia="宋体" w:cs="Times New Roman"/>
          <w:color w:val="auto"/>
          <w:sz w:val="24"/>
          <w:szCs w:val="20"/>
          <w:highlight w:val="none"/>
          <w:lang w:val="en-US" w:eastAsia="zh-CN" w:bidi="ar-SA"/>
        </w:rPr>
        <w:t>鸡墩头土地开发项目</w:t>
      </w:r>
      <w:r>
        <w:rPr>
          <w:rFonts w:hint="eastAsia" w:ascii="Times New Roman" w:hAnsi="Times New Roman" w:eastAsia="宋体" w:cs="Times New Roman"/>
          <w:color w:val="auto"/>
          <w:sz w:val="24"/>
          <w:szCs w:val="20"/>
          <w:highlight w:val="none"/>
          <w:lang w:val="en-US" w:eastAsia="zh-CN" w:bidi="ar-SA"/>
        </w:rPr>
        <w:t>规划。</w:t>
      </w:r>
    </w:p>
    <w:p w14:paraId="48E7BAF5">
      <w:pPr>
        <w:pStyle w:val="410"/>
        <w:rPr>
          <w:rFonts w:hint="default" w:ascii="Times New Roman" w:hAnsi="Times New Roman" w:eastAsia="宋体" w:cs="Times New Roman"/>
          <w:color w:val="auto"/>
          <w:sz w:val="24"/>
          <w:szCs w:val="20"/>
          <w:highlight w:val="none"/>
          <w:lang w:val="en-US" w:eastAsia="zh-CN" w:bidi="ar-SA"/>
        </w:rPr>
      </w:pPr>
      <w:r>
        <w:rPr>
          <w:rFonts w:hint="default" w:ascii="Times New Roman" w:hAnsi="Times New Roman" w:eastAsia="宋体" w:cs="Times New Roman"/>
          <w:color w:val="auto"/>
          <w:sz w:val="24"/>
          <w:szCs w:val="20"/>
          <w:highlight w:val="none"/>
          <w:lang w:val="en-US" w:eastAsia="zh-CN" w:bidi="ar-SA"/>
        </w:rPr>
        <w:t>钦州港新型城乡融合发展示范区（自贸新城）淡水湾</w:t>
      </w:r>
      <w:r>
        <w:rPr>
          <w:rFonts w:hint="eastAsia" w:ascii="Times New Roman" w:hAnsi="Times New Roman" w:eastAsia="宋体" w:cs="Times New Roman"/>
          <w:color w:val="auto"/>
          <w:sz w:val="24"/>
          <w:szCs w:val="20"/>
          <w:highlight w:val="none"/>
          <w:lang w:val="en-US" w:eastAsia="zh-CN" w:bidi="ar-SA"/>
        </w:rPr>
        <w:t>项目</w:t>
      </w:r>
      <w:r>
        <w:rPr>
          <w:rFonts w:hint="default" w:ascii="Times New Roman" w:hAnsi="Times New Roman" w:eastAsia="宋体" w:cs="Times New Roman"/>
          <w:color w:val="auto"/>
          <w:sz w:val="24"/>
          <w:szCs w:val="20"/>
          <w:highlight w:val="none"/>
          <w:lang w:val="en-US" w:eastAsia="zh-CN" w:bidi="ar-SA"/>
        </w:rPr>
        <w:t>及鸡墩头</w:t>
      </w:r>
      <w:r>
        <w:rPr>
          <w:rFonts w:hint="eastAsia" w:ascii="Times New Roman" w:hAnsi="Times New Roman" w:eastAsia="宋体" w:cs="Times New Roman"/>
          <w:color w:val="auto"/>
          <w:sz w:val="24"/>
          <w:szCs w:val="20"/>
          <w:highlight w:val="none"/>
          <w:lang w:val="en-US" w:eastAsia="zh-CN" w:bidi="ar-SA"/>
        </w:rPr>
        <w:t>项目建成后区域土地利用类型转变为二类居住用地、商住混合用地及商业用地，因此本项目的建设，是</w:t>
      </w:r>
      <w:r>
        <w:rPr>
          <w:rFonts w:hint="default" w:ascii="Times New Roman" w:hAnsi="Times New Roman" w:eastAsia="宋体" w:cs="Times New Roman"/>
          <w:color w:val="auto"/>
          <w:sz w:val="24"/>
          <w:szCs w:val="24"/>
          <w:highlight w:val="none"/>
          <w:lang w:val="en-US" w:eastAsia="zh-CN"/>
        </w:rPr>
        <w:t>中国-马来西亚产业园区</w:t>
      </w:r>
      <w:r>
        <w:rPr>
          <w:rFonts w:hint="eastAsia" w:ascii="Times New Roman" w:hAnsi="Times New Roman" w:eastAsia="宋体" w:cs="Times New Roman"/>
          <w:color w:val="auto"/>
          <w:sz w:val="24"/>
          <w:szCs w:val="20"/>
          <w:highlight w:val="none"/>
          <w:lang w:val="en-US" w:eastAsia="zh-CN" w:bidi="ar-SA"/>
        </w:rPr>
        <w:t>规划发展的配套市政工程，符合</w:t>
      </w:r>
      <w:r>
        <w:rPr>
          <w:rFonts w:hint="default" w:ascii="Times New Roman" w:hAnsi="Times New Roman" w:eastAsia="宋体" w:cs="Times New Roman"/>
          <w:color w:val="auto"/>
          <w:sz w:val="24"/>
          <w:szCs w:val="24"/>
          <w:highlight w:val="none"/>
          <w:lang w:val="en-US" w:eastAsia="zh-CN"/>
        </w:rPr>
        <w:t>中国-马来西亚产业园区</w:t>
      </w:r>
      <w:r>
        <w:rPr>
          <w:rFonts w:hint="eastAsia" w:ascii="Times New Roman" w:hAnsi="Times New Roman" w:eastAsia="宋体" w:cs="Times New Roman"/>
          <w:color w:val="auto"/>
          <w:sz w:val="24"/>
          <w:szCs w:val="20"/>
          <w:highlight w:val="none"/>
          <w:lang w:val="en-US" w:eastAsia="zh-CN" w:bidi="ar-SA"/>
        </w:rPr>
        <w:t>规划。</w:t>
      </w:r>
    </w:p>
    <w:p w14:paraId="6BDE70BD">
      <w:pPr>
        <w:pStyle w:val="410"/>
        <w:numPr>
          <w:ilvl w:val="0"/>
          <w:numId w:val="34"/>
        </w:numPr>
        <w:rPr>
          <w:rFonts w:hint="default" w:ascii="Times New Roman" w:hAnsi="Times New Roman" w:eastAsia="宋体" w:cs="Times New Roman"/>
          <w:b/>
          <w:bCs/>
          <w:color w:val="auto"/>
          <w:spacing w:val="24"/>
          <w:sz w:val="24"/>
          <w:szCs w:val="24"/>
          <w:highlight w:val="none"/>
          <w:lang w:eastAsia="zh-CN"/>
        </w:rPr>
      </w:pPr>
      <w:r>
        <w:rPr>
          <w:rFonts w:hint="default" w:ascii="Times New Roman" w:hAnsi="Times New Roman" w:eastAsia="宋体" w:cs="Times New Roman"/>
          <w:b/>
          <w:bCs/>
          <w:color w:val="auto"/>
          <w:spacing w:val="24"/>
          <w:sz w:val="24"/>
          <w:szCs w:val="24"/>
          <w:highlight w:val="none"/>
          <w:lang w:eastAsia="zh-CN"/>
        </w:rPr>
        <w:t>对陆生生态影响</w:t>
      </w:r>
    </w:p>
    <w:p w14:paraId="7725338E">
      <w:pPr>
        <w:pStyle w:val="410"/>
        <w:rPr>
          <w:rFonts w:hint="default" w:ascii="Times New Roman" w:hAnsi="Times New Roman" w:eastAsia="宋体" w:cs="Times New Roman"/>
          <w:color w:val="auto"/>
          <w:sz w:val="24"/>
          <w:szCs w:val="20"/>
          <w:highlight w:val="none"/>
          <w:lang w:val="en-US" w:eastAsia="zh-CN" w:bidi="ar-SA"/>
        </w:rPr>
      </w:pPr>
      <w:r>
        <w:rPr>
          <w:rFonts w:hint="default" w:ascii="Times New Roman" w:hAnsi="Times New Roman" w:eastAsia="宋体" w:cs="Times New Roman"/>
          <w:color w:val="auto"/>
          <w:sz w:val="24"/>
          <w:szCs w:val="20"/>
          <w:highlight w:val="none"/>
          <w:lang w:val="en-US" w:eastAsia="zh-CN" w:bidi="ar-SA"/>
        </w:rPr>
        <w:t>项目钦州港路、</w:t>
      </w:r>
      <w:r>
        <w:rPr>
          <w:rFonts w:hint="eastAsia" w:ascii="Times New Roman" w:hAnsi="Times New Roman" w:eastAsia="宋体" w:cs="Times New Roman"/>
          <w:color w:val="auto"/>
          <w:sz w:val="24"/>
          <w:szCs w:val="20"/>
          <w:highlight w:val="none"/>
          <w:lang w:val="en-US" w:eastAsia="zh-CN" w:bidi="ar-SA"/>
        </w:rPr>
        <w:t>曲绣路</w:t>
      </w:r>
      <w:r>
        <w:rPr>
          <w:rFonts w:hint="default" w:ascii="Times New Roman" w:hAnsi="Times New Roman" w:eastAsia="宋体" w:cs="Times New Roman"/>
          <w:color w:val="auto"/>
          <w:sz w:val="24"/>
          <w:szCs w:val="20"/>
          <w:highlight w:val="none"/>
          <w:lang w:val="en-US" w:eastAsia="zh-CN" w:bidi="ar-SA"/>
        </w:rPr>
        <w:t>回填后区域生境完整性被破坏，生境质量下降从而导致区域野生动物向周边迁移。项目施工结束后在对钦州港路、</w:t>
      </w:r>
      <w:r>
        <w:rPr>
          <w:rFonts w:hint="eastAsia" w:ascii="Times New Roman" w:hAnsi="Times New Roman" w:eastAsia="宋体" w:cs="Times New Roman"/>
          <w:color w:val="auto"/>
          <w:sz w:val="24"/>
          <w:szCs w:val="20"/>
          <w:highlight w:val="none"/>
          <w:lang w:val="en-US" w:eastAsia="zh-CN" w:bidi="ar-SA"/>
        </w:rPr>
        <w:t>曲绣路边坡</w:t>
      </w:r>
      <w:r>
        <w:rPr>
          <w:rFonts w:hint="default" w:ascii="Times New Roman" w:hAnsi="Times New Roman" w:eastAsia="宋体" w:cs="Times New Roman"/>
          <w:color w:val="auto"/>
          <w:sz w:val="24"/>
          <w:szCs w:val="20"/>
          <w:highlight w:val="none"/>
          <w:lang w:val="en-US" w:eastAsia="zh-CN" w:bidi="ar-SA"/>
        </w:rPr>
        <w:t>进行播撒草籽，植被恢复后，原有农田生境与钦州港路、</w:t>
      </w:r>
      <w:r>
        <w:rPr>
          <w:rFonts w:hint="eastAsia" w:ascii="Times New Roman" w:hAnsi="Times New Roman" w:eastAsia="宋体" w:cs="Times New Roman"/>
          <w:color w:val="auto"/>
          <w:sz w:val="24"/>
          <w:szCs w:val="20"/>
          <w:highlight w:val="none"/>
          <w:lang w:val="en-US" w:eastAsia="zh-CN" w:bidi="ar-SA"/>
        </w:rPr>
        <w:t>曲绣路</w:t>
      </w:r>
      <w:r>
        <w:rPr>
          <w:rFonts w:hint="default" w:ascii="Times New Roman" w:hAnsi="Times New Roman" w:eastAsia="宋体" w:cs="Times New Roman"/>
          <w:color w:val="auto"/>
          <w:sz w:val="24"/>
          <w:szCs w:val="20"/>
          <w:highlight w:val="none"/>
          <w:lang w:val="en-US" w:eastAsia="zh-CN" w:bidi="ar-SA"/>
        </w:rPr>
        <w:t>形成衔接，区域生境质量恢复，原有野生活动回迁，区域生物量逐渐恢复。</w:t>
      </w:r>
    </w:p>
    <w:p w14:paraId="015DEC07">
      <w:pPr>
        <w:pStyle w:val="410"/>
        <w:numPr>
          <w:ilvl w:val="0"/>
          <w:numId w:val="34"/>
        </w:numPr>
        <w:rPr>
          <w:rFonts w:hint="default" w:ascii="Times New Roman" w:hAnsi="Times New Roman" w:eastAsia="宋体" w:cs="Times New Roman"/>
          <w:b/>
          <w:bCs/>
          <w:color w:val="auto"/>
          <w:spacing w:val="24"/>
          <w:sz w:val="24"/>
          <w:szCs w:val="24"/>
          <w:highlight w:val="none"/>
          <w:lang w:eastAsia="zh-CN"/>
        </w:rPr>
      </w:pPr>
      <w:r>
        <w:rPr>
          <w:rFonts w:hint="default" w:ascii="Times New Roman" w:hAnsi="Times New Roman" w:eastAsia="宋体" w:cs="Times New Roman"/>
          <w:b/>
          <w:bCs/>
          <w:color w:val="auto"/>
          <w:spacing w:val="24"/>
          <w:sz w:val="24"/>
          <w:szCs w:val="24"/>
          <w:highlight w:val="none"/>
          <w:lang w:eastAsia="zh-CN"/>
        </w:rPr>
        <w:t>对水生生态影响</w:t>
      </w:r>
    </w:p>
    <w:p w14:paraId="31B3613F">
      <w:pPr>
        <w:pStyle w:val="410"/>
        <w:rPr>
          <w:rFonts w:hint="default" w:ascii="Times New Roman" w:hAnsi="Times New Roman" w:eastAsia="宋体" w:cs="Times New Roman"/>
          <w:color w:val="auto"/>
          <w:sz w:val="24"/>
          <w:szCs w:val="20"/>
          <w:highlight w:val="none"/>
          <w:lang w:val="en-US" w:eastAsia="zh-CN" w:bidi="ar-SA"/>
        </w:rPr>
      </w:pPr>
      <w:r>
        <w:rPr>
          <w:rFonts w:hint="default" w:ascii="Times New Roman" w:hAnsi="Times New Roman" w:eastAsia="宋体" w:cs="Times New Roman"/>
          <w:color w:val="auto"/>
          <w:sz w:val="24"/>
          <w:szCs w:val="20"/>
          <w:highlight w:val="none"/>
          <w:lang w:val="en-US" w:eastAsia="zh-CN" w:bidi="ar-SA"/>
        </w:rPr>
        <w:t>建设运行后</w:t>
      </w:r>
      <w:r>
        <w:rPr>
          <w:rFonts w:hint="eastAsia" w:ascii="Times New Roman" w:hAnsi="Times New Roman" w:eastAsia="宋体" w:cs="Times New Roman"/>
          <w:color w:val="auto"/>
          <w:sz w:val="24"/>
          <w:szCs w:val="20"/>
          <w:highlight w:val="none"/>
          <w:lang w:val="en-US" w:eastAsia="zh-CN" w:bidi="ar-SA"/>
        </w:rPr>
        <w:t>区域行洪能力增强，河道过流能力增加，对下游来水及下水生生态生境质量影响不大。</w:t>
      </w:r>
      <w:r>
        <w:rPr>
          <w:rFonts w:hint="default" w:ascii="Times New Roman" w:hAnsi="Times New Roman" w:eastAsia="宋体" w:cs="Times New Roman"/>
          <w:color w:val="auto"/>
          <w:sz w:val="24"/>
          <w:szCs w:val="20"/>
          <w:highlight w:val="none"/>
          <w:lang w:val="en-US" w:eastAsia="zh-CN" w:bidi="ar-SA"/>
        </w:rPr>
        <w:t>工程</w:t>
      </w:r>
      <w:r>
        <w:rPr>
          <w:rFonts w:hint="eastAsia" w:ascii="Times New Roman" w:hAnsi="Times New Roman" w:eastAsia="宋体" w:cs="Times New Roman"/>
          <w:color w:val="auto"/>
          <w:sz w:val="24"/>
          <w:szCs w:val="20"/>
          <w:highlight w:val="none"/>
          <w:lang w:val="en-US" w:eastAsia="zh-CN" w:bidi="ar-SA"/>
        </w:rPr>
        <w:t>不建设拦河坝等挡水建筑，不会对鱼类上溯形成阻隔效应，不会改变水生生物如鱼类等在工程附近的分布</w:t>
      </w:r>
      <w:r>
        <w:rPr>
          <w:rFonts w:hint="default" w:ascii="Times New Roman" w:hAnsi="Times New Roman" w:eastAsia="宋体" w:cs="Times New Roman"/>
          <w:color w:val="auto"/>
          <w:sz w:val="24"/>
          <w:szCs w:val="20"/>
          <w:highlight w:val="none"/>
          <w:lang w:val="en-US" w:eastAsia="zh-CN" w:bidi="ar-SA"/>
        </w:rPr>
        <w:t>。</w:t>
      </w:r>
    </w:p>
    <w:p w14:paraId="51B4AE5E">
      <w:pPr>
        <w:pStyle w:val="410"/>
        <w:rPr>
          <w:rFonts w:hint="default" w:ascii="Times New Roman" w:hAnsi="Times New Roman" w:eastAsia="宋体" w:cs="Times New Roman"/>
          <w:color w:val="auto"/>
          <w:sz w:val="24"/>
          <w:szCs w:val="20"/>
          <w:highlight w:val="none"/>
          <w:u w:val="single"/>
          <w:lang w:val="en-US" w:eastAsia="zh-CN" w:bidi="ar-SA"/>
        </w:rPr>
      </w:pPr>
      <w:r>
        <w:rPr>
          <w:rFonts w:hint="eastAsia" w:ascii="Times New Roman" w:hAnsi="Times New Roman" w:eastAsia="宋体" w:cs="Times New Roman"/>
          <w:color w:val="auto"/>
          <w:sz w:val="24"/>
          <w:szCs w:val="20"/>
          <w:highlight w:val="none"/>
          <w:u w:val="single"/>
          <w:lang w:val="en-US" w:eastAsia="zh-CN" w:bidi="ar-SA"/>
        </w:rPr>
        <w:t>项目建成后工程段原淡水湾江断流，导致局部水生生境被破坏，水生生物死亡。项目水系改造段较短且连接上下游水系，迁改后部分水生生物向新建水系内迁移，新建水系内的水生生态系统通过自然恢复形成新的生态平衡，项目水系改造对区域水生生态环境影响不大。</w:t>
      </w:r>
    </w:p>
    <w:p w14:paraId="7B5B674E">
      <w:pPr>
        <w:pStyle w:val="5"/>
        <w:bidi w:val="0"/>
        <w:ind w:left="452" w:leftChars="0" w:firstLine="0" w:firstLineChars="0"/>
        <w:rPr>
          <w:rFonts w:hint="default"/>
          <w:color w:val="auto"/>
          <w:highlight w:val="none"/>
        </w:rPr>
      </w:pPr>
      <w:r>
        <w:rPr>
          <w:rFonts w:hint="eastAsia"/>
          <w:color w:val="auto"/>
          <w:highlight w:val="none"/>
          <w:lang w:eastAsia="zh-CN"/>
        </w:rPr>
        <w:t>运营期</w:t>
      </w:r>
      <w:r>
        <w:rPr>
          <w:rFonts w:hint="default"/>
          <w:color w:val="auto"/>
          <w:highlight w:val="none"/>
        </w:rPr>
        <w:t>废气源强</w:t>
      </w:r>
    </w:p>
    <w:p w14:paraId="0845574D">
      <w:pPr>
        <w:pStyle w:val="41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项目建成后</w:t>
      </w:r>
      <w:r>
        <w:rPr>
          <w:rFonts w:hint="default" w:ascii="Times New Roman" w:hAnsi="Times New Roman" w:eastAsia="宋体" w:cs="Times New Roman"/>
          <w:color w:val="auto"/>
          <w:highlight w:val="none"/>
          <w:lang w:val="en-US" w:eastAsia="zh-CN"/>
        </w:rPr>
        <w:t>无新增管理人员和管理用房，不设备用柴油发电机，项目运行过程中无大气污染物产生。</w:t>
      </w:r>
    </w:p>
    <w:p w14:paraId="3FF0DEB4">
      <w:pPr>
        <w:pStyle w:val="5"/>
        <w:bidi w:val="0"/>
        <w:ind w:left="452" w:leftChars="0" w:firstLine="0" w:firstLineChars="0"/>
        <w:rPr>
          <w:rFonts w:hint="default"/>
          <w:color w:val="auto"/>
          <w:highlight w:val="none"/>
        </w:rPr>
      </w:pPr>
      <w:r>
        <w:rPr>
          <w:rFonts w:hint="eastAsia"/>
          <w:color w:val="auto"/>
          <w:highlight w:val="none"/>
          <w:lang w:eastAsia="zh-CN"/>
        </w:rPr>
        <w:t>运营期</w:t>
      </w:r>
      <w:r>
        <w:rPr>
          <w:rFonts w:hint="default"/>
          <w:color w:val="auto"/>
          <w:highlight w:val="none"/>
        </w:rPr>
        <w:t>废水源强</w:t>
      </w:r>
    </w:p>
    <w:p w14:paraId="0A2D546B">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本项目不单独配备管理人员</w:t>
      </w:r>
      <w:r>
        <w:rPr>
          <w:rFonts w:hint="default" w:ascii="Times New Roman" w:hAnsi="Times New Roman" w:cs="Times New Roman"/>
          <w:color w:val="auto"/>
          <w:highlight w:val="none"/>
          <w:lang w:eastAsia="zh-CN"/>
        </w:rPr>
        <w:t>，管理人员由住建管理单位现有职工调配，无需新增管理用房，</w:t>
      </w:r>
      <w:r>
        <w:rPr>
          <w:rFonts w:hint="default" w:ascii="Times New Roman" w:hAnsi="Times New Roman" w:cs="Times New Roman"/>
          <w:color w:val="auto"/>
          <w:highlight w:val="none"/>
          <w:lang w:val="en-US" w:eastAsia="zh-CN"/>
        </w:rPr>
        <w:t>无废水排放</w:t>
      </w:r>
      <w:r>
        <w:rPr>
          <w:rFonts w:hint="default" w:ascii="Times New Roman" w:hAnsi="Times New Roman" w:cs="Times New Roman"/>
          <w:color w:val="auto"/>
          <w:highlight w:val="none"/>
        </w:rPr>
        <w:t>。</w:t>
      </w:r>
    </w:p>
    <w:p w14:paraId="78BCAA48">
      <w:pPr>
        <w:pStyle w:val="5"/>
        <w:bidi w:val="0"/>
        <w:ind w:left="452" w:leftChars="0" w:firstLine="0" w:firstLineChars="0"/>
        <w:rPr>
          <w:rFonts w:hint="default"/>
          <w:color w:val="auto"/>
          <w:highlight w:val="none"/>
        </w:rPr>
      </w:pPr>
      <w:r>
        <w:rPr>
          <w:rFonts w:hint="eastAsia"/>
          <w:color w:val="auto"/>
          <w:highlight w:val="none"/>
          <w:lang w:eastAsia="zh-CN"/>
        </w:rPr>
        <w:t>运营期</w:t>
      </w:r>
      <w:r>
        <w:rPr>
          <w:rFonts w:hint="default"/>
          <w:color w:val="auto"/>
          <w:highlight w:val="none"/>
        </w:rPr>
        <w:t>噪声源强</w:t>
      </w:r>
    </w:p>
    <w:p w14:paraId="4D97A34E">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本工程建设的雨水管网和水系改造能满足自排标准，不设置雨水泵站和排涝泵站，无噪声源。</w:t>
      </w:r>
    </w:p>
    <w:p w14:paraId="190561AF">
      <w:pPr>
        <w:pStyle w:val="5"/>
        <w:bidi w:val="0"/>
        <w:ind w:left="452" w:leftChars="0" w:firstLine="0" w:firstLineChars="0"/>
        <w:rPr>
          <w:rFonts w:hint="default"/>
          <w:color w:val="auto"/>
          <w:highlight w:val="none"/>
        </w:rPr>
      </w:pPr>
      <w:r>
        <w:rPr>
          <w:rFonts w:hint="eastAsia"/>
          <w:color w:val="auto"/>
          <w:highlight w:val="none"/>
          <w:lang w:eastAsia="zh-CN"/>
        </w:rPr>
        <w:t>运营期</w:t>
      </w:r>
      <w:r>
        <w:rPr>
          <w:rFonts w:hint="default"/>
          <w:color w:val="auto"/>
          <w:highlight w:val="none"/>
        </w:rPr>
        <w:t>固体废物源强</w:t>
      </w:r>
    </w:p>
    <w:p w14:paraId="3B071B34">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本项目不单独配备管理人员</w:t>
      </w:r>
      <w:r>
        <w:rPr>
          <w:rFonts w:hint="default" w:ascii="Times New Roman" w:hAnsi="Times New Roman" w:cs="Times New Roman"/>
          <w:color w:val="auto"/>
          <w:highlight w:val="none"/>
          <w:lang w:eastAsia="zh-CN"/>
        </w:rPr>
        <w:t>，管理人员由住建管理单位现有职工调配，无需新增管理用房，不产生生活垃圾、</w:t>
      </w:r>
      <w:r>
        <w:rPr>
          <w:rFonts w:hint="default" w:ascii="Times New Roman" w:hAnsi="Times New Roman" w:cs="Times New Roman"/>
          <w:color w:val="auto"/>
          <w:highlight w:val="none"/>
          <w:lang w:val="en-US" w:eastAsia="zh-CN"/>
        </w:rPr>
        <w:t>设备维修废物等</w:t>
      </w:r>
      <w:r>
        <w:rPr>
          <w:rFonts w:hint="default" w:ascii="Times New Roman" w:hAnsi="Times New Roman" w:cs="Times New Roman"/>
          <w:color w:val="auto"/>
          <w:highlight w:val="none"/>
          <w:lang w:eastAsia="zh-CN"/>
        </w:rPr>
        <w:t>固体废物</w:t>
      </w:r>
      <w:r>
        <w:rPr>
          <w:rFonts w:hint="default" w:ascii="Times New Roman" w:hAnsi="Times New Roman" w:cs="Times New Roman"/>
          <w:color w:val="auto"/>
          <w:highlight w:val="none"/>
        </w:rPr>
        <w:t>。</w:t>
      </w:r>
    </w:p>
    <w:p w14:paraId="02CBE4AB">
      <w:pPr>
        <w:pStyle w:val="5"/>
        <w:bidi w:val="0"/>
        <w:ind w:left="452" w:leftChars="0" w:firstLine="0" w:firstLineChars="0"/>
        <w:rPr>
          <w:rFonts w:hint="default"/>
          <w:color w:val="auto"/>
          <w:highlight w:val="none"/>
        </w:rPr>
      </w:pPr>
      <w:r>
        <w:rPr>
          <w:rFonts w:hint="eastAsia"/>
          <w:color w:val="auto"/>
          <w:highlight w:val="none"/>
          <w:lang w:eastAsia="zh-CN"/>
        </w:rPr>
        <w:t>运营期</w:t>
      </w:r>
      <w:r>
        <w:rPr>
          <w:rFonts w:hint="default"/>
          <w:color w:val="auto"/>
          <w:highlight w:val="none"/>
        </w:rPr>
        <w:t>污染源强汇总</w:t>
      </w:r>
    </w:p>
    <w:p w14:paraId="198173F4">
      <w:pPr>
        <w:pStyle w:val="410"/>
        <w:rPr>
          <w:rFonts w:hint="default" w:ascii="Times New Roman" w:hAnsi="Times New Roman" w:cs="Times New Roman"/>
          <w:color w:val="auto"/>
          <w:highlight w:val="none"/>
          <w:lang w:val="en-US" w:eastAsia="zh-CN"/>
        </w:rPr>
      </w:pPr>
      <w:r>
        <w:rPr>
          <w:rFonts w:hint="eastAsia" w:ascii="Times New Roman" w:cs="Times New Roman"/>
          <w:color w:val="auto"/>
          <w:highlight w:val="none"/>
          <w:lang w:val="en-US" w:eastAsia="zh-CN"/>
        </w:rPr>
        <w:t>项目运营期区域防洪性能较施工前有显著提升，项目完成后汛期有利于提高地区防洪排涝能力，使区域管道的过水能力加大，减缓洪涝灾害。项目本身而言无“三废”污染产生。运营期间不向外界排放污染物，工程建设后具有较大的社会效益、经济效益和环境效益。</w:t>
      </w:r>
    </w:p>
    <w:bookmarkEnd w:id="57"/>
    <w:p w14:paraId="5590D6C0">
      <w:pPr>
        <w:pStyle w:val="684"/>
        <w:ind w:firstLine="453"/>
        <w:rPr>
          <w:rFonts w:hint="default" w:ascii="Times New Roman" w:hAnsi="Times New Roman" w:cs="Times New Roman"/>
          <w:color w:val="auto"/>
          <w:highlight w:val="none"/>
        </w:rPr>
      </w:pPr>
      <w:bookmarkStart w:id="58" w:name="_Toc195236152"/>
    </w:p>
    <w:p w14:paraId="5FBB4E7B">
      <w:pPr>
        <w:pStyle w:val="684"/>
        <w:ind w:firstLine="453"/>
        <w:rPr>
          <w:rFonts w:hint="default" w:ascii="Times New Roman" w:hAnsi="Times New Roman" w:cs="Times New Roman"/>
          <w:color w:val="auto"/>
          <w:highlight w:val="none"/>
        </w:rPr>
        <w:sectPr>
          <w:pgSz w:w="11906" w:h="16838"/>
          <w:pgMar w:top="1418" w:right="1514" w:bottom="1314" w:left="1780" w:header="737" w:footer="992" w:gutter="0"/>
          <w:cols w:space="720" w:num="1"/>
          <w:docGrid w:type="linesAndChars" w:linePitch="466" w:charSpace="-2738"/>
        </w:sectPr>
      </w:pPr>
    </w:p>
    <w:p w14:paraId="473DEF29">
      <w:pPr>
        <w:pStyle w:val="3"/>
        <w:bidi w:val="0"/>
        <w:ind w:left="425" w:leftChars="0" w:hanging="425" w:firstLineChars="0"/>
        <w:rPr>
          <w:rFonts w:hint="default"/>
          <w:color w:val="auto"/>
          <w:highlight w:val="none"/>
        </w:rPr>
      </w:pPr>
      <w:bookmarkStart w:id="59" w:name="_Toc30338"/>
      <w:r>
        <w:rPr>
          <w:rFonts w:hint="default"/>
          <w:color w:val="auto"/>
          <w:highlight w:val="none"/>
        </w:rPr>
        <w:t>环境</w:t>
      </w:r>
      <w:bookmarkEnd w:id="58"/>
      <w:r>
        <w:rPr>
          <w:rFonts w:hint="default"/>
          <w:color w:val="auto"/>
          <w:highlight w:val="none"/>
        </w:rPr>
        <w:t>质量现状调查与评价</w:t>
      </w:r>
      <w:bookmarkEnd w:id="59"/>
    </w:p>
    <w:p w14:paraId="4C478689">
      <w:pPr>
        <w:pStyle w:val="4"/>
        <w:bidi w:val="0"/>
        <w:ind w:left="678" w:leftChars="0" w:firstLine="0" w:firstLineChars="0"/>
        <w:rPr>
          <w:rFonts w:hint="default"/>
          <w:color w:val="auto"/>
          <w:highlight w:val="none"/>
        </w:rPr>
      </w:pPr>
      <w:bookmarkStart w:id="60" w:name="_Toc28111"/>
      <w:r>
        <w:rPr>
          <w:rFonts w:hint="default"/>
          <w:color w:val="auto"/>
          <w:highlight w:val="none"/>
        </w:rPr>
        <w:t>自然环境概况</w:t>
      </w:r>
      <w:bookmarkEnd w:id="60"/>
    </w:p>
    <w:p w14:paraId="55781622">
      <w:pPr>
        <w:pStyle w:val="5"/>
        <w:bidi w:val="0"/>
        <w:ind w:left="452" w:leftChars="0" w:firstLine="0" w:firstLineChars="0"/>
        <w:rPr>
          <w:rFonts w:hint="default"/>
          <w:color w:val="auto"/>
          <w:highlight w:val="none"/>
        </w:rPr>
      </w:pPr>
      <w:r>
        <w:rPr>
          <w:rFonts w:hint="default"/>
          <w:color w:val="auto"/>
          <w:highlight w:val="none"/>
        </w:rPr>
        <w:t>地理位置</w:t>
      </w:r>
    </w:p>
    <w:p w14:paraId="375374AB">
      <w:pPr>
        <w:snapToGrid w:val="0"/>
        <w:spacing w:line="360" w:lineRule="auto"/>
        <w:ind w:firstLine="442"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钦州市位于广西壮族自治区南部沿海，濒临北部湾，东与合浦、玉林相连，西与防城、上思接壤，北与邕宁毗邻，南临北部湾，陆地总面积10843km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海岸线长520.8km，地理坐标为东经108°10′55″～109°09′12″，北纬21°34′52″～22°28′01″。钦州市是广西的沿海开放城市之一，也是广西壮族自治区首府南宁通往北海、防城港的必经之道。钦州城区离南宁市119km，距北海市100km，距防城港市65km。市区规划面积258k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，已建成面积32km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占规划面积的12.4%。钦南区位于广西壮族自治区北部湾经济区的中心位置，北距首府南宁仅百余公里，濒临北部湾，东连北海市，西接防城港市，南拥钦州港，是钦州市的辖区。是一个集临海工业园区、滨海文化旅游胜地、广西沿海交通枢纽、大西南最近接海点等众多功能与优势于一身的北部湾（广西）经济区最具竞争力的城市中心区。</w:t>
      </w:r>
    </w:p>
    <w:p w14:paraId="2CE54BD4">
      <w:pPr>
        <w:snapToGrid w:val="0"/>
        <w:spacing w:line="360" w:lineRule="auto"/>
        <w:ind w:firstLine="442" w:firstLineChars="200"/>
        <w:rPr>
          <w:rFonts w:hint="default" w:ascii="Times New Roman" w:hAnsi="Times New Roman" w:cs="Times New Roman"/>
          <w:bCs/>
          <w:color w:val="auto"/>
          <w:kern w:val="0"/>
          <w:highlight w:val="none"/>
          <w:lang w:val="en-US" w:eastAsia="zh-CN"/>
        </w:rPr>
      </w:pPr>
      <w:r>
        <w:rPr>
          <w:rFonts w:hint="default" w:ascii="Times New Roman" w:hAnsi="Times New Roman" w:cs="Times New Roman"/>
          <w:color w:val="auto"/>
          <w:highlight w:val="none"/>
          <w:lang w:eastAsia="zh-CN"/>
        </w:rPr>
        <w:t>本项目位于广西壮族自治区钦州市中国（广西）自由贸易试验区钦州港片区和谐大街以南，大榄坪大街以北</w:t>
      </w:r>
      <w:r>
        <w:rPr>
          <w:rFonts w:hint="default" w:ascii="Times New Roman" w:hAnsi="Times New Roman" w:cs="Times New Roman"/>
          <w:bCs/>
          <w:color w:val="auto"/>
          <w:kern w:val="0"/>
          <w:highlight w:val="none"/>
        </w:rPr>
        <w:t>，</w:t>
      </w:r>
      <w:r>
        <w:rPr>
          <w:rFonts w:hint="default" w:ascii="Times New Roman" w:hAnsi="Times New Roman" w:cs="Times New Roman"/>
          <w:bCs/>
          <w:color w:val="auto"/>
          <w:kern w:val="0"/>
          <w:highlight w:val="none"/>
          <w:lang w:eastAsia="zh-CN"/>
        </w:rPr>
        <w:t>友谊大街以东区域</w:t>
      </w:r>
      <w:r>
        <w:rPr>
          <w:rFonts w:hint="default" w:ascii="Times New Roman" w:hAnsi="Times New Roman" w:cs="Times New Roman"/>
          <w:bCs/>
          <w:color w:val="auto"/>
          <w:kern w:val="0"/>
          <w:highlight w:val="none"/>
          <w:u w:val="single"/>
          <w:lang w:eastAsia="zh-CN"/>
        </w:rPr>
        <w:t>，</w:t>
      </w:r>
      <w:r>
        <w:rPr>
          <w:rFonts w:hint="eastAsia" w:ascii="Times New Roman" w:cs="Times New Roman"/>
          <w:bCs/>
          <w:color w:val="auto"/>
          <w:kern w:val="0"/>
          <w:highlight w:val="none"/>
          <w:u w:val="single"/>
          <w:lang w:eastAsia="zh-CN"/>
        </w:rPr>
        <w:t>具体子项目起终点坐标如下：</w:t>
      </w:r>
    </w:p>
    <w:p w14:paraId="6061D67C">
      <w:pPr>
        <w:snapToGrid w:val="0"/>
        <w:spacing w:line="360" w:lineRule="auto"/>
        <w:ind w:firstLine="442" w:firstLineChars="200"/>
        <w:rPr>
          <w:rFonts w:hint="default" w:ascii="Times New Roman" w:hAnsi="Times New Roman" w:cs="Times New Roman"/>
          <w:bCs/>
          <w:color w:val="auto"/>
          <w:kern w:val="0"/>
          <w:highlight w:val="none"/>
          <w:u w:val="single"/>
          <w:lang w:eastAsia="zh-CN"/>
        </w:rPr>
      </w:pPr>
      <w:r>
        <w:rPr>
          <w:rFonts w:hint="default" w:ascii="Times New Roman" w:hAnsi="Times New Roman" w:cs="Times New Roman"/>
          <w:bCs/>
          <w:color w:val="auto"/>
          <w:kern w:val="0"/>
          <w:highlight w:val="none"/>
          <w:u w:val="single"/>
          <w:lang w:eastAsia="zh-CN"/>
        </w:rPr>
        <w:t>锦绣大道排水改造段：起点坐标为108</w:t>
      </w:r>
      <w:r>
        <w:rPr>
          <w:rFonts w:hint="eastAsia" w:ascii="Times New Roman" w:cs="Times New Roman"/>
          <w:bCs/>
          <w:color w:val="auto"/>
          <w:kern w:val="0"/>
          <w:highlight w:val="none"/>
          <w:u w:val="single"/>
          <w:lang w:val="en-US" w:eastAsia="zh-CN"/>
        </w:rPr>
        <w:t>°</w:t>
      </w:r>
      <w:r>
        <w:rPr>
          <w:rFonts w:hint="default" w:ascii="Times New Roman" w:hAnsi="Times New Roman" w:cs="Times New Roman"/>
          <w:bCs/>
          <w:color w:val="auto"/>
          <w:kern w:val="0"/>
          <w:highlight w:val="none"/>
          <w:u w:val="single"/>
          <w:lang w:eastAsia="zh-CN"/>
        </w:rPr>
        <w:t>40</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13.260</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，21</w:t>
      </w:r>
      <w:r>
        <w:rPr>
          <w:rFonts w:hint="eastAsia" w:ascii="Times New Roman" w:cs="Times New Roman"/>
          <w:bCs/>
          <w:color w:val="auto"/>
          <w:kern w:val="0"/>
          <w:highlight w:val="none"/>
          <w:u w:val="single"/>
          <w:lang w:val="en-US" w:eastAsia="zh-CN"/>
        </w:rPr>
        <w:t>°</w:t>
      </w:r>
      <w:r>
        <w:rPr>
          <w:rFonts w:hint="default" w:ascii="Times New Roman" w:hAnsi="Times New Roman" w:cs="Times New Roman"/>
          <w:bCs/>
          <w:color w:val="auto"/>
          <w:kern w:val="0"/>
          <w:highlight w:val="none"/>
          <w:u w:val="single"/>
          <w:lang w:eastAsia="zh-CN"/>
        </w:rPr>
        <w:t>74</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27.351</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；终点坐标为108</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66</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82.802</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，21</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73</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49.459</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w:t>
      </w:r>
    </w:p>
    <w:p w14:paraId="24203C5F">
      <w:pPr>
        <w:snapToGrid w:val="0"/>
        <w:spacing w:line="360" w:lineRule="auto"/>
        <w:ind w:firstLine="442" w:firstLineChars="200"/>
        <w:rPr>
          <w:rFonts w:hint="default" w:ascii="Times New Roman" w:hAnsi="Times New Roman" w:cs="Times New Roman"/>
          <w:bCs/>
          <w:color w:val="auto"/>
          <w:kern w:val="0"/>
          <w:highlight w:val="none"/>
          <w:u w:val="single"/>
          <w:lang w:eastAsia="zh-CN"/>
        </w:rPr>
      </w:pPr>
      <w:r>
        <w:rPr>
          <w:rFonts w:hint="default" w:ascii="Times New Roman" w:hAnsi="Times New Roman" w:cs="Times New Roman"/>
          <w:bCs/>
          <w:color w:val="auto"/>
          <w:kern w:val="0"/>
          <w:highlight w:val="none"/>
          <w:u w:val="single"/>
          <w:lang w:eastAsia="zh-CN"/>
        </w:rPr>
        <w:t>城市更新项目建设服务于金窝水库的排水水系改造段：起点坐标为108</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67</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36.624</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，21</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74</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24.824</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；终点坐标为108</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67</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24.566</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，21</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73</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91.271</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w:t>
      </w:r>
    </w:p>
    <w:p w14:paraId="57721BB1">
      <w:pPr>
        <w:snapToGrid w:val="0"/>
        <w:spacing w:line="360" w:lineRule="auto"/>
        <w:ind w:firstLine="442" w:firstLineChars="200"/>
        <w:rPr>
          <w:rFonts w:hint="default" w:ascii="Times New Roman" w:hAnsi="Times New Roman" w:cs="Times New Roman"/>
          <w:color w:val="auto"/>
          <w:highlight w:val="none"/>
        </w:rPr>
      </w:pPr>
      <w:r>
        <w:rPr>
          <w:rFonts w:hint="default" w:ascii="Times New Roman" w:hAnsi="Times New Roman" w:cs="Times New Roman"/>
          <w:bCs/>
          <w:color w:val="auto"/>
          <w:kern w:val="0"/>
          <w:highlight w:val="none"/>
          <w:u w:val="single"/>
          <w:lang w:eastAsia="zh-CN"/>
        </w:rPr>
        <w:t>钦州港路排水工程：起点坐标为108</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67</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03.568</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，21</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73</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97.569</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；终点坐标为108</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67</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11.950</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，21</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73</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59.822</w:t>
      </w:r>
      <w:r>
        <w:rPr>
          <w:rFonts w:hint="eastAsia" w:asci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u w:val="single"/>
          <w:lang w:eastAsia="zh-CN"/>
        </w:rPr>
        <w:t>；</w:t>
      </w:r>
      <w:r>
        <w:rPr>
          <w:rFonts w:hint="default" w:ascii="Times New Roman" w:hAnsi="Times New Roman" w:cs="Times New Roman"/>
          <w:bCs/>
          <w:color w:val="auto"/>
          <w:kern w:val="0"/>
          <w:highlight w:val="none"/>
        </w:rPr>
        <w:t>项目地理位置详见附图1。</w:t>
      </w:r>
    </w:p>
    <w:p w14:paraId="50F37D96">
      <w:pPr>
        <w:pStyle w:val="5"/>
        <w:bidi w:val="0"/>
        <w:ind w:left="452" w:leftChars="0" w:firstLine="0" w:firstLineChars="0"/>
        <w:rPr>
          <w:rFonts w:hint="default"/>
          <w:color w:val="auto"/>
          <w:highlight w:val="none"/>
        </w:rPr>
      </w:pPr>
      <w:r>
        <w:rPr>
          <w:rFonts w:hint="default"/>
          <w:color w:val="auto"/>
          <w:highlight w:val="none"/>
        </w:rPr>
        <w:t>地形地貌</w:t>
      </w:r>
    </w:p>
    <w:p w14:paraId="7B5A9179">
      <w:pPr>
        <w:snapToGrid w:val="0"/>
        <w:spacing w:line="360" w:lineRule="auto"/>
        <w:ind w:firstLine="442" w:firstLineChars="200"/>
        <w:rPr>
          <w:rFonts w:hint="default" w:ascii="Times New Roman" w:hAnsi="Times New Roman" w:eastAsia="宋体" w:cs="Times New Roman"/>
          <w:color w:val="auto"/>
          <w:highlight w:val="none"/>
          <w:lang w:val="en-US" w:eastAsia="zh-CN"/>
        </w:rPr>
      </w:pPr>
      <w:bookmarkStart w:id="61" w:name="_Toc144131553"/>
      <w:bookmarkStart w:id="62" w:name="_Toc335034729"/>
      <w:r>
        <w:rPr>
          <w:rFonts w:hint="default" w:ascii="Times New Roman" w:hAnsi="Times New Roman" w:eastAsia="宋体" w:cs="Times New Roman"/>
          <w:color w:val="auto"/>
          <w:highlight w:val="none"/>
          <w:lang w:val="en-US" w:eastAsia="zh-CN"/>
        </w:rPr>
        <w:t>钦州市属丘陵地区，地势北高南低，境内山峦起伏延绵交错。地貌类型由北向南依次为山地、丘陵、台地、平原，呈有规律分布。</w:t>
      </w:r>
    </w:p>
    <w:p w14:paraId="376693DD">
      <w:pPr>
        <w:snapToGrid w:val="0"/>
        <w:spacing w:line="360" w:lineRule="auto"/>
        <w:ind w:firstLine="442"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山地：1521.07km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，占总面积的14%，主要分布在钦州东北部的六万山和罗阳山，地势雄伟，山峰林立，主峰葵扇顶海拔高程1118m，为本市境内最高峰。西北部的十万山之余脉之大龙岭延伸入钦州市境内，主峰海拔高程994.5m。</w:t>
      </w:r>
    </w:p>
    <w:p w14:paraId="2D4D1E6F">
      <w:pPr>
        <w:snapToGrid w:val="0"/>
        <w:spacing w:line="360" w:lineRule="auto"/>
        <w:ind w:firstLine="442"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丘陵：2019.34km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，占总面积的19%。交错在山地和台地之间，海拔高程200～500m，多为砂页岩、花岗岩堆积而成，高丘陵和低丘陵各占一半左右。</w:t>
      </w:r>
    </w:p>
    <w:p w14:paraId="7362C92F">
      <w:pPr>
        <w:keepNext w:val="0"/>
        <w:keepLines w:val="0"/>
        <w:widowControl/>
        <w:suppressLineNumbers w:val="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台地：3466.38km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，占总面积的33%。分布较为普遍，一般海拔10～80m左右，地表比</w:t>
      </w:r>
      <w:r>
        <w:rPr>
          <w:rFonts w:hint="default" w:ascii="Times New Roman" w:hAnsi="Times New Roman" w:eastAsia="宋体" w:cs="Times New Roman"/>
          <w:color w:val="auto"/>
          <w:kern w:val="0"/>
          <w:sz w:val="24"/>
          <w:szCs w:val="24"/>
          <w:highlight w:val="none"/>
          <w:lang w:val="en-US" w:eastAsia="zh-CN" w:bidi="ar"/>
        </w:rPr>
        <w:t>较平坦，适于发展粮食经济作物。</w:t>
      </w:r>
    </w:p>
    <w:p w14:paraId="34EF791C">
      <w:pPr>
        <w:snapToGrid w:val="0"/>
        <w:spacing w:line="360" w:lineRule="auto"/>
        <w:ind w:firstLine="442"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平原：3327.26km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占总面积的31%，主要分布在境内几条主要河流两岸及河流入海处，为河流冲积物所构成，有山间盆地和三角洲平原两种。山间盆地广泛分布于钦州市钦北区大寺、大直、小董镇，灵山县的那隆、武利、旧洲镇，浦北县的小江、北通镇等。</w:t>
      </w:r>
    </w:p>
    <w:p w14:paraId="4AF39DCE">
      <w:pPr>
        <w:snapToGrid w:val="0"/>
        <w:spacing w:line="360" w:lineRule="auto"/>
        <w:ind w:firstLine="442"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钦江入海口的三角洲平原，面积达135km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，土壤深厚，土质肥沃，光、热、水条件较好，是水稻等粮食作物的主要产区。水面：268.35km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占总面积3%。主要分布在本市境内的钦江、茅岭江、大风江、马江、武礼江、武思江以及境内各大、中型水库。钦南区主要属低丘地貌类型，东部属低丘陵区；南部属岗地、平原、滨海滩涂区，有境内最大的冲积平原—钦江三角洲。北部和西部属丘陵区；中部属低丘、台地、盆地和河谷冲积平原区，以河谷冲积平原区为主，土地稍平坦。全境地势为西北及东北高，自北向南倾斜，南部地势明显下降，由北向南倾斜形成低丘、台地、阶地、平原区、岛屿及沿海滩涂的地形地貌。境内主要山脉有百龙岭、灵山县的林治山余脉—那雾岭、西鸦大岭、笔架山等。境内最高峰为百龙岭，海拔428.70m。境内最低点为茅岭江入海处，海拔0.60m。南北高差420多米。</w:t>
      </w:r>
    </w:p>
    <w:p w14:paraId="49AC659F">
      <w:pPr>
        <w:pStyle w:val="5"/>
        <w:bidi w:val="0"/>
        <w:ind w:left="452" w:leftChars="0" w:firstLine="0" w:firstLineChars="0"/>
        <w:rPr>
          <w:rFonts w:hint="default"/>
          <w:color w:val="auto"/>
          <w:highlight w:val="none"/>
        </w:rPr>
      </w:pPr>
      <w:r>
        <w:rPr>
          <w:rFonts w:hint="default"/>
          <w:color w:val="auto"/>
          <w:highlight w:val="none"/>
        </w:rPr>
        <w:t>工程地质</w:t>
      </w:r>
    </w:p>
    <w:p w14:paraId="22D3452E">
      <w:pPr>
        <w:snapToGrid w:val="0"/>
        <w:spacing w:line="360" w:lineRule="auto"/>
        <w:ind w:firstLine="442" w:firstLineChars="200"/>
        <w:rPr>
          <w:rFonts w:hint="eastAsia" w:ascii="Times New Roman"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根据《钦州港新型城乡融合发展示范区（自贸新城）排水改造工程</w:t>
      </w:r>
      <w:r>
        <w:rPr>
          <w:rFonts w:hint="eastAsia" w:ascii="Times New Roman" w:cs="Times New Roman"/>
          <w:color w:val="auto"/>
          <w:highlight w:val="none"/>
          <w:u w:val="single"/>
          <w:lang w:val="en-US" w:eastAsia="zh-CN"/>
        </w:rPr>
        <w:t>岩土工程详细勘查报告</w:t>
      </w:r>
      <w:r>
        <w:rPr>
          <w:rFonts w:hint="eastAsia" w:ascii="Times New Roman" w:hAnsi="Times New Roman" w:eastAsia="宋体" w:cs="Times New Roman"/>
          <w:color w:val="auto"/>
          <w:highlight w:val="none"/>
          <w:u w:val="single"/>
          <w:lang w:val="en-US" w:eastAsia="zh-CN"/>
        </w:rPr>
        <w:t>》</w:t>
      </w:r>
      <w:r>
        <w:rPr>
          <w:rFonts w:hint="eastAsia" w:ascii="Times New Roman" w:cs="Times New Roman"/>
          <w:color w:val="auto"/>
          <w:highlight w:val="none"/>
          <w:u w:val="single"/>
          <w:lang w:val="en-US" w:eastAsia="zh-CN"/>
        </w:rPr>
        <w:t>（中间资料），详细勘察于2024年09月25日进场施工，同年10月16日全部完成野外作业，共施工68个钻孔。详勘采用工程地质调查、钻探、取样、原位测试及室内试验等手段进行勘察，室内试验委托钦州市地质基础工程公司实验室完成。</w:t>
      </w:r>
    </w:p>
    <w:p w14:paraId="384F50AF">
      <w:pPr>
        <w:snapToGrid w:val="0"/>
        <w:spacing w:line="360" w:lineRule="auto"/>
        <w:ind w:firstLine="442" w:firstLineChars="200"/>
        <w:rPr>
          <w:rFonts w:hint="eastAsia"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据勘探结果，沿线地层自上而下主要由第四系填土层（Q4ml）、第四系淤泥层（Q4I）和志留系基岩层（S）组成，现分述如下：</w:t>
      </w:r>
    </w:p>
    <w:p w14:paraId="3DAD374F">
      <w:pPr>
        <w:snapToGrid w:val="0"/>
        <w:spacing w:line="360" w:lineRule="auto"/>
        <w:ind w:firstLine="442" w:firstLineChars="200"/>
        <w:rPr>
          <w:rFonts w:hint="eastAsia"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1、素填土（第①层、Q</w:t>
      </w:r>
      <w:r>
        <w:rPr>
          <w:rFonts w:hint="eastAsia" w:ascii="Times New Roman" w:hAnsi="Times New Roman" w:eastAsia="宋体" w:cs="Times New Roman"/>
          <w:color w:val="auto"/>
          <w:highlight w:val="none"/>
          <w:u w:val="single"/>
          <w:vertAlign w:val="subscript"/>
          <w:lang w:val="en-US" w:eastAsia="zh-CN"/>
        </w:rPr>
        <w:t>4</w:t>
      </w:r>
      <w:r>
        <w:rPr>
          <w:rFonts w:hint="eastAsia" w:ascii="Times New Roman" w:hAnsi="Times New Roman" w:eastAsia="宋体" w:cs="Times New Roman"/>
          <w:color w:val="auto"/>
          <w:highlight w:val="none"/>
          <w:u w:val="single"/>
          <w:vertAlign w:val="superscript"/>
          <w:lang w:val="en-US" w:eastAsia="zh-CN"/>
        </w:rPr>
        <w:t>ml</w:t>
      </w:r>
      <w:r>
        <w:rPr>
          <w:rFonts w:hint="eastAsia" w:ascii="Times New Roman" w:hAnsi="Times New Roman" w:eastAsia="宋体" w:cs="Times New Roman"/>
          <w:color w:val="auto"/>
          <w:highlight w:val="none"/>
          <w:u w:val="single"/>
          <w:lang w:val="en-US" w:eastAsia="zh-CN"/>
        </w:rPr>
        <w:t>）</w:t>
      </w:r>
    </w:p>
    <w:p w14:paraId="77B56B2E">
      <w:pPr>
        <w:snapToGrid w:val="0"/>
        <w:spacing w:line="360" w:lineRule="auto"/>
        <w:ind w:firstLine="442" w:firstLineChars="200"/>
        <w:rPr>
          <w:rFonts w:hint="eastAsia"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褐黄、灰褐色，松散，稍湿，成分主要为黏性土和风化岩石碎块石，表层覆盖有约15cm的砼，人工回填，填土来源主要为周边工地弃土回填，回填年限约5年，均匀性差，无湿陷性，具高压缩性,承载力低。岩芯采取率为78～85%。土、石类别为松土，土、石等级为Ⅰ级。该层共进行重型动力触探试验4.0m，经杆长校正后锤击数平均值为1.6击/10cm，标准值为1.3击/10cm。该层全场地均有揭露，揭露厚度1.00～10.80m，平均层厚7.04m，层顶高程为1.66～6.96m。</w:t>
      </w:r>
    </w:p>
    <w:p w14:paraId="3324D57D">
      <w:pPr>
        <w:snapToGrid w:val="0"/>
        <w:spacing w:line="360" w:lineRule="auto"/>
        <w:ind w:firstLine="442" w:firstLineChars="200"/>
        <w:rPr>
          <w:rFonts w:hint="eastAsia"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2、淤泥质砂土（第②层、Q</w:t>
      </w:r>
      <w:r>
        <w:rPr>
          <w:rFonts w:hint="eastAsia" w:ascii="Times New Roman" w:hAnsi="Times New Roman" w:eastAsia="宋体" w:cs="Times New Roman"/>
          <w:color w:val="auto"/>
          <w:highlight w:val="none"/>
          <w:u w:val="single"/>
          <w:vertAlign w:val="subscript"/>
          <w:lang w:val="en-US" w:eastAsia="zh-CN"/>
        </w:rPr>
        <w:t>4</w:t>
      </w:r>
      <w:r>
        <w:rPr>
          <w:rFonts w:hint="eastAsia" w:ascii="Times New Roman" w:hAnsi="Times New Roman" w:eastAsia="宋体" w:cs="Times New Roman"/>
          <w:color w:val="auto"/>
          <w:highlight w:val="none"/>
          <w:u w:val="single"/>
          <w:vertAlign w:val="superscript"/>
          <w:lang w:val="en-US" w:eastAsia="zh-CN"/>
        </w:rPr>
        <w:t>I</w:t>
      </w:r>
      <w:r>
        <w:rPr>
          <w:rFonts w:hint="eastAsia" w:ascii="Times New Roman" w:hAnsi="Times New Roman" w:eastAsia="宋体" w:cs="Times New Roman"/>
          <w:color w:val="auto"/>
          <w:highlight w:val="none"/>
          <w:u w:val="single"/>
          <w:lang w:val="en-US" w:eastAsia="zh-CN"/>
        </w:rPr>
        <w:t>）</w:t>
      </w:r>
    </w:p>
    <w:p w14:paraId="0DD05B31">
      <w:pPr>
        <w:snapToGrid w:val="0"/>
        <w:spacing w:line="360" w:lineRule="auto"/>
        <w:ind w:firstLine="442" w:firstLineChars="200"/>
        <w:rPr>
          <w:rFonts w:hint="eastAsia"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灰黑色，饱和，流塑状，主要包含物为腐殖质、植物根须和粉细砂，有异臭味。属潮湿类型土，岩芯采取率为87%～90%。土、石类别为松土，土、石等级为Ⅰ级。该层共进行标准贯入试验8孔8段，经杆长校正后锤击数平均值为1.8击/30cm，标准值为1.2击/30cm。该层拟建场地均有揭露，揭露厚度1.70～7.10m，层顶高程为-6.37～1.17m。</w:t>
      </w:r>
    </w:p>
    <w:p w14:paraId="538E23E4">
      <w:pPr>
        <w:snapToGrid w:val="0"/>
        <w:spacing w:line="360" w:lineRule="auto"/>
        <w:ind w:firstLine="442" w:firstLineChars="200"/>
        <w:rPr>
          <w:rFonts w:hint="eastAsia"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3、强风化砂岩（第③层、J）</w:t>
      </w:r>
    </w:p>
    <w:p w14:paraId="2D6F6941">
      <w:pPr>
        <w:snapToGrid w:val="0"/>
        <w:spacing w:line="360" w:lineRule="auto"/>
        <w:ind w:firstLine="442" w:firstLineChars="200"/>
        <w:rPr>
          <w:rFonts w:hint="eastAsia"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褐黄、褐红、青灰等色，砂质结构，中厚层状构造，成分以石英粉砂为主，次为黏土矿物和少量暗色矿物，裂隙发育，原岩结构层理清晰可见，组织结构大部分破坏，主要的矿物成分已风化变异，风化裂隙发育，岩芯破碎，上部岩层的颗粒间的粘结力较弱，岩质松软，手可掰碎，泡水崩解。属极软岩、极破碎岩体，岩体基本质量等级为Ⅴ级。岩心采取率73%～78%。据10组岩样点载荷试验结果：岩石单轴抗压强度试验值为2.17～3.65MPa，平均值2.69MPa，标准值为2.34MPa。</w:t>
      </w:r>
    </w:p>
    <w:bookmarkEnd w:id="61"/>
    <w:bookmarkEnd w:id="62"/>
    <w:p w14:paraId="0BE9AF1B">
      <w:pPr>
        <w:pStyle w:val="5"/>
        <w:bidi w:val="0"/>
        <w:ind w:left="452" w:leftChars="0" w:firstLine="0" w:firstLineChars="0"/>
        <w:rPr>
          <w:rFonts w:hint="default"/>
          <w:color w:val="auto"/>
          <w:highlight w:val="none"/>
        </w:rPr>
      </w:pPr>
      <w:r>
        <w:rPr>
          <w:rFonts w:hint="default"/>
          <w:color w:val="auto"/>
          <w:highlight w:val="none"/>
          <w:lang w:eastAsia="zh-CN"/>
        </w:rPr>
        <w:t>土壤、矿产</w:t>
      </w:r>
    </w:p>
    <w:p w14:paraId="209A5246">
      <w:pPr>
        <w:pStyle w:val="684"/>
        <w:ind w:firstLine="453"/>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钦州市境内土壤分为7个土类，12个亚类，44个土种。在7个土类中，地带性土壤有砖红壤及赤红壤2个土类，非地带性土壤有水稻土、冲积土、紫色土、风沙土和沼泽土等5个土类。区域天然植被分区属桂南热带雨林和亚热带季雨林区，植被类型和植物群落多样性，大致分为季雨林、常绿阔叶林、针叶林、针阔混交林和稀树矮带等5大类型。森林覆盖率达49.1%，珍类树种有格木、紫荆木等。</w:t>
      </w:r>
    </w:p>
    <w:p w14:paraId="34B93BCA">
      <w:pPr>
        <w:pStyle w:val="684"/>
        <w:ind w:firstLine="453"/>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钦州市发现的矿产有46种，矿床及矿点共176处，</w:t>
      </w:r>
      <w:r>
        <w:rPr>
          <w:rFonts w:hint="eastAsia" w:ascii="Times New Roman" w:cs="Times New Roman"/>
          <w:color w:val="auto"/>
          <w:highlight w:val="none"/>
          <w:lang w:val="en-US" w:eastAsia="zh-CN"/>
        </w:rPr>
        <w:t>大</w:t>
      </w:r>
      <w:r>
        <w:rPr>
          <w:rFonts w:hint="default" w:ascii="Times New Roman" w:hAnsi="Times New Roman" w:eastAsia="宋体" w:cs="Times New Roman"/>
          <w:color w:val="auto"/>
          <w:highlight w:val="none"/>
          <w:lang w:val="zh-CN"/>
        </w:rPr>
        <w:t>小型规模以上有46处，其中大型石膏矿床1处（钦灵石膏矿），中型铅锌矿床和稀土矿床各1处，煤、陶瓷土、油页岩、锰、铁、钛、磷、高岭土、水泥用灰岩、水泥配料用页岩、建筑材料用灰岩、建筑材料用花岗岩等矿床130处。已经开发利用的主要矿种有铅锌矿、煤矿、锰矿（氧化锰）、陶瓷土、石膏矿、钛铁砂矿、石灰岩、花岗岩及建筑用砂等。</w:t>
      </w:r>
    </w:p>
    <w:p w14:paraId="6E23944A">
      <w:pPr>
        <w:pStyle w:val="5"/>
        <w:bidi w:val="0"/>
        <w:ind w:left="452" w:leftChars="0" w:firstLine="0" w:firstLineChars="0"/>
        <w:rPr>
          <w:rFonts w:hint="default"/>
          <w:color w:val="auto"/>
          <w:highlight w:val="none"/>
        </w:rPr>
      </w:pPr>
      <w:r>
        <w:rPr>
          <w:rFonts w:hint="default"/>
          <w:color w:val="auto"/>
          <w:highlight w:val="none"/>
          <w:lang w:val="en-US" w:eastAsia="zh-CN"/>
        </w:rPr>
        <w:t>地下水</w:t>
      </w:r>
    </w:p>
    <w:p w14:paraId="456B0947">
      <w:pPr>
        <w:pStyle w:val="6"/>
        <w:bidi w:val="0"/>
        <w:ind w:left="0" w:leftChars="0" w:firstLine="0" w:firstLineChars="0"/>
        <w:rPr>
          <w:rFonts w:hint="default" w:ascii="Times New Roman" w:hAnsi="Times New Roman" w:eastAsia="黑体" w:cs="Times New Roman"/>
          <w:b/>
          <w:bCs/>
          <w:color w:val="auto"/>
          <w:highlight w:val="none"/>
          <w:lang w:eastAsia="zh-CN"/>
        </w:rPr>
      </w:pPr>
      <w:r>
        <w:rPr>
          <w:rFonts w:hint="eastAsia" w:eastAsia="黑体" w:cs="Times New Roman"/>
          <w:b/>
          <w:bCs/>
          <w:color w:val="auto"/>
          <w:highlight w:val="none"/>
          <w:lang w:val="en-US" w:eastAsia="zh-CN"/>
        </w:rPr>
        <w:t xml:space="preserve"> 区域地下水环境</w:t>
      </w:r>
    </w:p>
    <w:p w14:paraId="39821ACA">
      <w:pPr>
        <w:pStyle w:val="684"/>
        <w:ind w:firstLine="453"/>
        <w:rPr>
          <w:rFonts w:hint="default"/>
          <w:color w:val="auto"/>
          <w:highlight w:val="none"/>
          <w:lang w:eastAsia="zh-CN"/>
        </w:rPr>
      </w:pPr>
      <w:r>
        <w:rPr>
          <w:rFonts w:hint="default" w:ascii="Times New Roman" w:hAnsi="Times New Roman" w:eastAsia="宋体" w:cs="Times New Roman"/>
          <w:b w:val="0"/>
          <w:bCs w:val="0"/>
          <w:color w:val="auto"/>
          <w:sz w:val="24"/>
          <w:szCs w:val="24"/>
          <w:highlight w:val="none"/>
        </w:rPr>
        <w:t>钦州市地下水不甚丰富，类型也单一，境内地下水基本上属碎屑岩类孔隙水，在钦州城区附近及河流两侧、第四纪覆盖层有少量松散岩类孔隙潜水。地下水分布规律一般南部地区比北部地区稍多，越往北地下水越少，但各地有差异；北部新棠一带为红色碎屑岩类孔隙裂隙水，富水度甚弱，岩相接触和断层破碎带地下水较少；沙埠、康熙岭一带岩相为粉砂岩、细质砂岩，裂缝不发育，富水程度弱，一般为30～50m浅层地下，涌水量每昼夜为40～60m³左右。钦州市区附近的地下水稍微丰富，单井最大出水量每昼夜可达1200m³，地下水的径流模数为6～12L/s·k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rPr>
        <w:t>，但南部沿海局部地区水量贫乏。钦州市境内地下水主要接受大气降水和各种地表水体的渗入补给，与钦江、茅岭江、大风江有互相补给的关系。在雨季，河流水位较高，补给地下水。而在旱季，地下水水位高于三江水位，地下水补给三江河水。</w:t>
      </w:r>
    </w:p>
    <w:p w14:paraId="4CD51751">
      <w:pPr>
        <w:pStyle w:val="6"/>
        <w:bidi w:val="0"/>
        <w:ind w:left="0" w:leftChars="0" w:firstLine="0" w:firstLineChars="0"/>
        <w:rPr>
          <w:rFonts w:hint="default" w:ascii="Times New Roman" w:hAnsi="Times New Roman" w:eastAsia="黑体" w:cs="Times New Roman"/>
          <w:b/>
          <w:bCs/>
          <w:color w:val="auto"/>
          <w:highlight w:val="none"/>
          <w:lang w:eastAsia="zh-CN"/>
        </w:rPr>
      </w:pPr>
      <w:r>
        <w:rPr>
          <w:rFonts w:hint="eastAsia" w:eastAsia="黑体" w:cs="Times New Roman"/>
          <w:b/>
          <w:bCs/>
          <w:color w:val="auto"/>
          <w:highlight w:val="none"/>
          <w:lang w:val="en-US" w:eastAsia="zh-CN"/>
        </w:rPr>
        <w:t>地下水类型及富水性</w:t>
      </w:r>
    </w:p>
    <w:p w14:paraId="464D8993">
      <w:pPr>
        <w:pStyle w:val="684"/>
        <w:numPr>
          <w:ilvl w:val="0"/>
          <w:numId w:val="35"/>
        </w:numPr>
        <w:ind w:firstLine="453"/>
        <w:rPr>
          <w:rFonts w:hint="default" w:ascii="Times New Roman" w:hAnsi="Times New Roman" w:cs="Times New Roman"/>
          <w:b w:val="0"/>
          <w:bCs w:val="0"/>
          <w:color w:val="auto"/>
          <w:highlight w:val="none"/>
          <w:lang w:eastAsia="zh-CN"/>
        </w:rPr>
      </w:pPr>
      <w:r>
        <w:rPr>
          <w:rFonts w:hint="default" w:ascii="Times New Roman" w:hAnsi="Times New Roman" w:cs="Times New Roman"/>
          <w:b w:val="0"/>
          <w:bCs w:val="0"/>
          <w:color w:val="auto"/>
          <w:highlight w:val="none"/>
          <w:lang w:eastAsia="zh-CN"/>
        </w:rPr>
        <w:t>地下水概况</w:t>
      </w:r>
    </w:p>
    <w:p w14:paraId="3AB69A40">
      <w:pPr>
        <w:pStyle w:val="684"/>
        <w:ind w:firstLine="453"/>
        <w:rPr>
          <w:rFonts w:hint="eastAsia" w:ascii="Times New Roman" w:cs="Times New Roman"/>
          <w:color w:val="auto"/>
          <w:highlight w:val="none"/>
          <w:u w:val="single"/>
          <w:lang w:eastAsia="zh-CN"/>
        </w:rPr>
      </w:pPr>
      <w:r>
        <w:rPr>
          <w:rFonts w:hint="eastAsia" w:ascii="Times New Roman" w:cs="Times New Roman"/>
          <w:color w:val="auto"/>
          <w:highlight w:val="none"/>
          <w:lang w:eastAsia="zh-CN"/>
        </w:rPr>
        <w:t>项目所在区域</w:t>
      </w:r>
      <w:r>
        <w:rPr>
          <w:rFonts w:hint="default" w:ascii="Times New Roman" w:hAnsi="Times New Roman" w:cs="Times New Roman"/>
          <w:color w:val="auto"/>
          <w:highlight w:val="none"/>
          <w:lang w:eastAsia="zh-CN"/>
        </w:rPr>
        <w:t>地下水主要为潜水，水量一般，补给来源主要为地表水下渗和地下径流。</w:t>
      </w:r>
      <w:r>
        <w:rPr>
          <w:rFonts w:hint="eastAsia" w:ascii="Times New Roman" w:cs="Times New Roman"/>
          <w:color w:val="auto"/>
          <w:highlight w:val="none"/>
          <w:lang w:eastAsia="zh-CN"/>
        </w:rPr>
        <w:t>根据</w:t>
      </w:r>
      <w:r>
        <w:rPr>
          <w:rFonts w:hint="eastAsia" w:ascii="Times New Roman" w:hAnsi="Times New Roman" w:eastAsia="宋体" w:cs="Times New Roman"/>
          <w:color w:val="auto"/>
          <w:highlight w:val="none"/>
          <w:u w:val="single"/>
          <w:lang w:val="en-US" w:eastAsia="zh-CN"/>
        </w:rPr>
        <w:t>《钦州港新型城乡融合发展示范区（自贸新城）排水改造工程</w:t>
      </w:r>
      <w:r>
        <w:rPr>
          <w:rFonts w:hint="eastAsia" w:ascii="Times New Roman" w:cs="Times New Roman"/>
          <w:color w:val="auto"/>
          <w:highlight w:val="none"/>
          <w:u w:val="single"/>
          <w:lang w:val="en-US" w:eastAsia="zh-CN"/>
        </w:rPr>
        <w:t>岩土工程详细勘查报告</w:t>
      </w:r>
      <w:r>
        <w:rPr>
          <w:rFonts w:hint="eastAsia" w:ascii="Times New Roman" w:hAnsi="Times New Roman" w:eastAsia="宋体" w:cs="Times New Roman"/>
          <w:color w:val="auto"/>
          <w:highlight w:val="none"/>
          <w:u w:val="single"/>
          <w:lang w:val="en-US" w:eastAsia="zh-CN"/>
        </w:rPr>
        <w:t>》</w:t>
      </w:r>
      <w:r>
        <w:rPr>
          <w:rFonts w:hint="eastAsia" w:ascii="Times New Roman" w:cs="Times New Roman"/>
          <w:color w:val="auto"/>
          <w:highlight w:val="none"/>
          <w:u w:val="single"/>
          <w:lang w:val="en-US" w:eastAsia="zh-CN"/>
        </w:rPr>
        <w:t>（中间资料）</w:t>
      </w:r>
      <w:r>
        <w:rPr>
          <w:rFonts w:hint="eastAsia" w:ascii="Times New Roman" w:cs="Times New Roman"/>
          <w:color w:val="auto"/>
          <w:highlight w:val="none"/>
          <w:u w:val="single"/>
          <w:lang w:eastAsia="zh-CN"/>
        </w:rPr>
        <w:t xml:space="preserve">，在钻探深度范围内，场地地下水主要为裸露地表水。主要赋存于原地貌低洼处，受大气降水补给和潮汐影响，透水层不均匀。该层地下水水量丰富且动态不稳定。 </w:t>
      </w:r>
    </w:p>
    <w:p w14:paraId="3BB73876">
      <w:pPr>
        <w:pStyle w:val="684"/>
        <w:ind w:firstLine="453"/>
        <w:rPr>
          <w:rFonts w:hint="default" w:ascii="Times New Roman" w:hAnsi="Times New Roman" w:cs="Times New Roman"/>
          <w:color w:val="auto"/>
          <w:highlight w:val="none"/>
          <w:u w:val="single"/>
          <w:lang w:eastAsia="zh-CN"/>
        </w:rPr>
      </w:pPr>
      <w:r>
        <w:rPr>
          <w:rFonts w:hint="eastAsia" w:ascii="Times New Roman" w:cs="Times New Roman"/>
          <w:color w:val="auto"/>
          <w:highlight w:val="none"/>
          <w:u w:val="single"/>
          <w:lang w:eastAsia="zh-CN"/>
        </w:rPr>
        <w:t>参照旁侧《钦州港大蚝（水产）交易市场项目》的水腐蚀性分析结果，</w:t>
      </w:r>
      <w:r>
        <w:rPr>
          <w:rFonts w:hint="default" w:ascii="Times New Roman" w:hAnsi="Times New Roman" w:cs="Times New Roman"/>
          <w:color w:val="auto"/>
          <w:highlight w:val="none"/>
          <w:u w:val="single"/>
          <w:lang w:eastAsia="zh-CN"/>
        </w:rPr>
        <w:t>场地</w:t>
      </w:r>
      <w:r>
        <w:rPr>
          <w:rFonts w:hint="eastAsia" w:ascii="Times New Roman" w:cs="Times New Roman"/>
          <w:color w:val="auto"/>
          <w:highlight w:val="none"/>
          <w:u w:val="single"/>
          <w:lang w:eastAsia="zh-CN"/>
        </w:rPr>
        <w:t>地下水</w:t>
      </w:r>
      <w:r>
        <w:rPr>
          <w:rFonts w:hint="default" w:ascii="Times New Roman" w:hAnsi="Times New Roman" w:cs="Times New Roman"/>
          <w:color w:val="auto"/>
          <w:highlight w:val="none"/>
          <w:u w:val="single"/>
          <w:lang w:eastAsia="zh-CN"/>
        </w:rPr>
        <w:t>对混凝土结构有微腐蚀性，对钢筋混凝土结构中钢筋有</w:t>
      </w:r>
      <w:r>
        <w:rPr>
          <w:rFonts w:hint="eastAsia" w:ascii="Times New Roman" w:cs="Times New Roman"/>
          <w:color w:val="auto"/>
          <w:highlight w:val="none"/>
          <w:u w:val="single"/>
          <w:lang w:eastAsia="zh-CN"/>
        </w:rPr>
        <w:t>中</w:t>
      </w:r>
      <w:r>
        <w:rPr>
          <w:rFonts w:hint="default" w:ascii="Times New Roman" w:hAnsi="Times New Roman" w:cs="Times New Roman"/>
          <w:color w:val="auto"/>
          <w:highlight w:val="none"/>
          <w:u w:val="single"/>
          <w:lang w:eastAsia="zh-CN"/>
        </w:rPr>
        <w:t>腐蚀性。填土对混凝土结构具微腐蚀性、对钢筋混凝土结构中钢筋有微腐蚀性。</w:t>
      </w:r>
    </w:p>
    <w:p w14:paraId="7B365FA9">
      <w:pPr>
        <w:pStyle w:val="684"/>
        <w:numPr>
          <w:ilvl w:val="0"/>
          <w:numId w:val="35"/>
        </w:numPr>
        <w:ind w:firstLine="453"/>
        <w:rPr>
          <w:rFonts w:hint="default" w:ascii="Times New Roman" w:hAnsi="Times New Roman" w:cs="Times New Roman"/>
          <w:b w:val="0"/>
          <w:bCs w:val="0"/>
          <w:color w:val="auto"/>
          <w:highlight w:val="none"/>
          <w:lang w:eastAsia="zh-CN"/>
        </w:rPr>
      </w:pPr>
      <w:bookmarkStart w:id="63" w:name="_Toc344550666"/>
      <w:r>
        <w:rPr>
          <w:rFonts w:hint="default" w:ascii="Times New Roman" w:hAnsi="Times New Roman" w:cs="Times New Roman"/>
          <w:b w:val="0"/>
          <w:bCs w:val="0"/>
          <w:color w:val="auto"/>
          <w:highlight w:val="none"/>
          <w:lang w:eastAsia="zh-CN"/>
        </w:rPr>
        <w:t>含水岩组及分布特征</w:t>
      </w:r>
      <w:bookmarkEnd w:id="63"/>
    </w:p>
    <w:p w14:paraId="41A7E08C">
      <w:pPr>
        <w:pStyle w:val="410"/>
        <w:rPr>
          <w:rFonts w:hint="default" w:ascii="Times New Roman" w:hAnsi="Times New Roman" w:eastAsia="宋体" w:cs="Times New Roman"/>
          <w:color w:val="auto"/>
          <w:highlight w:val="none"/>
          <w:lang w:eastAsia="zh-CN"/>
        </w:rPr>
      </w:pPr>
      <w:r>
        <w:rPr>
          <w:rFonts w:hint="eastAsia" w:ascii="Times New Roman" w:cs="Times New Roman"/>
          <w:color w:val="auto"/>
          <w:highlight w:val="none"/>
          <w:u w:val="single"/>
          <w:lang w:eastAsia="zh-CN"/>
        </w:rPr>
        <w:t>根据</w:t>
      </w:r>
      <w:r>
        <w:rPr>
          <w:rFonts w:hint="eastAsia" w:ascii="Times New Roman" w:cs="Times New Roman"/>
          <w:color w:val="auto"/>
          <w:highlight w:val="none"/>
          <w:u w:val="single"/>
          <w:lang w:val="en-US" w:eastAsia="zh-CN"/>
        </w:rPr>
        <w:t>1:200000</w:t>
      </w:r>
      <w:r>
        <w:rPr>
          <w:rFonts w:hint="eastAsia" w:ascii="Times New Roman" w:cs="Times New Roman"/>
          <w:color w:val="auto"/>
          <w:highlight w:val="none"/>
          <w:u w:val="single"/>
          <w:lang w:eastAsia="zh-CN"/>
        </w:rPr>
        <w:t>《区域水文地质普查报告》钦州合浦幅，</w:t>
      </w:r>
      <w:r>
        <w:rPr>
          <w:rFonts w:hint="default" w:ascii="Times New Roman" w:hAnsi="Times New Roman" w:eastAsia="宋体" w:cs="Times New Roman"/>
          <w:color w:val="auto"/>
          <w:highlight w:val="none"/>
          <w:lang w:eastAsia="zh-CN"/>
        </w:rPr>
        <w:t>评价区含水岩</w:t>
      </w:r>
      <w:r>
        <w:rPr>
          <w:rFonts w:hint="eastAsia" w:ascii="Times New Roman" w:hAnsi="Times New Roman" w:eastAsia="宋体" w:cs="Times New Roman"/>
          <w:color w:val="auto"/>
          <w:highlight w:val="none"/>
          <w:lang w:val="en-US" w:eastAsia="zh-CN"/>
        </w:rPr>
        <w:t>主要为</w:t>
      </w:r>
      <w:r>
        <w:rPr>
          <w:rFonts w:hint="default" w:ascii="Times New Roman" w:hAnsi="Times New Roman" w:eastAsia="宋体" w:cs="Times New Roman"/>
          <w:color w:val="auto"/>
          <w:highlight w:val="none"/>
          <w:lang w:eastAsia="zh-CN"/>
        </w:rPr>
        <w:t>松散岩类含水岩组</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松散岩类含水岩组为现代海相沉积（Q</w:t>
      </w:r>
      <w:r>
        <w:rPr>
          <w:rFonts w:hint="default" w:ascii="Times New Roman" w:hAnsi="Times New Roman" w:eastAsia="宋体" w:cs="Times New Roman"/>
          <w:color w:val="auto"/>
          <w:highlight w:val="none"/>
          <w:vertAlign w:val="subscript"/>
          <w:lang w:eastAsia="zh-CN"/>
        </w:rPr>
        <w:t>4－2</w:t>
      </w:r>
      <w:r>
        <w:rPr>
          <w:rFonts w:hint="default" w:ascii="Times New Roman" w:hAnsi="Times New Roman" w:eastAsia="宋体" w:cs="Times New Roman"/>
          <w:color w:val="auto"/>
          <w:highlight w:val="none"/>
          <w:vertAlign w:val="superscript"/>
          <w:lang w:eastAsia="zh-CN"/>
        </w:rPr>
        <w:t>m</w:t>
      </w:r>
      <w:r>
        <w:rPr>
          <w:rFonts w:hint="default" w:ascii="Times New Roman" w:hAnsi="Times New Roman" w:eastAsia="宋体" w:cs="Times New Roman"/>
          <w:color w:val="auto"/>
          <w:highlight w:val="none"/>
          <w:lang w:eastAsia="zh-CN"/>
        </w:rPr>
        <w:t>），岩性为砂质淤泥或淤泥质砂层，主要分布于南部淡水湾一带沿海滩涂，主要为潮间带沉积，分布面积小。</w:t>
      </w:r>
    </w:p>
    <w:p w14:paraId="72550594">
      <w:pPr>
        <w:pStyle w:val="684"/>
        <w:numPr>
          <w:ilvl w:val="0"/>
          <w:numId w:val="35"/>
        </w:numPr>
        <w:ind w:firstLine="453"/>
        <w:rPr>
          <w:rFonts w:hint="default" w:ascii="Times New Roman" w:hAnsi="Times New Roman" w:cs="Times New Roman"/>
          <w:b w:val="0"/>
          <w:bCs w:val="0"/>
          <w:color w:val="auto"/>
          <w:highlight w:val="none"/>
          <w:lang w:eastAsia="zh-CN"/>
        </w:rPr>
      </w:pPr>
      <w:r>
        <w:rPr>
          <w:rFonts w:hint="default" w:ascii="Times New Roman" w:hAnsi="Times New Roman" w:cs="Times New Roman"/>
          <w:b w:val="0"/>
          <w:bCs w:val="0"/>
          <w:color w:val="auto"/>
          <w:highlight w:val="none"/>
          <w:lang w:eastAsia="zh-CN"/>
        </w:rPr>
        <w:t>地下水类型及富水性</w:t>
      </w:r>
    </w:p>
    <w:p w14:paraId="4DA7C8BE">
      <w:pPr>
        <w:pStyle w:val="410"/>
        <w:rPr>
          <w:rFonts w:hint="default" w:ascii="Times New Roman" w:hAnsi="Times New Roman" w:eastAsia="宋体" w:cs="Times New Roman"/>
          <w:color w:val="auto"/>
          <w:highlight w:val="none"/>
          <w:lang w:eastAsia="zh-CN"/>
        </w:rPr>
      </w:pPr>
      <w:r>
        <w:rPr>
          <w:rFonts w:hint="eastAsia" w:ascii="Times New Roman" w:cs="Times New Roman"/>
          <w:color w:val="auto"/>
          <w:highlight w:val="none"/>
          <w:u w:val="single"/>
          <w:lang w:val="en-US" w:eastAsia="zh-CN"/>
        </w:rPr>
        <w:t>1:20000</w:t>
      </w:r>
      <w:r>
        <w:rPr>
          <w:rFonts w:hint="eastAsia" w:ascii="Times New Roman" w:cs="Times New Roman"/>
          <w:color w:val="auto"/>
          <w:highlight w:val="none"/>
          <w:u w:val="single"/>
          <w:lang w:eastAsia="zh-CN"/>
        </w:rPr>
        <w:t>《区域水文地质普查报告》钦州合浦幅，</w:t>
      </w:r>
      <w:r>
        <w:rPr>
          <w:rFonts w:hint="default" w:ascii="Times New Roman" w:hAnsi="Times New Roman" w:eastAsia="宋体" w:cs="Times New Roman"/>
          <w:color w:val="auto"/>
          <w:highlight w:val="none"/>
          <w:lang w:eastAsia="zh-CN"/>
        </w:rPr>
        <w:t>松散岩类孔隙水地下水赋存于评价区南部</w:t>
      </w:r>
      <w:r>
        <w:rPr>
          <w:rFonts w:hint="eastAsia" w:ascii="Times New Roman" w:cs="Times New Roman"/>
          <w:color w:val="auto"/>
          <w:highlight w:val="none"/>
          <w:lang w:val="en-US" w:eastAsia="zh-CN"/>
        </w:rPr>
        <w:t xml:space="preserve"> </w:t>
      </w:r>
      <w:r>
        <w:rPr>
          <w:rFonts w:hint="default" w:ascii="Times New Roman" w:hAnsi="Times New Roman" w:eastAsia="宋体" w:cs="Times New Roman"/>
          <w:color w:val="auto"/>
          <w:highlight w:val="none"/>
          <w:lang w:eastAsia="zh-CN"/>
        </w:rPr>
        <w:t>现代海相沉积（Q</w:t>
      </w:r>
      <w:r>
        <w:rPr>
          <w:rFonts w:hint="default" w:ascii="Times New Roman" w:hAnsi="Times New Roman" w:eastAsia="宋体" w:cs="Times New Roman"/>
          <w:color w:val="auto"/>
          <w:highlight w:val="none"/>
          <w:vertAlign w:val="subscript"/>
          <w:lang w:eastAsia="zh-CN"/>
        </w:rPr>
        <w:t>4－2</w:t>
      </w:r>
      <w:r>
        <w:rPr>
          <w:rFonts w:hint="default" w:ascii="Times New Roman" w:hAnsi="Times New Roman" w:eastAsia="宋体" w:cs="Times New Roman"/>
          <w:color w:val="auto"/>
          <w:highlight w:val="none"/>
          <w:vertAlign w:val="superscript"/>
          <w:lang w:eastAsia="zh-CN"/>
        </w:rPr>
        <w:t>m</w:t>
      </w:r>
      <w:r>
        <w:rPr>
          <w:rFonts w:hint="default" w:ascii="Times New Roman" w:hAnsi="Times New Roman" w:eastAsia="宋体" w:cs="Times New Roman"/>
          <w:color w:val="auto"/>
          <w:highlight w:val="none"/>
          <w:lang w:eastAsia="zh-CN"/>
        </w:rPr>
        <w:t>）地层孔隙中，单孔涌水量区间值为2.04～167.0t/d，平均47.57t/d；泉流量区间值为0.079～3.59L/S，平均0.861L/S；富水性等级为贫乏。</w:t>
      </w:r>
    </w:p>
    <w:p w14:paraId="27D44405">
      <w:pPr>
        <w:pStyle w:val="6"/>
        <w:bidi w:val="0"/>
        <w:ind w:left="0" w:leftChars="0" w:firstLine="0" w:firstLineChars="0"/>
        <w:rPr>
          <w:rFonts w:hint="default" w:ascii="Times New Roman" w:hAnsi="Times New Roman" w:eastAsia="宋体" w:cs="Times New Roman"/>
          <w:color w:val="auto"/>
          <w:highlight w:val="none"/>
          <w:lang w:eastAsia="zh-CN"/>
        </w:rPr>
      </w:pPr>
      <w:r>
        <w:rPr>
          <w:rFonts w:hint="eastAsia" w:eastAsia="宋体" w:cs="Times New Roman"/>
          <w:color w:val="auto"/>
          <w:highlight w:val="none"/>
          <w:lang w:val="en-US" w:eastAsia="zh-CN"/>
        </w:rPr>
        <w:t>地下水的补给、径流、排泄条件</w:t>
      </w:r>
    </w:p>
    <w:p w14:paraId="482D94F4">
      <w:pPr>
        <w:pStyle w:val="410"/>
        <w:numPr>
          <w:ilvl w:val="0"/>
          <w:numId w:val="36"/>
        </w:numPr>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补给条件</w:t>
      </w:r>
    </w:p>
    <w:p w14:paraId="16DA27D7">
      <w:pPr>
        <w:pStyle w:val="410"/>
        <w:rPr>
          <w:rFonts w:hint="eastAsia" w:ascii="Times New Roman"/>
          <w:color w:val="auto"/>
          <w:highlight w:val="none"/>
          <w:u w:val="single"/>
          <w:lang w:eastAsia="zh-CN"/>
        </w:rPr>
      </w:pPr>
      <w:r>
        <w:rPr>
          <w:rFonts w:ascii="Times New Roman" w:hAnsi="Times New Roman"/>
          <w:color w:val="auto"/>
          <w:kern w:val="0"/>
          <w:highlight w:val="none"/>
        </w:rPr>
        <w:t>松散岩类孔隙水</w:t>
      </w:r>
      <w:r>
        <w:rPr>
          <w:rFonts w:ascii="Times New Roman" w:hAnsi="Times New Roman"/>
          <w:color w:val="auto"/>
          <w:highlight w:val="none"/>
        </w:rPr>
        <w:t>主要赋存于滨海沿岸地带松散岩类含水岩组中，直接受降水的垂向入渗补给由于地势平坦，补给条件良好，据1：20万钦州合浦幅区域水文地质普查报告观测资料，大气降水入渗系数达到0.26。</w:t>
      </w:r>
      <w:r>
        <w:rPr>
          <w:rFonts w:hint="eastAsia" w:ascii="Times New Roman" w:hAnsi="Times New Roman"/>
          <w:color w:val="auto"/>
          <w:highlight w:val="none"/>
          <w:u w:val="single"/>
        </w:rPr>
        <w:t>根据场地岩土条件及邻近建筑经验，并参考《工程地质手册》（第五版）提供各岩土层渗透系数参考值如下表</w:t>
      </w:r>
      <w:r>
        <w:rPr>
          <w:rFonts w:hint="eastAsia" w:ascii="Times New Roman"/>
          <w:color w:val="auto"/>
          <w:highlight w:val="none"/>
          <w:u w:val="single"/>
          <w:lang w:eastAsia="zh-CN"/>
        </w:rPr>
        <w:t>。</w:t>
      </w:r>
    </w:p>
    <w:p w14:paraId="388B7F38">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jc w:val="center"/>
        <w:textAlignment w:val="auto"/>
        <w:rPr>
          <w:rFonts w:hint="eastAsia" w:ascii="Times New Roman"/>
          <w:color w:val="auto"/>
          <w:highlight w:val="none"/>
          <w:u w:val="single"/>
          <w:lang w:eastAsia="zh-CN"/>
        </w:rPr>
      </w:pPr>
      <w:r>
        <w:rPr>
          <w:rFonts w:hint="eastAsia" w:ascii="Times New Roman"/>
          <w:color w:val="auto"/>
          <w:highlight w:val="none"/>
          <w:u w:val="single"/>
          <w:lang w:eastAsia="zh-CN"/>
        </w:rPr>
        <w:t>各地层透水系数参考值表</w:t>
      </w:r>
    </w:p>
    <w:tbl>
      <w:tblPr>
        <w:tblStyle w:val="8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62"/>
        <w:gridCol w:w="2057"/>
        <w:gridCol w:w="2142"/>
        <w:gridCol w:w="2763"/>
      </w:tblGrid>
      <w:tr w14:paraId="58E7A6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55" w:type="pct"/>
            <w:noWrap w:val="0"/>
            <w:vAlign w:val="center"/>
          </w:tcPr>
          <w:p w14:paraId="37CE4B32">
            <w:pPr>
              <w:spacing w:line="24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地层编号</w:t>
            </w:r>
          </w:p>
        </w:tc>
        <w:tc>
          <w:tcPr>
            <w:tcW w:w="1165" w:type="pct"/>
            <w:noWrap w:val="0"/>
            <w:vAlign w:val="center"/>
          </w:tcPr>
          <w:p w14:paraId="1559375E">
            <w:pPr>
              <w:spacing w:line="24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素</w:t>
            </w:r>
            <w:r>
              <w:rPr>
                <w:rFonts w:hint="default" w:ascii="Times New Roman" w:hAnsi="Times New Roman" w:eastAsia="宋体" w:cs="Times New Roman"/>
                <w:b/>
                <w:bCs/>
                <w:color w:val="auto"/>
                <w:sz w:val="21"/>
                <w:szCs w:val="21"/>
                <w:highlight w:val="none"/>
              </w:rPr>
              <w:t>填土①</w:t>
            </w:r>
          </w:p>
        </w:tc>
        <w:tc>
          <w:tcPr>
            <w:tcW w:w="1213" w:type="pct"/>
            <w:noWrap w:val="0"/>
            <w:vAlign w:val="center"/>
          </w:tcPr>
          <w:p w14:paraId="53E99360">
            <w:pPr>
              <w:spacing w:line="240" w:lineRule="exact"/>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淤泥质砂土</w:t>
            </w:r>
            <w:r>
              <w:rPr>
                <w:rFonts w:hint="default" w:ascii="Times New Roman" w:hAnsi="Times New Roman" w:eastAsia="宋体" w:cs="Times New Roman"/>
                <w:b/>
                <w:bCs/>
                <w:color w:val="auto"/>
                <w:sz w:val="21"/>
                <w:szCs w:val="21"/>
                <w:highlight w:val="none"/>
              </w:rPr>
              <w:t>②</w:t>
            </w:r>
          </w:p>
        </w:tc>
        <w:tc>
          <w:tcPr>
            <w:tcW w:w="1565" w:type="pct"/>
            <w:noWrap w:val="0"/>
            <w:vAlign w:val="center"/>
          </w:tcPr>
          <w:p w14:paraId="78B92CC3">
            <w:pPr>
              <w:spacing w:line="240" w:lineRule="exact"/>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eastAsia="zh-CN"/>
              </w:rPr>
              <w:t>强风化砂岩</w:t>
            </w:r>
            <w:r>
              <w:rPr>
                <w:rFonts w:hint="default" w:ascii="Times New Roman" w:hAnsi="Times New Roman" w:eastAsia="宋体" w:cs="Times New Roman"/>
                <w:b/>
                <w:bCs/>
                <w:color w:val="auto"/>
                <w:sz w:val="21"/>
                <w:szCs w:val="21"/>
                <w:highlight w:val="none"/>
                <w:lang w:val="en-US" w:eastAsia="zh-CN"/>
              </w:rPr>
              <w:t>③</w:t>
            </w:r>
          </w:p>
        </w:tc>
      </w:tr>
      <w:tr w14:paraId="49238B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55" w:type="pct"/>
            <w:noWrap w:val="0"/>
            <w:vAlign w:val="center"/>
          </w:tcPr>
          <w:p w14:paraId="3C0CBEB5">
            <w:pPr>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渗透系数（m∕d）</w:t>
            </w:r>
          </w:p>
        </w:tc>
        <w:tc>
          <w:tcPr>
            <w:tcW w:w="1165" w:type="pct"/>
            <w:noWrap w:val="0"/>
            <w:vAlign w:val="center"/>
          </w:tcPr>
          <w:p w14:paraId="60D3D40C">
            <w:pPr>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1213" w:type="pct"/>
            <w:noWrap w:val="0"/>
            <w:vAlign w:val="center"/>
          </w:tcPr>
          <w:p w14:paraId="7372CEF0">
            <w:pPr>
              <w:spacing w:line="24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01</w:t>
            </w:r>
            <w:r>
              <w:rPr>
                <w:rFonts w:hint="default" w:ascii="Times New Roman" w:hAnsi="Times New Roman" w:eastAsia="宋体" w:cs="Times New Roman"/>
                <w:color w:val="auto"/>
                <w:sz w:val="21"/>
                <w:szCs w:val="21"/>
                <w:highlight w:val="none"/>
              </w:rPr>
              <w:t>-0.0</w:t>
            </w:r>
            <w:r>
              <w:rPr>
                <w:rFonts w:hint="default" w:ascii="Times New Roman" w:hAnsi="Times New Roman" w:eastAsia="宋体" w:cs="Times New Roman"/>
                <w:color w:val="auto"/>
                <w:sz w:val="21"/>
                <w:szCs w:val="21"/>
                <w:highlight w:val="none"/>
                <w:lang w:val="en-US" w:eastAsia="zh-CN"/>
              </w:rPr>
              <w:t>5</w:t>
            </w:r>
          </w:p>
        </w:tc>
        <w:tc>
          <w:tcPr>
            <w:tcW w:w="1565" w:type="pct"/>
            <w:noWrap w:val="0"/>
            <w:vAlign w:val="center"/>
          </w:tcPr>
          <w:p w14:paraId="29094786">
            <w:pPr>
              <w:spacing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1.0～5.0</w:t>
            </w:r>
          </w:p>
        </w:tc>
      </w:tr>
      <w:tr w14:paraId="132405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55" w:type="pct"/>
            <w:noWrap w:val="0"/>
            <w:vAlign w:val="center"/>
          </w:tcPr>
          <w:p w14:paraId="6438CEC0">
            <w:pPr>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透水类别</w:t>
            </w:r>
          </w:p>
        </w:tc>
        <w:tc>
          <w:tcPr>
            <w:tcW w:w="1165" w:type="pct"/>
            <w:noWrap w:val="0"/>
            <w:vAlign w:val="center"/>
          </w:tcPr>
          <w:p w14:paraId="0ABE887C">
            <w:pPr>
              <w:spacing w:line="240" w:lineRule="exact"/>
              <w:jc w:val="center"/>
              <w:rPr>
                <w:rFonts w:hint="default" w:ascii="Times New Roman" w:hAnsi="Times New Roman" w:eastAsia="宋体" w:cs="Times New Roman"/>
                <w:color w:val="auto"/>
                <w:sz w:val="21"/>
                <w:szCs w:val="21"/>
                <w:highlight w:val="none"/>
                <w:vertAlign w:val="subscript"/>
              </w:rPr>
            </w:pPr>
            <w:r>
              <w:rPr>
                <w:rFonts w:hint="default" w:ascii="Times New Roman" w:hAnsi="Times New Roman" w:eastAsia="宋体" w:cs="Times New Roman"/>
                <w:color w:val="auto"/>
                <w:sz w:val="21"/>
                <w:szCs w:val="21"/>
                <w:highlight w:val="none"/>
              </w:rPr>
              <w:t>强透水层</w:t>
            </w:r>
          </w:p>
        </w:tc>
        <w:tc>
          <w:tcPr>
            <w:tcW w:w="1213" w:type="pct"/>
            <w:noWrap w:val="0"/>
            <w:vAlign w:val="center"/>
          </w:tcPr>
          <w:p w14:paraId="1853BC80">
            <w:pPr>
              <w:spacing w:line="2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弱透水</w:t>
            </w:r>
          </w:p>
        </w:tc>
        <w:tc>
          <w:tcPr>
            <w:tcW w:w="1565" w:type="pct"/>
            <w:noWrap w:val="0"/>
            <w:vAlign w:val="center"/>
          </w:tcPr>
          <w:p w14:paraId="7B7CA0C2">
            <w:pPr>
              <w:spacing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中等透水</w:t>
            </w:r>
          </w:p>
        </w:tc>
      </w:tr>
    </w:tbl>
    <w:p w14:paraId="3BCB2645">
      <w:pPr>
        <w:pStyle w:val="410"/>
        <w:numPr>
          <w:ilvl w:val="0"/>
          <w:numId w:val="36"/>
        </w:numPr>
        <w:ind w:left="0" w:leftChars="0" w:firstLine="454" w:firstLineChars="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径流、排泄特征</w:t>
      </w:r>
    </w:p>
    <w:p w14:paraId="63506D5B">
      <w:pPr>
        <w:pStyle w:val="410"/>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评价区松散岩类孔隙水仅分布于南部淡水湾、钦州湾一带沿海滩涂，范围较小，地下水通常在含水层中作层状渗流运动，水流受钦州湾潮汐影响显著，涨潮时受海水入浸形成回流，由河口上溯到内河漫滩中，落潮时顺潮流流向由内河漫滩流向海滩，流向大致与岸线或河口湾内水槽的走向平行，通常直接排泄入海，部分在砂堤两侧成泉出露。多为分散式排泄，以散流形式排泄于沟谷、漫滩，具有循环深度浅，径流途径短特点。</w:t>
      </w:r>
    </w:p>
    <w:p w14:paraId="4FB899B5">
      <w:pPr>
        <w:pStyle w:val="6"/>
        <w:bidi w:val="0"/>
        <w:ind w:left="0" w:leftChars="0" w:firstLine="0" w:firstLineChars="0"/>
        <w:rPr>
          <w:rFonts w:hint="eastAsia"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地下水动态特征</w:t>
      </w:r>
    </w:p>
    <w:p w14:paraId="470B28A4">
      <w:pPr>
        <w:pStyle w:val="684"/>
        <w:ind w:firstLine="453"/>
        <w:rPr>
          <w:rFonts w:hint="eastAsia" w:ascii="Times New Roman" w:hAnsi="Times New Roman" w:eastAsia="宋体" w:cs="Times New Roman"/>
          <w:color w:val="auto"/>
          <w:kern w:val="0"/>
          <w:highlight w:val="none"/>
          <w:lang w:val="en-US" w:eastAsia="zh-CN"/>
        </w:rPr>
      </w:pPr>
      <w:r>
        <w:rPr>
          <w:rFonts w:hint="default" w:ascii="Times New Roman" w:cs="Times New Roman"/>
          <w:color w:val="auto"/>
          <w:highlight w:val="none"/>
          <w:u w:val="single"/>
          <w:lang w:eastAsia="zh-CN"/>
        </w:rPr>
        <w:t>勘察期间场地地下水稳定水位埋深0.00～0.51m，高程在-1.31～0.17m,</w:t>
      </w:r>
      <w:r>
        <w:rPr>
          <w:rFonts w:hint="eastAsia" w:ascii="Times New Roman" w:cs="Times New Roman"/>
          <w:color w:val="auto"/>
          <w:highlight w:val="none"/>
          <w:u w:val="single"/>
          <w:lang w:eastAsia="zh-CN"/>
        </w:rPr>
        <w:t>，</w:t>
      </w:r>
      <w:r>
        <w:rPr>
          <w:rFonts w:hint="default" w:ascii="Times New Roman" w:cs="Times New Roman"/>
          <w:color w:val="auto"/>
          <w:highlight w:val="none"/>
          <w:u w:val="single"/>
          <w:lang w:eastAsia="zh-CN"/>
        </w:rPr>
        <w:t>水位涨幅在 1.0-2.0m。，无统一水位（因天气因素，该水位仅作参考），连通性较差，初见水位与稳定水位基本一致。</w:t>
      </w:r>
    </w:p>
    <w:p w14:paraId="57AD49E4">
      <w:pPr>
        <w:pStyle w:val="5"/>
        <w:bidi w:val="0"/>
        <w:ind w:left="452" w:leftChars="0" w:firstLine="0" w:firstLineChars="0"/>
        <w:rPr>
          <w:rFonts w:hint="default"/>
          <w:color w:val="auto"/>
          <w:highlight w:val="none"/>
        </w:rPr>
      </w:pPr>
      <w:r>
        <w:rPr>
          <w:rFonts w:hint="default"/>
          <w:color w:val="auto"/>
          <w:highlight w:val="none"/>
        </w:rPr>
        <w:t>地震</w:t>
      </w:r>
    </w:p>
    <w:p w14:paraId="774B4A5D">
      <w:pPr>
        <w:adjustRightInd w:val="0"/>
        <w:snapToGrid w:val="0"/>
        <w:spacing w:line="360" w:lineRule="auto"/>
        <w:ind w:firstLine="442" w:firstLineChars="20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lang w:val="en-US" w:eastAsia="zh-CN"/>
        </w:rPr>
        <w:t>钦州地处较稳定的南华准地台，自晚第四系至今地震震级均小于5级，表明本地区构造运动较微弱，钦州及其周围地区地壳是稳定的。没有活动性区域性大断裂通过测区，区域稳定性较好。据《中国地震动参数区划图》（GB18306—2015）及《建筑抗震设计规范》（GB50011-2010）附录A，工程区地震动峰值加速度为0.10g，地震动反应谱特征周期为0.35s，相应的地震基本烈度为VⅡ度，工程各建筑物按场地基本烈度7度进行设计。</w:t>
      </w:r>
    </w:p>
    <w:p w14:paraId="74A364DA">
      <w:pPr>
        <w:pStyle w:val="5"/>
        <w:bidi w:val="0"/>
        <w:ind w:left="452" w:leftChars="0" w:firstLine="0" w:firstLineChars="0"/>
        <w:rPr>
          <w:rFonts w:hint="default"/>
          <w:color w:val="auto"/>
          <w:highlight w:val="none"/>
        </w:rPr>
      </w:pPr>
      <w:r>
        <w:rPr>
          <w:rFonts w:hint="default"/>
          <w:color w:val="auto"/>
          <w:highlight w:val="none"/>
          <w:lang w:eastAsia="zh-CN"/>
        </w:rPr>
        <w:t>气象条件</w:t>
      </w:r>
    </w:p>
    <w:p w14:paraId="5587C1AB">
      <w:pPr>
        <w:adjustRightInd w:val="0"/>
        <w:snapToGrid w:val="0"/>
        <w:spacing w:line="360" w:lineRule="auto"/>
        <w:ind w:firstLine="442"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钦州市地处北回归线以南，属亚热带气候区，具有亚热带向热带过渡性质的海洋季风特点。</w:t>
      </w:r>
    </w:p>
    <w:p w14:paraId="12198698">
      <w:pPr>
        <w:adjustRightInd w:val="0"/>
        <w:snapToGrid w:val="0"/>
        <w:spacing w:line="360" w:lineRule="auto"/>
        <w:ind w:firstLine="442"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由于季风环流作用，加之特定的海陆配置和青藏高原的影响，使冬、夏两季控制本地的气团和基本气流截然不同。因此，这里的气候特点是季节变化明显。冬季，受北方干冷的大陆气团控制，干燥且寒冷的气流盛行，形成东北季风，常带来降温、寒潮、冷阴雨和霜冻和偏北大风等天气。夏季，受温暖的海洋气团控制，高温高湿的偏南气流盛行，形成西南或东南季风，常出现阵雨、雷电、暴雨、台风等天气。春、秋季，为季风转换的过渡季节。春季，北方干冷的大陆气团减弱而北退，海洋气团增强北伸，使调查海域雨水渐增，气温回升。秋季，海洋气团开始减弱而南缩，北方冷空气又增强南伸，使气温下降，雨水减少。</w:t>
      </w:r>
    </w:p>
    <w:p w14:paraId="6D168BBC">
      <w:pPr>
        <w:adjustRightInd w:val="0"/>
        <w:snapToGrid w:val="0"/>
        <w:spacing w:line="360" w:lineRule="auto"/>
        <w:ind w:firstLine="442"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海域的气候，除上述季节变化特征外，另一特征是：干湿分明，冬暖夏凉明显。由于冬半年和下半年盛行风的源地不同，随着季风的进退和盛衰，干湿两季十分明显。冬半年（10月～翌年3月），盛行来自大陆的偏北风，温度低而湿度小，雨水稀少，旱象屡见，相对湿度有时可低于5%～10%，此即为干季。夏半年（4月～9月），盛行来自海洋的偏南风，温度高湿度大，雨水较多；相对湿度有时高达93%～80%，甚至可达100%，自然降水较为集中，尤以6月～8月最甚，此即为湿季。在枯水年与丰水年之间，在同一年份的干季与湿季之间，在同一月份甚至在同一天内，降水的阵发性和雨量的多寡差别都很大，这就是该区气候的显著特征。</w:t>
      </w:r>
    </w:p>
    <w:p w14:paraId="32B8F04A">
      <w:pPr>
        <w:adjustRightInd w:val="0"/>
        <w:snapToGrid w:val="0"/>
        <w:spacing w:line="360" w:lineRule="auto"/>
        <w:ind w:firstLine="442"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另一个特点是：太阳辐射约为110千卡/cm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年日照时数为180h左右，年平均气温21～23℃，年总积温7800～8300℃。最热月份是7月，平均气温28～29℃，极端最高气温为37.3℃；最冷月份是1月，平均气温13～15℃，极端最低气温为0℃，绝大部分地区无霜期在350天以</w:t>
      </w:r>
      <w:r>
        <w:rPr>
          <w:rFonts w:hint="default" w:ascii="Times New Roman" w:hAnsi="Times New Roman" w:eastAsia="宋体" w:cs="Times New Roman"/>
          <w:color w:val="auto"/>
          <w:kern w:val="0"/>
          <w:sz w:val="24"/>
          <w:szCs w:val="24"/>
          <w:highlight w:val="none"/>
          <w:lang w:val="en-US" w:eastAsia="zh-CN" w:bidi="ar"/>
        </w:rPr>
        <w:t>上。年平均降雨量在1600mm左右，年雨量以中部和西部最多，</w:t>
      </w:r>
      <w:r>
        <w:rPr>
          <w:rFonts w:hint="default" w:ascii="Times New Roman" w:hAnsi="Times New Roman" w:eastAsia="宋体" w:cs="Times New Roman"/>
          <w:color w:val="auto"/>
          <w:highlight w:val="none"/>
          <w:lang w:val="en-US" w:eastAsia="zh-CN"/>
        </w:rPr>
        <w:t>达1800mm以上。另一个气候特征是灾害性天气较多，灾情频繁出现。主要灾害性天气为灾害风、低温阴雨、暴雨、冰雹、干旱以及冻害天气等。寒潮的入侵，北部一般在11月至次年3月，南部在12月至翌年2月。干旱，主要是春旱和秋旱。春旱较多，出现在3月上旬至4月中旬。秋旱出现在9～10月间。洪涝灾害主要是6月份的―龙舟水‖，以及7月下旬至8月上旬―泛秋水‖。台风，主要集中在7月中旬至9月上旬。</w:t>
      </w:r>
    </w:p>
    <w:p w14:paraId="5A2CBE16">
      <w:pPr>
        <w:numPr>
          <w:ilvl w:val="0"/>
          <w:numId w:val="37"/>
        </w:numPr>
        <w:adjustRightInd w:val="0"/>
        <w:snapToGrid w:val="0"/>
        <w:spacing w:line="360" w:lineRule="auto"/>
        <w:ind w:firstLine="442"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降水量</w:t>
      </w:r>
    </w:p>
    <w:p w14:paraId="21F1B8F2">
      <w:pPr>
        <w:adjustRightInd w:val="0"/>
        <w:snapToGrid w:val="0"/>
        <w:spacing w:line="360" w:lineRule="auto"/>
        <w:ind w:firstLine="442"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工程区地处广西海岸中部，属南亚热带气候区，具有季风明显、干湿分明、温热多雨、热带气旋频繁等气象特点。产生暴雨的天气系统，主要是热带气旋和北部湾低压。根据钦州气象站资料统计，多年平均降雨量2151mm，最大年降雨量2807.7mm（1970年）。降雨集中在5～9月，约占全年的78%，短历时降雨量较大，24h最大降雨量436.4mm（1970年），降雨的天气系统主要有热带气旋、锋面、低涡、切变线、赤道辐合线等，每年4～9月为汛期，10～3月为非汛期，汛期4~9月份降水量约占全年的80%以上，其中6-8月为降雨高峰期，这三个月的降雨量约占全年降雨量的57%。非汛期雨水稀少，只占年总降雨量的20%左右。历年平均降雨天数为153天，平均每月12.8天。</w:t>
      </w:r>
    </w:p>
    <w:p w14:paraId="64CED0E2">
      <w:pPr>
        <w:adjustRightInd w:val="0"/>
        <w:snapToGrid w:val="0"/>
        <w:spacing w:line="360" w:lineRule="auto"/>
        <w:ind w:firstLine="442"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（2）气温</w:t>
      </w:r>
    </w:p>
    <w:p w14:paraId="4722DAAD">
      <w:pPr>
        <w:adjustRightInd w:val="0"/>
        <w:snapToGrid w:val="0"/>
        <w:spacing w:line="360" w:lineRule="auto"/>
        <w:ind w:firstLine="442"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根据钦州气象站资料统计，工程区多年平均气温22℃，极端最高气温37.5℃，极端最低气温-2.8℃；最热是7月份，平均温度28.4℃；最冷是1月份，平均温度13.4℃。</w:t>
      </w:r>
    </w:p>
    <w:p w14:paraId="1FF5DBC2">
      <w:pPr>
        <w:adjustRightInd w:val="0"/>
        <w:snapToGrid w:val="0"/>
        <w:spacing w:line="360" w:lineRule="auto"/>
        <w:ind w:firstLine="442"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（3）蒸发量</w:t>
      </w:r>
    </w:p>
    <w:p w14:paraId="79E7C8DC">
      <w:pPr>
        <w:adjustRightInd w:val="0"/>
        <w:snapToGrid w:val="0"/>
        <w:spacing w:line="360" w:lineRule="auto"/>
        <w:ind w:firstLine="442"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根据钦州气象站资料统计，广西沿海地区气温高，蒸发量大，工程区多年平均蒸发量1708mm（蒸发皿口径为20cm）；7月份蒸发量最大，多年平均蒸发量184.9mm；2月份蒸发量最小，多年平均蒸发量78.7mm。</w:t>
      </w:r>
    </w:p>
    <w:p w14:paraId="31CFBA7F">
      <w:pPr>
        <w:adjustRightInd w:val="0"/>
        <w:snapToGrid w:val="0"/>
        <w:spacing w:line="360" w:lineRule="auto"/>
        <w:ind w:firstLine="442"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（4）湿度</w:t>
      </w:r>
    </w:p>
    <w:p w14:paraId="2E25BC58">
      <w:pPr>
        <w:adjustRightInd w:val="0"/>
        <w:snapToGrid w:val="0"/>
        <w:spacing w:line="360" w:lineRule="auto"/>
        <w:ind w:firstLine="442"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根据钦州气象站资料统计，工程区平均相对湿度为81.3%，以6、8月份最大，月平均相对湿度为86%；12月份最小，月平均相对湿度为73%。</w:t>
      </w:r>
    </w:p>
    <w:p w14:paraId="52A11E04">
      <w:pPr>
        <w:numPr>
          <w:ilvl w:val="0"/>
          <w:numId w:val="35"/>
        </w:numPr>
        <w:adjustRightInd w:val="0"/>
        <w:snapToGrid w:val="0"/>
        <w:spacing w:line="360" w:lineRule="auto"/>
        <w:ind w:left="0" w:leftChars="0" w:firstLine="442"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雾</w:t>
      </w:r>
    </w:p>
    <w:p w14:paraId="3A4CC5A8">
      <w:pPr>
        <w:adjustRightInd w:val="0"/>
        <w:snapToGrid w:val="0"/>
        <w:spacing w:line="360" w:lineRule="auto"/>
        <w:ind w:firstLine="442"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钦州湾的雾以锋面雾和平流雾为主，辐射雾次之。雾主要出现在冬春季节，一年中多雾日时段为12月至翌年3月，累年年均雾日为13.4天，历年最多雾日达30天，最少为6天。一天中雾主要出现在傍晚至次日清晨。冬春季节，大雾常出现在冷空气南下之前。</w:t>
      </w:r>
    </w:p>
    <w:p w14:paraId="05915EE3">
      <w:pPr>
        <w:adjustRightInd w:val="0"/>
        <w:snapToGrid w:val="0"/>
        <w:spacing w:line="360" w:lineRule="auto"/>
        <w:ind w:firstLine="442"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（5）风速、风向</w:t>
      </w:r>
    </w:p>
    <w:p w14:paraId="0161418E">
      <w:pPr>
        <w:adjustRightInd w:val="0"/>
        <w:snapToGrid w:val="0"/>
        <w:spacing w:line="360" w:lineRule="auto"/>
        <w:ind w:firstLine="442"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钦州属南亚热带季风气候区，风向具有明显的季节变化，冬季受北方大陆干冷空气团控制，盛行偏南气流。春季是东北季风向西南季风的过渡时期；秋季是西南季风向东北季风的过渡季节。多年平均风速在2.6m/s之间，多年平均最大风速17.15m/s，7月上旬～9月上旬常受台风袭击，最大风力12级，历史最大风速30m/s，主导风向为北风，频率为21%。风向季节变化明显。</w:t>
      </w:r>
    </w:p>
    <w:p w14:paraId="48770130">
      <w:pPr>
        <w:pStyle w:val="5"/>
        <w:bidi w:val="0"/>
        <w:ind w:left="452" w:leftChars="0" w:firstLine="0" w:firstLineChars="0"/>
        <w:rPr>
          <w:rFonts w:hint="default"/>
          <w:color w:val="auto"/>
          <w:highlight w:val="none"/>
        </w:rPr>
      </w:pPr>
      <w:r>
        <w:rPr>
          <w:rFonts w:hint="default"/>
          <w:color w:val="auto"/>
          <w:highlight w:val="none"/>
        </w:rPr>
        <w:t>水文</w:t>
      </w:r>
    </w:p>
    <w:p w14:paraId="040AE61C">
      <w:pPr>
        <w:pStyle w:val="6"/>
        <w:bidi w:val="0"/>
        <w:ind w:left="0" w:leftChars="0" w:firstLine="0" w:firstLineChars="0"/>
        <w:rPr>
          <w:rFonts w:hint="default" w:ascii="Times New Roman" w:hAnsi="Times New Roman" w:cs="Times New Roman"/>
          <w:color w:val="auto"/>
          <w:highlight w:val="none"/>
          <w:lang w:eastAsia="zh-CN"/>
        </w:rPr>
      </w:pPr>
      <w:r>
        <w:rPr>
          <w:rFonts w:hint="eastAsia" w:cs="Times New Roman"/>
          <w:color w:val="auto"/>
          <w:highlight w:val="none"/>
          <w:lang w:val="en-US" w:eastAsia="zh-CN"/>
        </w:rPr>
        <w:t>河流</w:t>
      </w:r>
    </w:p>
    <w:p w14:paraId="2C237CD7">
      <w:pPr>
        <w:adjustRightInd w:val="0"/>
        <w:snapToGrid w:val="0"/>
        <w:spacing w:line="360" w:lineRule="auto"/>
        <w:ind w:firstLine="442"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钦州境内河流众多，计有大小独流入海河流32条，河流总长2794km，河网密度为0.6km/km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，流域面积在1800km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以上的河流主要有钦江、茅岭江和大风江，属珠江流域桂南沿海独流入海水系，三江在市境内干流总长307.4km，市内流域面积4164km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，年径流总量64.8亿m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/年。</w:t>
      </w:r>
    </w:p>
    <w:p w14:paraId="25BBE583">
      <w:pPr>
        <w:pStyle w:val="6"/>
        <w:bidi w:val="0"/>
        <w:ind w:left="0" w:leftChars="0" w:firstLine="0" w:firstLineChars="0"/>
        <w:rPr>
          <w:rFonts w:hint="default" w:ascii="Times New Roman" w:cs="Times New Roman"/>
          <w:color w:val="auto"/>
          <w:highlight w:val="none"/>
          <w:u w:val="single"/>
          <w:lang w:val="en-US" w:eastAsia="zh-CN"/>
        </w:rPr>
      </w:pPr>
      <w:r>
        <w:rPr>
          <w:rFonts w:hint="eastAsia" w:cs="Times New Roman"/>
          <w:color w:val="auto"/>
          <w:highlight w:val="none"/>
          <w:u w:val="single"/>
          <w:lang w:val="en-US" w:eastAsia="zh-CN"/>
        </w:rPr>
        <w:t>水文情势概况</w:t>
      </w:r>
    </w:p>
    <w:p w14:paraId="3232007B">
      <w:pPr>
        <w:adjustRightInd w:val="0"/>
        <w:snapToGrid w:val="0"/>
        <w:spacing w:line="360" w:lineRule="auto"/>
        <w:ind w:firstLine="442" w:firstLineChars="200"/>
        <w:rPr>
          <w:rFonts w:hint="eastAsia" w:ascii="Times New Roman" w:cs="Times New Roman"/>
          <w:color w:val="auto"/>
          <w:highlight w:val="none"/>
          <w:u w:val="single"/>
          <w:lang w:val="en-US" w:eastAsia="zh-CN"/>
        </w:rPr>
      </w:pPr>
      <w:r>
        <w:rPr>
          <w:rFonts w:hint="eastAsia" w:ascii="Times New Roman" w:cs="Times New Roman"/>
          <w:color w:val="auto"/>
          <w:highlight w:val="none"/>
          <w:u w:val="single"/>
          <w:lang w:val="en-US" w:eastAsia="zh-CN"/>
        </w:rPr>
        <w:t>淡水湾江起自企山水库（经连通道连通金窝水库）溢流坝，终点汇入金鼓江流域，河流总长度约4.8km，淡水湾江主要用于金窝水库和企山水库泄洪、兼顾沿岸农田灌溉，企山水库连接淡水湾江防水设施（2根DN300钢管虹吸管）引用流量为0.3m</w:t>
      </w:r>
      <w:r>
        <w:rPr>
          <w:rFonts w:hint="eastAsia" w:ascii="Times New Roman" w:cs="Times New Roman"/>
          <w:color w:val="auto"/>
          <w:highlight w:val="none"/>
          <w:u w:val="single"/>
          <w:vertAlign w:val="superscript"/>
          <w:lang w:val="en-US" w:eastAsia="zh-CN"/>
        </w:rPr>
        <w:t>3</w:t>
      </w:r>
      <w:r>
        <w:rPr>
          <w:rFonts w:hint="eastAsia" w:ascii="Times New Roman" w:cs="Times New Roman"/>
          <w:color w:val="auto"/>
          <w:highlight w:val="none"/>
          <w:u w:val="single"/>
          <w:lang w:val="en-US" w:eastAsia="zh-CN"/>
        </w:rPr>
        <w:t>/s，项目水系改造段涉及的淡水湾江水系宽度约30m，现状河床深度约1.28~1.58m，枯水期平均流速0.01m/s。</w:t>
      </w:r>
    </w:p>
    <w:p w14:paraId="79883B51">
      <w:pPr>
        <w:adjustRightInd w:val="0"/>
        <w:snapToGrid w:val="0"/>
        <w:spacing w:line="360" w:lineRule="auto"/>
        <w:ind w:firstLine="442" w:firstLineChars="200"/>
        <w:rPr>
          <w:rFonts w:hint="eastAsia" w:ascii="Times New Roman" w:cs="Times New Roman"/>
          <w:color w:val="auto"/>
          <w:highlight w:val="none"/>
          <w:u w:val="single"/>
          <w:lang w:val="en-US" w:eastAsia="zh-CN"/>
        </w:rPr>
      </w:pPr>
      <w:r>
        <w:rPr>
          <w:rFonts w:hint="eastAsia" w:ascii="Times New Roman" w:cs="Times New Roman"/>
          <w:color w:val="auto"/>
          <w:highlight w:val="none"/>
          <w:u w:val="single"/>
          <w:lang w:val="en-US" w:eastAsia="zh-CN"/>
        </w:rPr>
        <w:t>淡水湾江为自然形成的河沟，两侧为平坦耕地，评价范围的淡水湾江河道坡度平缓，河道弯曲度高，钦州港第三小学地块回填后河流沿地块边坡汇入现状农村道路的箱涵汇入下游水系，平缓弯曲的河流特点导致水流携带泥沙（尤其是较粗颗粒）的能力下降，泥沙容易在河床和河岸沉积，并在河道中段形成沉淀，产生平坦的河漫滩。</w:t>
      </w:r>
    </w:p>
    <w:p w14:paraId="51FF33A6">
      <w:pPr>
        <w:adjustRightInd w:val="0"/>
        <w:snapToGrid w:val="0"/>
        <w:spacing w:line="360" w:lineRule="auto"/>
        <w:ind w:firstLine="442" w:firstLineChars="200"/>
        <w:rPr>
          <w:rFonts w:hint="default" w:ascii="Times New Roman" w:cs="Times New Roman"/>
          <w:color w:val="auto"/>
          <w:highlight w:val="none"/>
          <w:u w:val="single"/>
          <w:lang w:val="en-US" w:eastAsia="zh-CN"/>
        </w:rPr>
      </w:pPr>
      <w:r>
        <w:rPr>
          <w:rFonts w:hint="eastAsia" w:ascii="Times New Roman" w:cs="Times New Roman"/>
          <w:color w:val="auto"/>
          <w:highlight w:val="none"/>
          <w:u w:val="single"/>
          <w:lang w:val="en-US" w:eastAsia="zh-CN"/>
        </w:rPr>
        <w:t>洪水期间的工程段的淡水湾江低坡度导致洪水波向下游推进的速度缓慢，洪水波传播慢，加上河漫滩和区域内平坦耕地能够蓄滞洪水，使得洪水淹没河漫滩的时间较长，退水过程也较缓慢。</w:t>
      </w:r>
      <w:r>
        <w:rPr>
          <w:rFonts w:hint="default" w:ascii="Times New Roman" w:cs="Times New Roman"/>
          <w:color w:val="auto"/>
          <w:highlight w:val="none"/>
          <w:u w:val="single"/>
          <w:lang w:val="en-US" w:eastAsia="zh-CN"/>
        </w:rPr>
        <w:t>虽然水位变化率相对平缓，但由于河漫滩</w:t>
      </w:r>
      <w:r>
        <w:rPr>
          <w:rFonts w:hint="eastAsia" w:ascii="Times New Roman" w:cs="Times New Roman"/>
          <w:color w:val="auto"/>
          <w:highlight w:val="none"/>
          <w:u w:val="single"/>
          <w:lang w:val="en-US" w:eastAsia="zh-CN"/>
        </w:rPr>
        <w:t>河耕地面积较大</w:t>
      </w:r>
      <w:r>
        <w:rPr>
          <w:rFonts w:hint="default" w:ascii="Times New Roman" w:cs="Times New Roman"/>
          <w:color w:val="auto"/>
          <w:highlight w:val="none"/>
          <w:u w:val="single"/>
          <w:lang w:val="en-US" w:eastAsia="zh-CN"/>
        </w:rPr>
        <w:t>，从主槽低水位到淹没大面积河漫滩</w:t>
      </w:r>
      <w:r>
        <w:rPr>
          <w:rFonts w:hint="eastAsia" w:ascii="Times New Roman" w:cs="Times New Roman"/>
          <w:color w:val="auto"/>
          <w:highlight w:val="none"/>
          <w:u w:val="single"/>
          <w:lang w:val="en-US" w:eastAsia="zh-CN"/>
        </w:rPr>
        <w:t>和耕地后</w:t>
      </w:r>
      <w:r>
        <w:rPr>
          <w:rFonts w:hint="default" w:ascii="Times New Roman" w:cs="Times New Roman"/>
          <w:color w:val="auto"/>
          <w:highlight w:val="none"/>
          <w:u w:val="single"/>
          <w:lang w:val="en-US" w:eastAsia="zh-CN"/>
        </w:rPr>
        <w:t>的高水位，其绝对水位变幅可以相当大。洪水期间水位上涨会淹没河漫滩</w:t>
      </w:r>
      <w:r>
        <w:rPr>
          <w:rFonts w:hint="eastAsia" w:ascii="Times New Roman" w:cs="Times New Roman"/>
          <w:color w:val="auto"/>
          <w:highlight w:val="none"/>
          <w:u w:val="single"/>
          <w:lang w:val="en-US" w:eastAsia="zh-CN"/>
        </w:rPr>
        <w:t>和耕地，甚至淹没周边养殖塘</w:t>
      </w:r>
      <w:r>
        <w:rPr>
          <w:rFonts w:hint="default" w:ascii="Times New Roman" w:cs="Times New Roman"/>
          <w:color w:val="auto"/>
          <w:highlight w:val="none"/>
          <w:u w:val="single"/>
          <w:lang w:val="en-US" w:eastAsia="zh-CN"/>
        </w:rPr>
        <w:t>。</w:t>
      </w:r>
    </w:p>
    <w:p w14:paraId="01749470">
      <w:pPr>
        <w:pStyle w:val="6"/>
        <w:bidi w:val="0"/>
        <w:ind w:left="0" w:leftChars="0" w:firstLine="0" w:firstLineChars="0"/>
        <w:rPr>
          <w:rFonts w:hint="eastAsia"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水库</w:t>
      </w:r>
    </w:p>
    <w:p w14:paraId="4369A769">
      <w:pPr>
        <w:numPr>
          <w:ilvl w:val="0"/>
          <w:numId w:val="38"/>
        </w:numPr>
        <w:adjustRightInd w:val="0"/>
        <w:snapToGrid w:val="0"/>
        <w:spacing w:line="360" w:lineRule="auto"/>
        <w:ind w:firstLine="442" w:firstLineChars="20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金窝水库</w:t>
      </w:r>
    </w:p>
    <w:p w14:paraId="6039FFC5">
      <w:pPr>
        <w:numPr>
          <w:ilvl w:val="0"/>
          <w:numId w:val="0"/>
        </w:numPr>
        <w:adjustRightInd w:val="0"/>
        <w:snapToGrid w:val="0"/>
        <w:spacing w:line="360" w:lineRule="auto"/>
        <w:ind w:firstLine="442"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金窝水库位于钦州市犀牛脚镇金窝江出海口，距离钦州市约36km，距犀牛脚镇约10km。坝址以上集雨面积24.6km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，多年平均降雨量2135.1mm。水库正常蓄水位19.5m</w:t>
      </w:r>
      <w:r>
        <w:rPr>
          <w:rFonts w:hint="eastAsia" w:asci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 xml:space="preserve"> 死水位11.5m，水库总库容为7901万m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，其中调洪库容852万m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，有效库容5351万m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，死库容1698万m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，水库设计灌溉面积2.78万亩，实际灌溉面积0.7万亩，是一座以供水为主，兼顾防洪、灌溉等作用的中型水库。</w:t>
      </w:r>
    </w:p>
    <w:p w14:paraId="30493CC4">
      <w:pPr>
        <w:numPr>
          <w:ilvl w:val="0"/>
          <w:numId w:val="0"/>
        </w:numPr>
        <w:adjustRightInd w:val="0"/>
        <w:snapToGrid w:val="0"/>
        <w:spacing w:line="360" w:lineRule="auto"/>
        <w:ind w:firstLine="442"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金窝水库于1978年建成，为临海水库，主坝下游为海域。2002年进行加固扩容设 计，水库总库容为7900万m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，有效库容5373万m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，水库正常蓄水位19.50m。根据金 窝水库在钦州沿海工业园区供水系统中所处的地位和作用，金窝水库开发的主要任务 为：城市供水。金窝水库目前主要进行城市供水，不进行农田灌溉，水库无下游河道， 现状主要分布有草地、虾塘等。水库主要担负着钦州沿海工业园的供水，通过与大风江 抽水入库工程联合运用，向钦州港区和工业园区供水，现状满足最高日需水55万m3/d 的供水要求，远期增加郁江调水工程联合运用，最终通过金窝水库调节后向工业园区供 水，满足钦州港区及工业园区远期最高日需水量120万m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/d的供水要求。</w:t>
      </w:r>
    </w:p>
    <w:p w14:paraId="7CFDD8FC">
      <w:pPr>
        <w:numPr>
          <w:ilvl w:val="0"/>
          <w:numId w:val="0"/>
        </w:numPr>
        <w:adjustRightInd w:val="0"/>
        <w:snapToGrid w:val="0"/>
        <w:spacing w:line="360" w:lineRule="auto"/>
        <w:ind w:firstLine="442"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金窝水库大坝按50年一遇洪水设计，1000年一遇洪水校核，溢洪道消能防冲建筑物按30年一遇洪水设计</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设计洪水位19.9</w:t>
      </w: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val="en-US" w:eastAsia="zh-CN"/>
        </w:rPr>
        <w:t>m，相应下泄最大流量为</w:t>
      </w:r>
      <w:r>
        <w:rPr>
          <w:rFonts w:hint="eastAsia" w:ascii="Times New Roman" w:hAnsi="Times New Roman" w:eastAsia="宋体" w:cs="Times New Roman"/>
          <w:color w:val="auto"/>
          <w:highlight w:val="none"/>
          <w:lang w:val="en-US" w:eastAsia="zh-CN"/>
        </w:rPr>
        <w:t>161.6</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/s；校核洪水位为20.3</w:t>
      </w:r>
      <w:r>
        <w:rPr>
          <w:rFonts w:hint="eastAsia"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lang w:val="en-US" w:eastAsia="zh-CN"/>
        </w:rPr>
        <w:t>m，相应下泄最大流量为</w:t>
      </w:r>
      <w:r>
        <w:rPr>
          <w:rFonts w:hint="eastAsia" w:ascii="Times New Roman" w:hAnsi="Times New Roman" w:eastAsia="宋体" w:cs="Times New Roman"/>
          <w:color w:val="auto"/>
          <w:highlight w:val="none"/>
          <w:lang w:val="en-US" w:eastAsia="zh-CN"/>
        </w:rPr>
        <w:t>197.5</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/s。</w:t>
      </w:r>
    </w:p>
    <w:p w14:paraId="10C06FFA">
      <w:pPr>
        <w:numPr>
          <w:ilvl w:val="0"/>
          <w:numId w:val="0"/>
        </w:numPr>
        <w:adjustRightInd w:val="0"/>
        <w:snapToGrid w:val="0"/>
        <w:spacing w:line="360" w:lineRule="auto"/>
        <w:ind w:firstLine="442"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金窝水库防洪影响下游的犀牛脚盐场蚝蜊坳工区；水榕冲村、榕树灶村、新联村、鹿耳环村、硫磺山村。防洪抢险重点区内涉及人口1200人，盐田2650亩，农田550亩。</w:t>
      </w:r>
    </w:p>
    <w:p w14:paraId="3978C8D5">
      <w:pPr>
        <w:numPr>
          <w:ilvl w:val="0"/>
          <w:numId w:val="38"/>
        </w:numPr>
        <w:adjustRightInd w:val="0"/>
        <w:snapToGrid w:val="0"/>
        <w:spacing w:line="360" w:lineRule="auto"/>
        <w:ind w:firstLine="442" w:firstLineChars="200"/>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企山水库</w:t>
      </w:r>
    </w:p>
    <w:p w14:paraId="6809B692">
      <w:pPr>
        <w:pStyle w:val="44"/>
        <w:ind w:firstLine="560"/>
        <w:rPr>
          <w:rFonts w:hint="eastAsia" w:ascii="宋体" w:hAnsi="宋体" w:eastAsia="宋体" w:cs="宋体"/>
          <w:color w:val="auto"/>
          <w:kern w:val="0"/>
          <w:highlight w:val="none"/>
        </w:rPr>
      </w:pPr>
      <w:r>
        <w:rPr>
          <w:rFonts w:hint="eastAsia" w:ascii="宋体" w:hAnsi="宋体" w:eastAsia="宋体" w:cs="宋体"/>
          <w:color w:val="auto"/>
          <w:highlight w:val="none"/>
          <w:lang w:eastAsia="zh-CN"/>
        </w:rPr>
        <w:t>企山</w:t>
      </w:r>
      <w:r>
        <w:rPr>
          <w:rFonts w:hint="eastAsia" w:ascii="宋体" w:hAnsi="宋体" w:eastAsia="宋体" w:cs="宋体"/>
          <w:color w:val="auto"/>
          <w:highlight w:val="none"/>
        </w:rPr>
        <w:t>水库位于</w:t>
      </w:r>
      <w:r>
        <w:rPr>
          <w:rFonts w:hint="eastAsia" w:ascii="宋体" w:hAnsi="宋体" w:eastAsia="宋体" w:cs="宋体"/>
          <w:bCs/>
          <w:color w:val="auto"/>
          <w:highlight w:val="none"/>
        </w:rPr>
        <w:t>钦州市犀牛脚镇新联村，距离钦州市区33km。</w:t>
      </w:r>
      <w:r>
        <w:rPr>
          <w:rFonts w:hint="eastAsia" w:ascii="宋体" w:hAnsi="宋体" w:eastAsia="宋体" w:cs="宋体"/>
          <w:color w:val="auto"/>
          <w:highlight w:val="none"/>
        </w:rPr>
        <w:t>坝址以上集雨面积</w:t>
      </w:r>
      <w:r>
        <w:rPr>
          <w:rFonts w:hint="eastAsia" w:ascii="宋体" w:hAnsi="宋体" w:eastAsia="宋体" w:cs="宋体"/>
          <w:color w:val="auto"/>
          <w:highlight w:val="none"/>
          <w:lang w:eastAsia="zh-CN"/>
        </w:rPr>
        <w:t>2.8</w:t>
      </w:r>
      <w:r>
        <w:rPr>
          <w:rFonts w:hint="eastAsia" w:ascii="宋体" w:hAnsi="宋体" w:eastAsia="宋体" w:cs="宋体"/>
          <w:color w:val="auto"/>
          <w:highlight w:val="none"/>
        </w:rPr>
        <w:t>km</w:t>
      </w:r>
      <w:r>
        <w:rPr>
          <w:rFonts w:hint="eastAsia" w:ascii="宋体" w:hAnsi="宋体" w:eastAsia="宋体" w:cs="宋体"/>
          <w:color w:val="auto"/>
          <w:highlight w:val="none"/>
          <w:vertAlign w:val="superscript"/>
        </w:rPr>
        <w:t>2</w:t>
      </w:r>
      <w:r>
        <w:rPr>
          <w:rFonts w:hint="eastAsia" w:ascii="宋体" w:hAnsi="宋体" w:eastAsia="宋体" w:cs="宋体"/>
          <w:color w:val="auto"/>
          <w:highlight w:val="none"/>
        </w:rPr>
        <w:t>，多年平均降雨量</w:t>
      </w:r>
      <w:r>
        <w:rPr>
          <w:rFonts w:hint="eastAsia" w:ascii="宋体" w:hAnsi="宋体" w:eastAsia="宋体" w:cs="宋体"/>
          <w:color w:val="auto"/>
          <w:highlight w:val="none"/>
          <w:lang w:eastAsia="zh-CN"/>
        </w:rPr>
        <w:t>1950</w:t>
      </w:r>
      <w:r>
        <w:rPr>
          <w:rFonts w:hint="eastAsia" w:ascii="宋体" w:hAnsi="宋体" w:eastAsia="宋体" w:cs="宋体"/>
          <w:color w:val="auto"/>
          <w:highlight w:val="none"/>
        </w:rPr>
        <w:t>mm。</w:t>
      </w:r>
      <w:r>
        <w:rPr>
          <w:rFonts w:hint="eastAsia" w:ascii="宋体" w:hAnsi="宋体" w:eastAsia="宋体" w:cs="宋体"/>
          <w:color w:val="auto"/>
          <w:kern w:val="0"/>
          <w:highlight w:val="none"/>
        </w:rPr>
        <w:t>水库正常蓄水位</w:t>
      </w:r>
      <w:r>
        <w:rPr>
          <w:rFonts w:hint="eastAsia" w:ascii="宋体" w:hAnsi="宋体" w:eastAsia="宋体" w:cs="宋体"/>
          <w:color w:val="auto"/>
          <w:kern w:val="0"/>
          <w:highlight w:val="none"/>
          <w:lang w:eastAsia="zh-CN"/>
        </w:rPr>
        <w:t>11.9</w:t>
      </w:r>
      <w:r>
        <w:rPr>
          <w:rFonts w:hint="eastAsia" w:ascii="宋体" w:hAnsi="宋体" w:eastAsia="宋体" w:cs="宋体"/>
          <w:color w:val="auto"/>
          <w:kern w:val="0"/>
          <w:highlight w:val="none"/>
        </w:rPr>
        <w:t>m</w:t>
      </w:r>
      <w:r>
        <w:rPr>
          <w:rFonts w:hint="eastAsia" w:ascii="宋体" w:hAnsi="宋体" w:eastAsia="宋体" w:cs="宋体"/>
          <w:color w:val="auto"/>
          <w:kern w:val="0"/>
          <w:highlight w:val="none"/>
          <w:lang w:eastAsia="zh-CN"/>
        </w:rPr>
        <w:t>，</w:t>
      </w:r>
      <w:r>
        <w:rPr>
          <w:rFonts w:hint="eastAsia" w:ascii="宋体" w:hAnsi="宋体" w:eastAsia="宋体" w:cs="宋体"/>
          <w:color w:val="auto"/>
          <w:kern w:val="0"/>
          <w:highlight w:val="none"/>
        </w:rPr>
        <w:t>死水位</w:t>
      </w:r>
      <w:r>
        <w:rPr>
          <w:rFonts w:hint="eastAsia" w:ascii="宋体" w:hAnsi="宋体" w:eastAsia="宋体" w:cs="宋体"/>
          <w:color w:val="auto"/>
          <w:kern w:val="0"/>
          <w:highlight w:val="none"/>
          <w:lang w:eastAsia="zh-CN"/>
        </w:rPr>
        <w:t>5.2</w:t>
      </w:r>
      <w:r>
        <w:rPr>
          <w:rFonts w:hint="eastAsia" w:ascii="宋体" w:hAnsi="宋体" w:eastAsia="宋体" w:cs="宋体"/>
          <w:color w:val="auto"/>
          <w:kern w:val="0"/>
          <w:highlight w:val="none"/>
        </w:rPr>
        <w:t>m，</w:t>
      </w:r>
      <w:r>
        <w:rPr>
          <w:rFonts w:hint="eastAsia" w:ascii="宋体" w:hAnsi="宋体" w:eastAsia="宋体" w:cs="宋体"/>
          <w:color w:val="auto"/>
          <w:highlight w:val="none"/>
        </w:rPr>
        <w:t>水库总库容为</w:t>
      </w:r>
      <w:r>
        <w:rPr>
          <w:rFonts w:hint="eastAsia" w:ascii="宋体" w:hAnsi="宋体" w:eastAsia="宋体" w:cs="宋体"/>
          <w:color w:val="auto"/>
          <w:highlight w:val="none"/>
          <w:lang w:eastAsia="zh-CN"/>
        </w:rPr>
        <w:t>348</w:t>
      </w:r>
      <w:r>
        <w:rPr>
          <w:rFonts w:hint="eastAsia" w:ascii="宋体" w:hAnsi="宋体" w:eastAsia="宋体" w:cs="宋体"/>
          <w:color w:val="auto"/>
          <w:highlight w:val="none"/>
        </w:rPr>
        <w:t>万m</w:t>
      </w:r>
      <w:r>
        <w:rPr>
          <w:rFonts w:hint="eastAsia" w:ascii="宋体" w:hAnsi="宋体" w:eastAsia="宋体" w:cs="宋体"/>
          <w:color w:val="auto"/>
          <w:highlight w:val="none"/>
          <w:vertAlign w:val="superscript"/>
        </w:rPr>
        <w:t>3</w:t>
      </w:r>
      <w:r>
        <w:rPr>
          <w:rFonts w:hint="eastAsia" w:ascii="宋体" w:hAnsi="宋体" w:eastAsia="宋体" w:cs="宋体"/>
          <w:color w:val="auto"/>
          <w:highlight w:val="none"/>
        </w:rPr>
        <w:t>，其中调洪库容1</w:t>
      </w:r>
      <w:r>
        <w:rPr>
          <w:rFonts w:hint="eastAsia" w:ascii="宋体" w:hAnsi="宋体" w:eastAsia="宋体" w:cs="宋体"/>
          <w:color w:val="auto"/>
          <w:highlight w:val="none"/>
          <w:lang w:eastAsia="zh-CN"/>
        </w:rPr>
        <w:t>25</w:t>
      </w:r>
      <w:r>
        <w:rPr>
          <w:rFonts w:hint="eastAsia" w:ascii="宋体" w:hAnsi="宋体" w:eastAsia="宋体" w:cs="宋体"/>
          <w:color w:val="auto"/>
          <w:highlight w:val="none"/>
        </w:rPr>
        <w:t>万m</w:t>
      </w:r>
      <w:r>
        <w:rPr>
          <w:rFonts w:hint="eastAsia" w:ascii="宋体" w:hAnsi="宋体" w:eastAsia="宋体" w:cs="宋体"/>
          <w:color w:val="auto"/>
          <w:highlight w:val="none"/>
          <w:vertAlign w:val="superscript"/>
        </w:rPr>
        <w:t>3</w:t>
      </w:r>
      <w:r>
        <w:rPr>
          <w:rFonts w:hint="eastAsia" w:ascii="宋体" w:hAnsi="宋体" w:eastAsia="宋体" w:cs="宋体"/>
          <w:color w:val="auto"/>
          <w:highlight w:val="none"/>
        </w:rPr>
        <w:t>，有效库容</w:t>
      </w:r>
      <w:r>
        <w:rPr>
          <w:rFonts w:hint="eastAsia" w:ascii="宋体" w:hAnsi="宋体" w:eastAsia="宋体" w:cs="宋体"/>
          <w:color w:val="auto"/>
          <w:highlight w:val="none"/>
          <w:lang w:eastAsia="zh-CN"/>
        </w:rPr>
        <w:t>212</w:t>
      </w:r>
      <w:r>
        <w:rPr>
          <w:rFonts w:hint="eastAsia" w:ascii="宋体" w:hAnsi="宋体" w:eastAsia="宋体" w:cs="宋体"/>
          <w:color w:val="auto"/>
          <w:highlight w:val="none"/>
        </w:rPr>
        <w:t>万m</w:t>
      </w:r>
      <w:r>
        <w:rPr>
          <w:rFonts w:hint="eastAsia" w:ascii="宋体" w:hAnsi="宋体" w:eastAsia="宋体" w:cs="宋体"/>
          <w:color w:val="auto"/>
          <w:highlight w:val="none"/>
          <w:vertAlign w:val="superscript"/>
        </w:rPr>
        <w:t>3</w:t>
      </w:r>
      <w:r>
        <w:rPr>
          <w:rFonts w:hint="eastAsia" w:ascii="宋体" w:hAnsi="宋体" w:eastAsia="宋体" w:cs="宋体"/>
          <w:color w:val="auto"/>
          <w:highlight w:val="none"/>
        </w:rPr>
        <w:t>，死库容1</w:t>
      </w:r>
      <w:r>
        <w:rPr>
          <w:rFonts w:hint="eastAsia" w:ascii="宋体" w:hAnsi="宋体" w:eastAsia="宋体" w:cs="宋体"/>
          <w:color w:val="auto"/>
          <w:highlight w:val="none"/>
          <w:lang w:eastAsia="zh-CN"/>
        </w:rPr>
        <w:t>1</w:t>
      </w:r>
      <w:r>
        <w:rPr>
          <w:rFonts w:hint="eastAsia" w:ascii="宋体" w:hAnsi="宋体" w:eastAsia="宋体" w:cs="宋体"/>
          <w:color w:val="auto"/>
          <w:highlight w:val="none"/>
        </w:rPr>
        <w:t>万m</w:t>
      </w:r>
      <w:r>
        <w:rPr>
          <w:rFonts w:hint="eastAsia" w:ascii="宋体" w:hAnsi="宋体" w:eastAsia="宋体" w:cs="宋体"/>
          <w:color w:val="auto"/>
          <w:highlight w:val="none"/>
          <w:vertAlign w:val="superscript"/>
        </w:rPr>
        <w:t>3</w:t>
      </w:r>
      <w:r>
        <w:rPr>
          <w:rFonts w:hint="eastAsia" w:ascii="宋体" w:hAnsi="宋体" w:eastAsia="宋体" w:cs="宋体"/>
          <w:color w:val="auto"/>
          <w:highlight w:val="none"/>
        </w:rPr>
        <w:t>，</w:t>
      </w:r>
      <w:r>
        <w:rPr>
          <w:rFonts w:hint="eastAsia" w:ascii="宋体" w:hAnsi="宋体" w:eastAsia="宋体" w:cs="宋体"/>
          <w:color w:val="auto"/>
          <w:kern w:val="0"/>
          <w:highlight w:val="none"/>
        </w:rPr>
        <w:t>水库设计灌溉面积</w:t>
      </w:r>
      <w:r>
        <w:rPr>
          <w:rFonts w:hint="eastAsia" w:ascii="宋体" w:hAnsi="宋体" w:eastAsia="宋体" w:cs="宋体"/>
          <w:color w:val="auto"/>
          <w:kern w:val="0"/>
          <w:highlight w:val="none"/>
          <w:lang w:eastAsia="zh-CN"/>
        </w:rPr>
        <w:t>253</w:t>
      </w:r>
      <w:r>
        <w:rPr>
          <w:rFonts w:hint="eastAsia" w:ascii="宋体" w:hAnsi="宋体" w:eastAsia="宋体" w:cs="宋体"/>
          <w:color w:val="auto"/>
          <w:kern w:val="0"/>
          <w:highlight w:val="none"/>
        </w:rPr>
        <w:t>0亩，实际灌溉面积</w:t>
      </w:r>
      <w:r>
        <w:rPr>
          <w:rFonts w:hint="eastAsia" w:ascii="宋体" w:hAnsi="宋体" w:eastAsia="宋体" w:cs="宋体"/>
          <w:color w:val="auto"/>
          <w:kern w:val="0"/>
          <w:highlight w:val="none"/>
          <w:lang w:eastAsia="zh-CN"/>
        </w:rPr>
        <w:t>20</w:t>
      </w:r>
      <w:r>
        <w:rPr>
          <w:rFonts w:hint="eastAsia" w:ascii="宋体" w:hAnsi="宋体" w:eastAsia="宋体" w:cs="宋体"/>
          <w:color w:val="auto"/>
          <w:kern w:val="0"/>
          <w:highlight w:val="none"/>
        </w:rPr>
        <w:t>00亩，是一座以</w:t>
      </w:r>
      <w:r>
        <w:rPr>
          <w:rFonts w:hint="eastAsia" w:ascii="宋体" w:hAnsi="宋体" w:eastAsia="宋体" w:cs="宋体"/>
          <w:color w:val="auto"/>
          <w:kern w:val="0"/>
          <w:highlight w:val="none"/>
          <w:lang w:eastAsia="zh-CN"/>
        </w:rPr>
        <w:t>供水</w:t>
      </w:r>
      <w:r>
        <w:rPr>
          <w:rFonts w:hint="eastAsia" w:ascii="宋体" w:hAnsi="宋体" w:eastAsia="宋体" w:cs="宋体"/>
          <w:color w:val="auto"/>
          <w:kern w:val="0"/>
          <w:highlight w:val="none"/>
        </w:rPr>
        <w:t>为主，兼顾防洪、灌溉</w:t>
      </w:r>
      <w:r>
        <w:rPr>
          <w:rFonts w:hint="eastAsia" w:ascii="宋体" w:hAnsi="宋体" w:eastAsia="宋体" w:cs="宋体"/>
          <w:color w:val="auto"/>
          <w:kern w:val="0"/>
          <w:highlight w:val="none"/>
          <w:lang w:eastAsia="zh-CN"/>
        </w:rPr>
        <w:t>等</w:t>
      </w:r>
      <w:r>
        <w:rPr>
          <w:rFonts w:hint="eastAsia" w:ascii="宋体" w:hAnsi="宋体" w:eastAsia="宋体" w:cs="宋体"/>
          <w:color w:val="auto"/>
          <w:kern w:val="0"/>
          <w:highlight w:val="none"/>
        </w:rPr>
        <w:t>作用的小(</w:t>
      </w:r>
      <w:r>
        <w:rPr>
          <w:rFonts w:hint="eastAsia" w:ascii="宋体" w:hAnsi="宋体" w:eastAsia="宋体" w:cs="宋体"/>
          <w:color w:val="auto"/>
          <w:kern w:val="0"/>
          <w:highlight w:val="none"/>
          <w:lang w:eastAsia="zh-CN"/>
        </w:rPr>
        <w:t>1</w:t>
      </w:r>
      <w:r>
        <w:rPr>
          <w:rFonts w:hint="eastAsia" w:ascii="宋体" w:hAnsi="宋体" w:eastAsia="宋体" w:cs="宋体"/>
          <w:color w:val="auto"/>
          <w:kern w:val="0"/>
          <w:highlight w:val="none"/>
        </w:rPr>
        <w:t>)型水库。</w:t>
      </w:r>
    </w:p>
    <w:p w14:paraId="1E2E09E5">
      <w:pPr>
        <w:adjustRightInd w:val="0"/>
        <w:snapToGrid w:val="0"/>
        <w:spacing w:line="360" w:lineRule="auto"/>
        <w:ind w:firstLine="442"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企山水库大坝按50年一遇洪水标准设计，500年一遇洪水标准校核，设计洪水位13.44m，相应下泄最大流量为15.2m</w:t>
      </w:r>
      <w:r>
        <w:rPr>
          <w:rFonts w:hint="eastAsia" w:ascii="宋体" w:hAnsi="宋体" w:eastAsia="宋体" w:cs="宋体"/>
          <w:color w:val="auto"/>
          <w:highlight w:val="none"/>
          <w:vertAlign w:val="superscript"/>
          <w:lang w:val="en-US" w:eastAsia="zh-CN"/>
        </w:rPr>
        <w:t>3</w:t>
      </w:r>
      <w:r>
        <w:rPr>
          <w:rFonts w:hint="eastAsia" w:ascii="宋体" w:hAnsi="宋体" w:eastAsia="宋体" w:cs="宋体"/>
          <w:color w:val="auto"/>
          <w:highlight w:val="none"/>
          <w:lang w:val="en-US" w:eastAsia="zh-CN"/>
        </w:rPr>
        <w:t>/s；校核洪水位为14.04m，相应下泄最大流量为24.9m</w:t>
      </w:r>
      <w:r>
        <w:rPr>
          <w:rFonts w:hint="eastAsia" w:ascii="宋体" w:hAnsi="宋体" w:eastAsia="宋体" w:cs="宋体"/>
          <w:color w:val="auto"/>
          <w:highlight w:val="none"/>
          <w:vertAlign w:val="superscript"/>
          <w:lang w:val="en-US" w:eastAsia="zh-CN"/>
        </w:rPr>
        <w:t>3</w:t>
      </w:r>
      <w:r>
        <w:rPr>
          <w:rFonts w:hint="eastAsia" w:ascii="宋体" w:hAnsi="宋体" w:eastAsia="宋体" w:cs="宋体"/>
          <w:color w:val="auto"/>
          <w:highlight w:val="none"/>
          <w:lang w:val="en-US" w:eastAsia="zh-CN"/>
        </w:rPr>
        <w:t>/s。</w:t>
      </w:r>
    </w:p>
    <w:p w14:paraId="4516A636">
      <w:pPr>
        <w:adjustRightInd w:val="0"/>
        <w:snapToGrid w:val="0"/>
        <w:spacing w:line="360" w:lineRule="auto"/>
        <w:ind w:firstLine="442"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企山水库防洪影响下游的钦州港区金鼓村1、2、3、6、7、8队（共计人口2300多人）和200多亩农田、500多亩虾塘；犀牛脚镇新联村7、8队的100多亩农田</w:t>
      </w:r>
      <w:r>
        <w:rPr>
          <w:rFonts w:hint="eastAsia" w:ascii="宋体" w:hAnsi="宋体" w:eastAsia="宋体" w:cs="宋体"/>
          <w:color w:val="auto"/>
          <w:highlight w:val="none"/>
          <w:lang w:eastAsia="zh-CN"/>
        </w:rPr>
        <w:t>，下游</w:t>
      </w:r>
      <w:r>
        <w:rPr>
          <w:rFonts w:hint="eastAsia" w:ascii="宋体" w:hAnsi="宋体" w:eastAsia="宋体" w:cs="宋体"/>
          <w:color w:val="auto"/>
          <w:highlight w:val="none"/>
          <w:lang w:val="en-US" w:eastAsia="zh-CN"/>
        </w:rPr>
        <w:t>800ｍ处的六景高速公路。</w:t>
      </w:r>
    </w:p>
    <w:p w14:paraId="6A00C7CD">
      <w:pPr>
        <w:pStyle w:val="5"/>
        <w:bidi w:val="0"/>
        <w:ind w:left="452" w:leftChars="0"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潮汐</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潮流</w:t>
      </w:r>
    </w:p>
    <w:p w14:paraId="5F6D95E4">
      <w:pPr>
        <w:numPr>
          <w:ilvl w:val="0"/>
          <w:numId w:val="39"/>
        </w:numPr>
        <w:adjustRightInd w:val="0"/>
        <w:snapToGrid w:val="0"/>
        <w:spacing w:line="360" w:lineRule="auto"/>
        <w:ind w:left="0" w:leftChars="0" w:firstLine="442" w:firstLineChars="200"/>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潮位特征</w:t>
      </w:r>
    </w:p>
    <w:p w14:paraId="27F98905">
      <w:pPr>
        <w:adjustRightInd w:val="0"/>
        <w:snapToGrid w:val="0"/>
        <w:spacing w:line="360" w:lineRule="auto"/>
        <w:ind w:firstLine="442"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钦州湾潮汐类型属不正规全日潮。具有往复流性质，流向基本与深槽一致，退潮快，涨潮慢，退潮历时4~12小时，平均8小时，涨潮6~18小时，平均9小时。钦州湾自1966年起在龙门港设有潮汐站，根据该站1966-2020年实测潮汐资料统计，钦州湾潮位特征见下表。</w:t>
      </w:r>
    </w:p>
    <w:p w14:paraId="055680D2">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b w:val="0"/>
          <w:bCs w:val="0"/>
          <w:color w:val="auto"/>
          <w:highlight w:val="none"/>
        </w:rPr>
      </w:pPr>
      <w:r>
        <w:rPr>
          <w:rFonts w:hint="default"/>
          <w:b w:val="0"/>
          <w:bCs w:val="0"/>
          <w:color w:val="auto"/>
          <w:highlight w:val="none"/>
        </w:rPr>
        <w:t>钦州湾潮位特征</w:t>
      </w:r>
    </w:p>
    <w:tbl>
      <w:tblPr>
        <w:tblStyle w:val="87"/>
        <w:tblW w:w="5049"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1243"/>
        <w:gridCol w:w="1244"/>
        <w:gridCol w:w="1087"/>
        <w:gridCol w:w="1403"/>
        <w:gridCol w:w="1628"/>
        <w:gridCol w:w="1032"/>
        <w:gridCol w:w="1090"/>
      </w:tblGrid>
      <w:tr w14:paraId="18CEF56A">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12" w:type="pct"/>
            <w:noWrap w:val="0"/>
            <w:vAlign w:val="center"/>
          </w:tcPr>
          <w:p w14:paraId="2D5374CB">
            <w:pPr>
              <w:pStyle w:val="1564"/>
              <w:spacing w:before="136"/>
              <w:ind w:left="107" w:right="9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最高高潮位</w:t>
            </w:r>
          </w:p>
        </w:tc>
        <w:tc>
          <w:tcPr>
            <w:tcW w:w="712" w:type="pct"/>
            <w:noWrap w:val="0"/>
            <w:vAlign w:val="center"/>
          </w:tcPr>
          <w:p w14:paraId="774643DA">
            <w:pPr>
              <w:pStyle w:val="1564"/>
              <w:spacing w:before="136"/>
              <w:ind w:left="108" w:right="10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最低低潮位</w:t>
            </w:r>
          </w:p>
        </w:tc>
        <w:tc>
          <w:tcPr>
            <w:tcW w:w="622" w:type="pct"/>
            <w:noWrap w:val="0"/>
            <w:vAlign w:val="center"/>
          </w:tcPr>
          <w:p w14:paraId="362706F7">
            <w:pPr>
              <w:pStyle w:val="1564"/>
              <w:ind w:left="111" w:right="10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多年平均潮位</w:t>
            </w:r>
          </w:p>
        </w:tc>
        <w:tc>
          <w:tcPr>
            <w:tcW w:w="803" w:type="pct"/>
            <w:noWrap w:val="0"/>
            <w:vAlign w:val="center"/>
          </w:tcPr>
          <w:p w14:paraId="0CB00583">
            <w:pPr>
              <w:pStyle w:val="1564"/>
              <w:ind w:left="109" w:right="9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年平均高潮位</w:t>
            </w:r>
          </w:p>
        </w:tc>
        <w:tc>
          <w:tcPr>
            <w:tcW w:w="932" w:type="pct"/>
            <w:noWrap w:val="0"/>
            <w:vAlign w:val="center"/>
          </w:tcPr>
          <w:p w14:paraId="46B3EECB">
            <w:pPr>
              <w:pStyle w:val="1564"/>
              <w:ind w:left="115" w:right="104"/>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多年平均低潮位</w:t>
            </w:r>
          </w:p>
        </w:tc>
        <w:tc>
          <w:tcPr>
            <w:tcW w:w="591" w:type="pct"/>
            <w:noWrap w:val="0"/>
            <w:vAlign w:val="center"/>
          </w:tcPr>
          <w:p w14:paraId="258BCA6F">
            <w:pPr>
              <w:pStyle w:val="1564"/>
              <w:spacing w:before="136"/>
              <w:ind w:left="106" w:right="96"/>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最大潮差</w:t>
            </w:r>
          </w:p>
        </w:tc>
        <w:tc>
          <w:tcPr>
            <w:tcW w:w="624" w:type="pct"/>
            <w:noWrap w:val="0"/>
            <w:vAlign w:val="center"/>
          </w:tcPr>
          <w:p w14:paraId="77E01305">
            <w:pPr>
              <w:pStyle w:val="1564"/>
              <w:spacing w:before="136"/>
              <w:ind w:left="216" w:right="205"/>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平均潮差</w:t>
            </w:r>
          </w:p>
        </w:tc>
      </w:tr>
      <w:tr w14:paraId="3ECFBC8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12" w:type="pct"/>
            <w:noWrap w:val="0"/>
            <w:vAlign w:val="center"/>
          </w:tcPr>
          <w:p w14:paraId="25A7CBC3">
            <w:pPr>
              <w:pStyle w:val="1564"/>
              <w:spacing w:line="222" w:lineRule="exact"/>
              <w:ind w:left="109" w:right="99"/>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+5.83m</w:t>
            </w:r>
          </w:p>
        </w:tc>
        <w:tc>
          <w:tcPr>
            <w:tcW w:w="712" w:type="pct"/>
            <w:noWrap w:val="0"/>
            <w:vAlign w:val="center"/>
          </w:tcPr>
          <w:p w14:paraId="14D935F6">
            <w:pPr>
              <w:pStyle w:val="1564"/>
              <w:spacing w:line="222" w:lineRule="exact"/>
              <w:ind w:left="108" w:right="98"/>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-0.69m</w:t>
            </w:r>
          </w:p>
        </w:tc>
        <w:tc>
          <w:tcPr>
            <w:tcW w:w="622" w:type="pct"/>
            <w:noWrap w:val="0"/>
            <w:vAlign w:val="center"/>
          </w:tcPr>
          <w:p w14:paraId="500AB35E">
            <w:pPr>
              <w:pStyle w:val="1564"/>
              <w:spacing w:line="222" w:lineRule="exact"/>
              <w:ind w:left="331"/>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+2.39m</w:t>
            </w:r>
          </w:p>
        </w:tc>
        <w:tc>
          <w:tcPr>
            <w:tcW w:w="803" w:type="pct"/>
            <w:noWrap w:val="0"/>
            <w:vAlign w:val="center"/>
          </w:tcPr>
          <w:p w14:paraId="73E3E6BD">
            <w:pPr>
              <w:pStyle w:val="1564"/>
              <w:spacing w:line="222" w:lineRule="exact"/>
              <w:ind w:left="33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+3.66m</w:t>
            </w:r>
          </w:p>
        </w:tc>
        <w:tc>
          <w:tcPr>
            <w:tcW w:w="932" w:type="pct"/>
            <w:noWrap w:val="0"/>
            <w:vAlign w:val="center"/>
          </w:tcPr>
          <w:p w14:paraId="413C3724">
            <w:pPr>
              <w:pStyle w:val="1564"/>
              <w:spacing w:line="222" w:lineRule="exact"/>
              <w:ind w:left="44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+1.15m</w:t>
            </w:r>
          </w:p>
        </w:tc>
        <w:tc>
          <w:tcPr>
            <w:tcW w:w="591" w:type="pct"/>
            <w:noWrap w:val="0"/>
            <w:vAlign w:val="center"/>
          </w:tcPr>
          <w:p w14:paraId="239AE510">
            <w:pPr>
              <w:pStyle w:val="1564"/>
              <w:spacing w:line="222" w:lineRule="exact"/>
              <w:ind w:left="106" w:right="95"/>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5.52m</w:t>
            </w:r>
          </w:p>
        </w:tc>
        <w:tc>
          <w:tcPr>
            <w:tcW w:w="624" w:type="pct"/>
            <w:noWrap w:val="0"/>
            <w:vAlign w:val="center"/>
          </w:tcPr>
          <w:p w14:paraId="204F57DF">
            <w:pPr>
              <w:pStyle w:val="1564"/>
              <w:spacing w:line="222" w:lineRule="exact"/>
              <w:ind w:left="216" w:right="203"/>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2.51m</w:t>
            </w:r>
          </w:p>
        </w:tc>
      </w:tr>
    </w:tbl>
    <w:p w14:paraId="609D7C71">
      <w:pPr>
        <w:spacing w:before="1" w:line="240" w:lineRule="auto"/>
        <w:ind w:right="0" w:firstLine="370" w:firstLineChars="200"/>
        <w:jc w:val="left"/>
        <w:rPr>
          <w:rFonts w:hint="default" w:ascii="Times New Roman" w:hAnsi="Times New Roman" w:eastAsia="仿宋_GB2312" w:cs="Times New Roman"/>
          <w:b/>
          <w:bCs/>
          <w:color w:val="auto"/>
          <w:sz w:val="21"/>
          <w:highlight w:val="none"/>
        </w:rPr>
      </w:pPr>
      <w:r>
        <w:rPr>
          <w:rFonts w:hint="default" w:ascii="Times New Roman" w:hAnsi="Times New Roman" w:eastAsia="仿宋_GB2312" w:cs="Times New Roman"/>
          <w:b/>
          <w:bCs/>
          <w:color w:val="auto"/>
          <w:spacing w:val="-3"/>
          <w:sz w:val="21"/>
          <w:highlight w:val="none"/>
        </w:rPr>
        <w:t>注：以果子山理论深度基面为潮位起算面，该基面比国家</w:t>
      </w:r>
      <w:r>
        <w:rPr>
          <w:rFonts w:hint="default" w:ascii="Times New Roman" w:hAnsi="Times New Roman" w:eastAsia="仿宋_GB2312" w:cs="Times New Roman"/>
          <w:b/>
          <w:bCs/>
          <w:color w:val="auto"/>
          <w:sz w:val="21"/>
          <w:highlight w:val="none"/>
        </w:rPr>
        <w:t>85</w:t>
      </w:r>
      <w:r>
        <w:rPr>
          <w:rFonts w:hint="default" w:ascii="Times New Roman" w:hAnsi="Times New Roman" w:eastAsia="仿宋_GB2312" w:cs="Times New Roman"/>
          <w:b/>
          <w:bCs/>
          <w:color w:val="auto"/>
          <w:spacing w:val="-7"/>
          <w:sz w:val="21"/>
          <w:highlight w:val="none"/>
        </w:rPr>
        <w:t>黄海高程基面低</w:t>
      </w:r>
      <w:r>
        <w:rPr>
          <w:rFonts w:hint="default" w:ascii="Times New Roman" w:hAnsi="Times New Roman" w:eastAsia="仿宋_GB2312" w:cs="Times New Roman"/>
          <w:b/>
          <w:bCs/>
          <w:color w:val="auto"/>
          <w:sz w:val="21"/>
          <w:highlight w:val="none"/>
        </w:rPr>
        <w:t>1.86m。</w:t>
      </w:r>
    </w:p>
    <w:p w14:paraId="40768D26">
      <w:pPr>
        <w:adjustRightInd w:val="0"/>
        <w:snapToGrid w:val="0"/>
        <w:spacing w:line="360" w:lineRule="auto"/>
        <w:ind w:firstLine="442" w:firstLineChars="200"/>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经</w:t>
      </w:r>
      <w:r>
        <w:rPr>
          <w:rFonts w:hint="eastAsia" w:ascii="Times New Roman" w:hAnsi="Times New Roman" w:eastAsia="宋体" w:cs="Times New Roman"/>
          <w:color w:val="auto"/>
          <w:highlight w:val="none"/>
          <w:lang w:val="en-US" w:eastAsia="zh-CN"/>
        </w:rPr>
        <w:t>对比2008年海岸线，本项目工程占地不涉及海洋，项目</w:t>
      </w:r>
      <w:r>
        <w:rPr>
          <w:rFonts w:hint="default" w:ascii="Times New Roman" w:hAnsi="Times New Roman" w:eastAsia="宋体" w:cs="Times New Roman"/>
          <w:color w:val="auto"/>
          <w:highlight w:val="none"/>
          <w:lang w:val="en-US" w:eastAsia="zh-CN"/>
        </w:rPr>
        <w:t>设计标高3~9.72m，</w:t>
      </w:r>
      <w:r>
        <w:rPr>
          <w:rFonts w:hint="eastAsia" w:ascii="Times New Roman" w:cs="Times New Roman"/>
          <w:color w:val="auto"/>
          <w:highlight w:val="none"/>
          <w:u w:val="single"/>
          <w:lang w:val="en-US" w:eastAsia="zh-CN"/>
        </w:rPr>
        <w:t>项目与下游海域经现状乡村道路下方的涵洞相连，项目与海域的水力联系不大，</w:t>
      </w:r>
      <w:r>
        <w:rPr>
          <w:rFonts w:hint="eastAsia" w:ascii="Times New Roman" w:hAnsi="Times New Roman" w:eastAsia="宋体" w:cs="Times New Roman"/>
          <w:color w:val="auto"/>
          <w:highlight w:val="none"/>
          <w:lang w:val="en-US" w:eastAsia="zh-CN"/>
        </w:rPr>
        <w:t>本项目不受</w:t>
      </w:r>
      <w:r>
        <w:rPr>
          <w:rFonts w:hint="default" w:ascii="Times New Roman" w:hAnsi="Times New Roman" w:eastAsia="宋体" w:cs="Times New Roman"/>
          <w:color w:val="auto"/>
          <w:highlight w:val="none"/>
          <w:lang w:val="en-US" w:eastAsia="zh-CN"/>
        </w:rPr>
        <w:t>潮汐水位影响。</w:t>
      </w:r>
    </w:p>
    <w:p w14:paraId="5554362A">
      <w:pPr>
        <w:numPr>
          <w:ilvl w:val="0"/>
          <w:numId w:val="39"/>
        </w:numPr>
        <w:adjustRightInd w:val="0"/>
        <w:snapToGrid w:val="0"/>
        <w:spacing w:line="360" w:lineRule="auto"/>
        <w:ind w:left="0" w:leftChars="0" w:firstLine="442" w:firstLineChars="200"/>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潮流</w:t>
      </w:r>
    </w:p>
    <w:p w14:paraId="61A9BB11">
      <w:pPr>
        <w:adjustRightInd w:val="0"/>
        <w:snapToGrid w:val="0"/>
        <w:spacing w:line="360" w:lineRule="auto"/>
        <w:ind w:firstLine="442"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地区潮流为往复流，其流向基本为南北向，潮流以全日潮为主，仍存在半日不等现象，潮流流速的分布为西部大于东部，近岸大于外海，表层大于底层。钦州湾内涨潮平均流速为0.08～0.28m/s。最大流速为0.54m/s；落潮平均流速为0.09～0.55m/s，最大流速为0.95m/s。</w:t>
      </w:r>
    </w:p>
    <w:p w14:paraId="5AD6F66B">
      <w:pPr>
        <w:pStyle w:val="6"/>
        <w:numPr>
          <w:ilvl w:val="3"/>
          <w:numId w:val="40"/>
        </w:numPr>
        <w:bidi w:val="0"/>
        <w:ind w:left="0" w:leftChars="0" w:firstLine="0" w:firstLineChars="0"/>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波浪</w:t>
      </w:r>
    </w:p>
    <w:p w14:paraId="5437BE3D">
      <w:pPr>
        <w:adjustRightInd w:val="0"/>
        <w:snapToGrid w:val="0"/>
        <w:spacing w:line="360" w:lineRule="auto"/>
        <w:ind w:firstLine="442"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本海域受到雷州半岛、中南半岛和海南岛的天然掩护作用，波浪动力条件相对较弱。本海域波浪以风浪为主，强浪向S～SW向；常浪向为NE～NNE，频率为23%～52%。</w:t>
      </w:r>
    </w:p>
    <w:p w14:paraId="57E81348">
      <w:pPr>
        <w:adjustRightInd w:val="0"/>
        <w:snapToGrid w:val="0"/>
        <w:spacing w:line="360" w:lineRule="auto"/>
        <w:ind w:firstLine="442" w:firstLineChars="200"/>
        <w:jc w:val="center"/>
        <w:rPr>
          <w:rFonts w:hint="default" w:ascii="Times New Roman" w:hAnsi="Times New Roman" w:eastAsia="宋体" w:cs="Times New Roman"/>
          <w:color w:val="auto"/>
          <w:highlight w:val="none"/>
          <w:lang w:val="en-US" w:eastAsia="zh-CN"/>
        </w:rPr>
      </w:pPr>
      <w:r>
        <w:rPr>
          <w:color w:val="auto"/>
          <w:highlight w:val="none"/>
        </w:rPr>
        <w:drawing>
          <wp:inline distT="0" distB="0" distL="114300" distR="114300">
            <wp:extent cx="3589020" cy="3424555"/>
            <wp:effectExtent l="0" t="0" r="11430" b="4445"/>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59"/>
                    <a:stretch>
                      <a:fillRect/>
                    </a:stretch>
                  </pic:blipFill>
                  <pic:spPr>
                    <a:xfrm>
                      <a:off x="0" y="0"/>
                      <a:ext cx="3589020" cy="3424555"/>
                    </a:xfrm>
                    <a:prstGeom prst="rect">
                      <a:avLst/>
                    </a:prstGeom>
                    <a:noFill/>
                    <a:ln>
                      <a:noFill/>
                    </a:ln>
                  </pic:spPr>
                </pic:pic>
              </a:graphicData>
            </a:graphic>
          </wp:inline>
        </w:drawing>
      </w:r>
    </w:p>
    <w:p w14:paraId="2B3DDB34">
      <w:pPr>
        <w:pStyle w:val="588"/>
        <w:bidi w:val="0"/>
        <w:ind w:left="0" w:leftChars="0" w:firstLine="0" w:firstLineChars="0"/>
        <w:rPr>
          <w:rFonts w:hint="eastAsia" w:ascii="宋体" w:hAnsi="宋体" w:eastAsia="宋体" w:cs="宋体"/>
          <w:color w:val="auto"/>
          <w:highlight w:val="none"/>
          <w:lang w:val="en-US" w:eastAsia="zh-CN"/>
        </w:rPr>
      </w:pPr>
      <w:r>
        <w:rPr>
          <w:rFonts w:hint="eastAsia" w:ascii="Times New Roman" w:hAnsi="Times New Roman" w:eastAsia="宋体" w:cs="Times New Roman"/>
          <w:color w:val="auto"/>
          <w:highlight w:val="none"/>
          <w:lang w:val="en-US" w:eastAsia="zh-CN"/>
        </w:rPr>
        <w:t>波浪玫瑰图</w:t>
      </w:r>
    </w:p>
    <w:p w14:paraId="75F5C077">
      <w:pPr>
        <w:pStyle w:val="4"/>
        <w:bidi w:val="0"/>
        <w:ind w:left="678" w:leftChars="0" w:firstLine="0" w:firstLineChars="0"/>
        <w:rPr>
          <w:rFonts w:hint="default"/>
          <w:color w:val="auto"/>
          <w:highlight w:val="none"/>
          <w:u w:val="single"/>
        </w:rPr>
      </w:pPr>
      <w:bookmarkStart w:id="64" w:name="_Toc6630"/>
      <w:bookmarkStart w:id="65" w:name="_Toc195236157"/>
      <w:bookmarkStart w:id="66" w:name="_Toc186205288"/>
      <w:r>
        <w:rPr>
          <w:rFonts w:hint="eastAsia"/>
          <w:color w:val="auto"/>
          <w:highlight w:val="none"/>
          <w:u w:val="single"/>
          <w:lang w:eastAsia="zh-CN"/>
        </w:rPr>
        <w:t>养殖区调查</w:t>
      </w:r>
      <w:bookmarkEnd w:id="64"/>
    </w:p>
    <w:p w14:paraId="301EA02A">
      <w:pPr>
        <w:ind w:firstLine="537" w:firstLineChars="243"/>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u w:val="single"/>
          <w:lang w:eastAsia="zh-CN"/>
        </w:rPr>
        <w:t>根据《钦州市养殖水域滩涂规划》（</w:t>
      </w:r>
      <w:r>
        <w:rPr>
          <w:rFonts w:hint="default" w:ascii="Times New Roman" w:hAnsi="Times New Roman" w:cs="Times New Roman"/>
          <w:color w:val="auto"/>
          <w:highlight w:val="none"/>
          <w:u w:val="single"/>
          <w:lang w:val="en-US" w:eastAsia="zh-CN"/>
        </w:rPr>
        <w:t>2019-2030</w:t>
      </w:r>
      <w:r>
        <w:rPr>
          <w:rFonts w:hint="default" w:ascii="Times New Roman" w:hAnsi="Times New Roman" w:cs="Times New Roman"/>
          <w:color w:val="auto"/>
          <w:highlight w:val="none"/>
          <w:u w:val="single"/>
          <w:lang w:eastAsia="zh-CN"/>
        </w:rPr>
        <w:t>），养殖区域主要分为海水养殖区和淡水养殖区。</w:t>
      </w:r>
      <w:r>
        <w:rPr>
          <w:rFonts w:hint="eastAsia" w:ascii="Times New Roman" w:hAnsi="Times New Roman" w:eastAsia="宋体" w:cs="Times New Roman"/>
          <w:color w:val="auto"/>
          <w:highlight w:val="none"/>
          <w:u w:val="single"/>
          <w:lang w:val="en-US" w:eastAsia="zh-CN"/>
        </w:rPr>
        <w:t>根据钦州市养殖模式和品种分布特点，</w:t>
      </w:r>
      <w:r>
        <w:rPr>
          <w:rFonts w:hint="eastAsia" w:ascii="Times New Roman" w:hAnsi="Times New Roman" w:cs="Times New Roman"/>
          <w:color w:val="auto"/>
          <w:highlight w:val="none"/>
          <w:u w:val="single"/>
          <w:lang w:eastAsia="zh-CN"/>
        </w:rPr>
        <w:t>海水养殖区</w:t>
      </w:r>
      <w:r>
        <w:rPr>
          <w:rFonts w:hint="eastAsia" w:ascii="Times New Roman" w:hAnsi="Times New Roman" w:eastAsia="宋体" w:cs="Times New Roman"/>
          <w:color w:val="auto"/>
          <w:highlight w:val="none"/>
          <w:u w:val="single"/>
          <w:lang w:val="en-US" w:eastAsia="zh-CN"/>
        </w:rPr>
        <w:t>划分为浅海与 滩涂养殖区、海水池塘养殖区、休闲渔业区、苗种生产区等</w:t>
      </w:r>
      <w:r>
        <w:rPr>
          <w:rFonts w:hint="default" w:ascii="Times New Roman" w:hAnsi="Times New Roman" w:eastAsia="宋体" w:cs="Times New Roman"/>
          <w:color w:val="auto"/>
          <w:highlight w:val="none"/>
          <w:u w:val="single"/>
          <w:lang w:val="en-US" w:eastAsia="zh-CN"/>
        </w:rPr>
        <w:t>。</w:t>
      </w:r>
    </w:p>
    <w:p w14:paraId="472528DC">
      <w:pPr>
        <w:ind w:firstLine="537" w:firstLineChars="243"/>
        <w:rPr>
          <w:rFonts w:hint="eastAsia"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项目周边养殖区为3.1.2-2</w:t>
      </w:r>
      <w:r>
        <w:rPr>
          <w:rFonts w:hint="default" w:ascii="Times New Roman" w:hAnsi="Times New Roman" w:eastAsia="宋体" w:cs="Times New Roman"/>
          <w:color w:val="auto"/>
          <w:highlight w:val="none"/>
          <w:u w:val="single"/>
          <w:lang w:val="en-US" w:eastAsia="zh-CN"/>
        </w:rPr>
        <w:t>鹿耳环江大灶江沿岸池塘养殖区</w:t>
      </w:r>
      <w:r>
        <w:rPr>
          <w:rFonts w:hint="eastAsia" w:ascii="Times New Roman" w:hAnsi="Times New Roman" w:eastAsia="宋体" w:cs="Times New Roman"/>
          <w:color w:val="auto"/>
          <w:highlight w:val="none"/>
          <w:u w:val="single"/>
          <w:lang w:val="en-US" w:eastAsia="zh-CN"/>
        </w:rPr>
        <w:t>，主要养殖模式为发展对虾、青蟹、鲈鱼、石斑鱼、中华乌塘鳢、金鲳、罗非鱼等品种的海水池塘生态养殖。</w:t>
      </w:r>
    </w:p>
    <w:p w14:paraId="00BDEF7E">
      <w:pPr>
        <w:pStyle w:val="4"/>
        <w:bidi w:val="0"/>
        <w:ind w:left="678" w:leftChars="0" w:firstLine="0" w:firstLineChars="0"/>
        <w:rPr>
          <w:rFonts w:hint="default"/>
          <w:color w:val="auto"/>
          <w:highlight w:val="none"/>
        </w:rPr>
      </w:pPr>
      <w:bookmarkStart w:id="67" w:name="_Toc10394"/>
      <w:r>
        <w:rPr>
          <w:rFonts w:hint="default"/>
          <w:color w:val="auto"/>
          <w:highlight w:val="none"/>
        </w:rPr>
        <w:t>周边饮用水源调查</w:t>
      </w:r>
      <w:bookmarkEnd w:id="67"/>
    </w:p>
    <w:bookmarkEnd w:id="65"/>
    <w:bookmarkEnd w:id="66"/>
    <w:p w14:paraId="079BC39C">
      <w:pPr>
        <w:pStyle w:val="5"/>
        <w:numPr>
          <w:ilvl w:val="2"/>
          <w:numId w:val="40"/>
        </w:numPr>
        <w:bidi w:val="0"/>
        <w:ind w:left="452" w:leftChars="0" w:firstLine="0" w:firstLineChars="0"/>
        <w:rPr>
          <w:rFonts w:hint="default"/>
          <w:color w:val="auto"/>
          <w:highlight w:val="none"/>
          <w:lang w:val="en-US" w:eastAsia="zh-CN"/>
        </w:rPr>
      </w:pPr>
      <w:r>
        <w:rPr>
          <w:rFonts w:hint="default"/>
          <w:color w:val="auto"/>
          <w:highlight w:val="none"/>
          <w:lang w:val="en-US" w:eastAsia="zh-CN"/>
        </w:rPr>
        <w:t>饮用水水源地调查</w:t>
      </w:r>
    </w:p>
    <w:p w14:paraId="4925A65A">
      <w:pPr>
        <w:ind w:firstLine="537" w:firstLineChars="243"/>
        <w:rPr>
          <w:rFonts w:hint="default" w:ascii="Times New Roman" w:hAnsi="Times New Roman" w:cs="Times New Roman"/>
          <w:color w:val="auto"/>
          <w:highlight w:val="none"/>
          <w:u w:val="single"/>
          <w:lang w:eastAsia="zh-CN"/>
        </w:rPr>
      </w:pPr>
      <w:r>
        <w:rPr>
          <w:rFonts w:hint="default" w:ascii="Times New Roman" w:hAnsi="Times New Roman" w:cs="Times New Roman"/>
          <w:color w:val="auto"/>
          <w:highlight w:val="none"/>
        </w:rPr>
        <w:t>根据现场踏勘和资料查阅，项目建设区域、评价范围内不涉及集中式饮用水源保护区。根据《广西壮族自治区人民政府关于同意调整钦州市有关饮用水水源保护区的批</w:t>
      </w:r>
      <w:r>
        <w:rPr>
          <w:rFonts w:hint="default" w:ascii="Times New Roman" w:hAnsi="Times New Roman" w:cs="Times New Roman"/>
          <w:color w:val="auto"/>
          <w:highlight w:val="none"/>
          <w:u w:val="none"/>
        </w:rPr>
        <w:t>复》（桂政函〔2020〕87号），距离项目最近的</w:t>
      </w:r>
      <w:r>
        <w:rPr>
          <w:rFonts w:hint="default" w:ascii="Times New Roman" w:hAnsi="Times New Roman" w:cs="Times New Roman"/>
          <w:color w:val="auto"/>
          <w:highlight w:val="none"/>
          <w:u w:val="none"/>
          <w:lang w:eastAsia="zh-CN"/>
        </w:rPr>
        <w:t>水源地为钦州市金窝水库水源地钦州</w:t>
      </w:r>
      <w:r>
        <w:rPr>
          <w:rFonts w:hint="default" w:ascii="Times New Roman" w:hAnsi="Times New Roman" w:cs="Times New Roman"/>
          <w:color w:val="auto"/>
          <w:highlight w:val="none"/>
          <w:u w:val="none"/>
        </w:rPr>
        <w:t>，</w:t>
      </w:r>
      <w:r>
        <w:rPr>
          <w:rFonts w:hint="default" w:ascii="Times New Roman" w:hAnsi="Times New Roman" w:cs="Times New Roman"/>
          <w:color w:val="auto"/>
          <w:highlight w:val="none"/>
          <w:u w:val="none"/>
          <w:lang w:eastAsia="zh-CN"/>
        </w:rPr>
        <w:t>钦州市金窝水库饮用水水源保护区具体范围如下：</w:t>
      </w:r>
    </w:p>
    <w:p w14:paraId="7741C82E">
      <w:pPr>
        <w:ind w:firstLine="537" w:firstLineChars="243"/>
        <w:rPr>
          <w:rFonts w:hint="default"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lang w:eastAsia="zh-CN"/>
        </w:rPr>
        <w:t>一级保护区：</w:t>
      </w:r>
    </w:p>
    <w:p w14:paraId="1F7C80D3">
      <w:pPr>
        <w:ind w:firstLine="537" w:firstLineChars="24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水域范围：</w:t>
      </w:r>
      <w:r>
        <w:rPr>
          <w:rFonts w:hint="default" w:ascii="Times New Roman" w:hAnsi="Times New Roman" w:eastAsia="宋体" w:cs="Times New Roman"/>
          <w:color w:val="auto"/>
          <w:highlight w:val="none"/>
          <w:lang w:val="en-US" w:eastAsia="zh-CN"/>
        </w:rPr>
        <w:t>金窝水库钦州沿海工业园区取水口半径1380米范围内多年平均水位对应的高程线以下的全部水域；金窝水库第三水厂取水口半径300米范围内多年平均水位对应的高程线以下的全部水域；企山水库多年平均水位对应的高程线以下的全部水域。水域面积：0.6平方公里。</w:t>
      </w:r>
    </w:p>
    <w:p w14:paraId="1B5AED70">
      <w:pPr>
        <w:ind w:firstLine="537" w:firstLineChars="24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陆域范围：一级保护区水域外200米范围内的陆域，但不超过流域分水岭范围。陆域面积：2.67平方公里。</w:t>
      </w:r>
    </w:p>
    <w:p w14:paraId="51688769">
      <w:pPr>
        <w:ind w:firstLine="537" w:firstLineChars="24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一级保护区总面积：3.27平方公里。</w:t>
      </w:r>
    </w:p>
    <w:p w14:paraId="37590A58">
      <w:pPr>
        <w:ind w:firstLine="537" w:firstLineChars="243"/>
        <w:rPr>
          <w:rFonts w:hint="default"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lang w:eastAsia="zh-CN"/>
        </w:rPr>
        <w:t>二级保护区：</w:t>
      </w:r>
    </w:p>
    <w:p w14:paraId="5DA0EC70">
      <w:pPr>
        <w:ind w:firstLine="537" w:firstLineChars="24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水域范围：金窝水库一级保护区水域外多年平均水位对应的高程线以下的全部水域。水域面积：5.41平方公里。</w:t>
      </w:r>
    </w:p>
    <w:p w14:paraId="3043B8D9">
      <w:pPr>
        <w:ind w:firstLine="537" w:firstLineChars="24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陆域范围：金窝水库、企山水库全部汇水区域（一级保护区陆域除外）；大风江连通渠长度为金窝水库与该连通渠交汇口向上延伸2000米，宽度为该连通渠水域沿岸纵深200米的陆域。陆域面积：22.09平方公里。</w:t>
      </w:r>
    </w:p>
    <w:p w14:paraId="2C79F357">
      <w:pPr>
        <w:ind w:firstLine="537" w:firstLineChars="24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二级保护区总面积：27.5平方公里。</w:t>
      </w:r>
    </w:p>
    <w:p w14:paraId="5A69E724">
      <w:pPr>
        <w:pStyle w:val="5"/>
        <w:numPr>
          <w:ilvl w:val="2"/>
          <w:numId w:val="40"/>
        </w:numPr>
        <w:bidi w:val="0"/>
        <w:ind w:left="452" w:leftChars="0" w:firstLine="0" w:firstLineChars="0"/>
        <w:rPr>
          <w:rFonts w:hint="default"/>
          <w:color w:val="auto"/>
          <w:highlight w:val="none"/>
          <w:lang w:eastAsia="zh-CN"/>
        </w:rPr>
      </w:pPr>
      <w:r>
        <w:rPr>
          <w:rFonts w:hint="default"/>
          <w:color w:val="auto"/>
          <w:highlight w:val="none"/>
          <w:lang w:eastAsia="zh-CN"/>
        </w:rPr>
        <w:t>项目与周边饮用水水源地位置关系</w:t>
      </w:r>
    </w:p>
    <w:p w14:paraId="0409C780">
      <w:pPr>
        <w:pStyle w:val="313"/>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经资料研判</w:t>
      </w:r>
      <w:r>
        <w:rPr>
          <w:rFonts w:hint="eastAsia" w:ascii="Times New Roman" w:cs="Times New Roman"/>
          <w:color w:val="auto"/>
          <w:highlight w:val="none"/>
          <w:lang w:val="en-US" w:eastAsia="zh-CN"/>
        </w:rPr>
        <w:t>需</w:t>
      </w:r>
      <w:r>
        <w:rPr>
          <w:rFonts w:hint="default" w:ascii="Times New Roman" w:hAnsi="Times New Roman" w:cs="Times New Roman"/>
          <w:color w:val="auto"/>
          <w:highlight w:val="none"/>
          <w:lang w:eastAsia="zh-CN"/>
        </w:rPr>
        <w:t>结合现场踏勘，项目位于钦州市金窝水库饮用水水源保护区西南侧处，距离二级保护区陆域范围线</w:t>
      </w:r>
      <w:r>
        <w:rPr>
          <w:rFonts w:hint="default" w:ascii="Times New Roman" w:hAnsi="Times New Roman" w:cs="Times New Roman"/>
          <w:color w:val="auto"/>
          <w:highlight w:val="none"/>
          <w:lang w:val="en-US" w:eastAsia="zh-CN"/>
        </w:rPr>
        <w:t>最近距离为</w:t>
      </w:r>
      <w:r>
        <w:rPr>
          <w:rFonts w:hint="default" w:ascii="Times New Roman" w:hAnsi="Times New Roman" w:cs="Times New Roman"/>
          <w:color w:val="auto"/>
          <w:highlight w:val="none"/>
          <w:lang w:eastAsia="zh-CN"/>
        </w:rPr>
        <w:t>1.27km，本项目不涉及饮用水水源保护区</w:t>
      </w:r>
      <w:r>
        <w:rPr>
          <w:rFonts w:hint="default" w:ascii="Times New Roman" w:hAnsi="Times New Roman" w:cs="Times New Roman"/>
          <w:color w:val="auto"/>
          <w:highlight w:val="none"/>
        </w:rPr>
        <w:t>。</w:t>
      </w:r>
    </w:p>
    <w:p w14:paraId="088BCB1E">
      <w:pPr>
        <w:pStyle w:val="4"/>
        <w:numPr>
          <w:ilvl w:val="1"/>
          <w:numId w:val="40"/>
        </w:numPr>
        <w:bidi w:val="0"/>
        <w:ind w:left="678" w:leftChars="0" w:firstLine="0" w:firstLineChars="0"/>
        <w:rPr>
          <w:rFonts w:hint="default"/>
          <w:color w:val="auto"/>
          <w:highlight w:val="none"/>
          <w:u w:val="single"/>
        </w:rPr>
      </w:pPr>
      <w:bookmarkStart w:id="68" w:name="_Toc10438"/>
      <w:bookmarkStart w:id="69" w:name="_Toc149836150"/>
      <w:bookmarkStart w:id="70" w:name="_Toc186205290"/>
      <w:bookmarkStart w:id="71" w:name="_Toc195236158"/>
      <w:bookmarkStart w:id="72" w:name="_Toc195236159"/>
      <w:r>
        <w:rPr>
          <w:rFonts w:hint="eastAsia"/>
          <w:color w:val="auto"/>
          <w:highlight w:val="none"/>
          <w:u w:val="single"/>
          <w:lang w:eastAsia="zh-CN"/>
        </w:rPr>
        <w:t>周边生态敏感区调查</w:t>
      </w:r>
      <w:bookmarkEnd w:id="68"/>
    </w:p>
    <w:p w14:paraId="376D256D">
      <w:pPr>
        <w:pStyle w:val="313"/>
        <w:ind w:firstLine="442"/>
        <w:rPr>
          <w:rFonts w:hint="eastAsia" w:ascii="Times New Roman" w:hAnsi="Times New Roman" w:cs="Times New Roman"/>
          <w:b/>
          <w:bCs/>
          <w:color w:val="auto"/>
          <w:highlight w:val="none"/>
          <w:lang w:val="en-US" w:eastAsia="zh-CN"/>
        </w:rPr>
      </w:pPr>
      <w:r>
        <w:rPr>
          <w:rFonts w:hint="eastAsia"/>
          <w:color w:val="auto"/>
          <w:highlight w:val="none"/>
          <w:u w:val="single"/>
          <w:lang w:val="en-US" w:eastAsia="zh-CN"/>
        </w:rPr>
        <w:t>经资料研判结现场调查，项目用地不涉及国家公园、自然保护区、自然公园等自然保护地、世界自然遗产地、生态保护红线等，项目边界外5km范围内的生态敏感区调查结果如下：</w:t>
      </w:r>
    </w:p>
    <w:p w14:paraId="7C527FE8">
      <w:pPr>
        <w:pStyle w:val="5"/>
        <w:numPr>
          <w:ilvl w:val="2"/>
          <w:numId w:val="40"/>
        </w:numPr>
        <w:bidi w:val="0"/>
        <w:ind w:left="452" w:leftChars="0" w:firstLine="0" w:firstLineChars="0"/>
        <w:rPr>
          <w:rFonts w:hint="default"/>
          <w:color w:val="auto"/>
          <w:highlight w:val="none"/>
          <w:lang w:val="en-US" w:eastAsia="zh-CN"/>
        </w:rPr>
      </w:pPr>
      <w:r>
        <w:rPr>
          <w:rFonts w:hint="eastAsia" w:ascii="Times New Roman" w:hAnsi="Times New Roman" w:eastAsia="宋体" w:cs="Times New Roman"/>
          <w:color w:val="auto"/>
          <w:highlight w:val="none"/>
          <w:u w:val="single"/>
          <w:lang w:val="en-US" w:eastAsia="zh-CN"/>
        </w:rPr>
        <w:t>生态保护红线</w:t>
      </w:r>
    </w:p>
    <w:p w14:paraId="765F3DED">
      <w:pPr>
        <w:pStyle w:val="313"/>
        <w:ind w:firstLine="442"/>
        <w:rPr>
          <w:rFonts w:hint="eastAsia" w:ascii="宋体" w:hAnsi="Times New Roman" w:eastAsia="宋体" w:cs="Times New Roman"/>
          <w:color w:val="auto"/>
          <w:highlight w:val="none"/>
          <w:u w:val="single"/>
          <w:lang w:val="en-US" w:eastAsia="zh-CN"/>
        </w:rPr>
      </w:pPr>
      <w:r>
        <w:rPr>
          <w:rFonts w:hint="eastAsia" w:ascii="宋体" w:hAnsi="Times New Roman" w:eastAsia="宋体" w:cs="Times New Roman"/>
          <w:color w:val="auto"/>
          <w:highlight w:val="none"/>
          <w:u w:val="single"/>
          <w:lang w:val="en-US" w:eastAsia="zh-CN"/>
        </w:rPr>
        <w:t>根据《生态保护红线划定指南》、《广西生态保护红线划定方案》对生态保护红线类型的划分要求，项目在原厂区内建设，不新增用地，用地不涉及生态敏感区/脆弱区、生物多样性保护区、水源涵养生态保护区、重要湿地保护区、自然与人文景观、林地保护区、集中式饮用水源保护区等环境敏感区。</w:t>
      </w:r>
    </w:p>
    <w:p w14:paraId="71B8E4F5">
      <w:pPr>
        <w:pStyle w:val="313"/>
        <w:ind w:firstLine="442"/>
        <w:rPr>
          <w:rFonts w:hint="eastAsia" w:ascii="宋体" w:hAnsi="Times New Roman" w:eastAsia="宋体" w:cs="Times New Roman"/>
          <w:color w:val="auto"/>
          <w:highlight w:val="none"/>
          <w:u w:val="single"/>
          <w:lang w:val="en-US" w:eastAsia="zh-CN"/>
        </w:rPr>
      </w:pPr>
      <w:r>
        <w:rPr>
          <w:rFonts w:hint="eastAsia" w:ascii="宋体" w:hAnsi="Times New Roman" w:eastAsia="宋体" w:cs="Times New Roman"/>
          <w:color w:val="auto"/>
          <w:highlight w:val="none"/>
          <w:u w:val="single"/>
          <w:lang w:val="en-US" w:eastAsia="zh-CN"/>
        </w:rPr>
        <w:t>根据《钦州市生态环境局关于印发〈钦州市生态环境分区管控动态更新成果（2023版）〉的通知》，项目所在位置属钦州港经济技术开发区重点管控单元（管控单元编码ZH45070220005），不涉及生态红线区，符合生态保护红线要求。</w:t>
      </w:r>
    </w:p>
    <w:p w14:paraId="562981A3">
      <w:pPr>
        <w:pStyle w:val="313"/>
        <w:ind w:firstLine="442"/>
        <w:rPr>
          <w:rFonts w:hint="eastAsia"/>
          <w:color w:val="auto"/>
          <w:highlight w:val="none"/>
          <w:u w:val="single"/>
          <w:lang w:val="en-US" w:eastAsia="zh-CN"/>
        </w:rPr>
      </w:pPr>
      <w:r>
        <w:rPr>
          <w:rFonts w:hint="eastAsia"/>
          <w:color w:val="auto"/>
          <w:highlight w:val="none"/>
          <w:u w:val="single"/>
          <w:lang w:val="en-US" w:eastAsia="zh-CN"/>
        </w:rPr>
        <w:t>距离项目最近的生态红线为东北侧约1.6km的北部湾水源涵养生态保护红线（ZH4507021004）。水源涵养生态保护红线是指在生态空间范围内，具有重要水源涵养功能、必须强制性严格保护的区域，是保障和维护国家生态安全的底线和生命线，具有保障水资源供应，提升水质，维护生态平衡，减少自然灾害等重要意义。</w:t>
      </w:r>
    </w:p>
    <w:p w14:paraId="7C36A280">
      <w:pPr>
        <w:pStyle w:val="5"/>
        <w:numPr>
          <w:ilvl w:val="2"/>
          <w:numId w:val="40"/>
        </w:numPr>
        <w:bidi w:val="0"/>
        <w:ind w:left="452" w:leftChars="0" w:firstLine="0" w:firstLineChars="0"/>
        <w:rPr>
          <w:rFonts w:hint="eastAsia" w:ascii="Times New Roman" w:hAnsi="Times New Roman" w:cs="Times New Roman"/>
          <w:b/>
          <w:bCs/>
          <w:color w:val="auto"/>
          <w:highlight w:val="none"/>
          <w:u w:val="single"/>
          <w:lang w:val="en-US" w:eastAsia="zh-CN"/>
        </w:rPr>
      </w:pPr>
      <w:r>
        <w:rPr>
          <w:rFonts w:hint="eastAsia" w:cs="Times New Roman"/>
          <w:b/>
          <w:bCs/>
          <w:color w:val="auto"/>
          <w:highlight w:val="none"/>
          <w:u w:val="single"/>
          <w:lang w:val="en-US" w:eastAsia="zh-CN"/>
        </w:rPr>
        <w:t>红树林</w:t>
      </w:r>
    </w:p>
    <w:p w14:paraId="1159B839">
      <w:pPr>
        <w:pStyle w:val="1687"/>
        <w:rPr>
          <w:rFonts w:hint="eastAsia" w:ascii="Times New Roman" w:hAnsi="Times New Roman" w:eastAsia="宋体" w:cs="Times New Roman"/>
          <w:color w:val="auto"/>
          <w:highlight w:val="none"/>
          <w:u w:val="single"/>
          <w:lang w:eastAsia="zh-CN"/>
        </w:rPr>
      </w:pPr>
      <w:r>
        <w:rPr>
          <w:rFonts w:hint="default" w:ascii="Times New Roman" w:hAnsi="Times New Roman" w:cs="Times New Roman"/>
          <w:color w:val="auto"/>
          <w:highlight w:val="none"/>
          <w:u w:val="single"/>
        </w:rPr>
        <w:t>以钦州市2020年国土变更调查数据为基础，衔接广西红树林资源保护规划再结合现场补充调查成果，钦州市现有红树林面积3212.82hm</w:t>
      </w:r>
      <w:r>
        <w:rPr>
          <w:rFonts w:hint="default" w:ascii="Times New Roman" w:hAnsi="Times New Roman" w:cs="Times New Roman"/>
          <w:color w:val="auto"/>
          <w:highlight w:val="none"/>
          <w:u w:val="single"/>
          <w:vertAlign w:val="superscript"/>
        </w:rPr>
        <w:t>2</w:t>
      </w:r>
      <w:r>
        <w:rPr>
          <w:rFonts w:hint="default" w:ascii="Times New Roman" w:hAnsi="Times New Roman" w:cs="Times New Roman"/>
          <w:color w:val="auto"/>
          <w:highlight w:val="none"/>
          <w:u w:val="single"/>
        </w:rPr>
        <w:t>。主要包括乔木红树林和灌木红树林两大类，其中：（1）乔木类红树林以人工营造的无瓣海桑为主，面积494.58hm</w:t>
      </w:r>
      <w:r>
        <w:rPr>
          <w:rFonts w:hint="default" w:ascii="Times New Roman" w:hAnsi="Times New Roman" w:cs="Times New Roman"/>
          <w:color w:val="auto"/>
          <w:highlight w:val="none"/>
          <w:u w:val="single"/>
          <w:vertAlign w:val="superscript"/>
        </w:rPr>
        <w:t>2</w:t>
      </w:r>
      <w:r>
        <w:rPr>
          <w:rFonts w:hint="default" w:ascii="Times New Roman" w:hAnsi="Times New Roman" w:cs="Times New Roman"/>
          <w:color w:val="auto"/>
          <w:highlight w:val="none"/>
          <w:u w:val="single"/>
        </w:rPr>
        <w:t>；（2）灌木类红树林包括桐花树、秋茄、白骨壤等天然或人工类型，面积2718.24hm</w:t>
      </w:r>
      <w:r>
        <w:rPr>
          <w:rFonts w:hint="default" w:ascii="Times New Roman" w:hAnsi="Times New Roman" w:cs="Times New Roman"/>
          <w:color w:val="auto"/>
          <w:highlight w:val="none"/>
          <w:u w:val="single"/>
          <w:vertAlign w:val="superscript"/>
        </w:rPr>
        <w:t>2</w:t>
      </w:r>
      <w:r>
        <w:rPr>
          <w:rFonts w:hint="default" w:ascii="Times New Roman" w:hAnsi="Times New Roman" w:cs="Times New Roman"/>
          <w:color w:val="auto"/>
          <w:highlight w:val="none"/>
          <w:u w:val="single"/>
        </w:rPr>
        <w:t>。钦州市的红树林全部位于钦南区行政范围内，涉及沙埠镇、康熙岭镇、尖山街道、大番坡镇、龙门港镇、东场镇、那丽镇、犀牛脚镇（含三娘湾旅游管理区）、自贸区钦州港片区等 9个乡镇（街道/开发区）</w:t>
      </w:r>
      <w:r>
        <w:rPr>
          <w:rFonts w:hint="eastAsia" w:ascii="Times New Roman" w:hAnsi="Times New Roman" w:cs="Times New Roman"/>
          <w:color w:val="auto"/>
          <w:highlight w:val="none"/>
          <w:u w:val="single"/>
          <w:lang w:eastAsia="zh-CN"/>
        </w:rPr>
        <w:t>，其中</w:t>
      </w:r>
      <w:r>
        <w:rPr>
          <w:rFonts w:hint="default" w:ascii="Times New Roman" w:hAnsi="Times New Roman" w:cs="Times New Roman"/>
          <w:color w:val="auto"/>
          <w:highlight w:val="none"/>
          <w:u w:val="single"/>
        </w:rPr>
        <w:t>自贸区钦州港片区红树林面积217.51hm</w:t>
      </w:r>
      <w:r>
        <w:rPr>
          <w:rFonts w:hint="default" w:ascii="Times New Roman" w:hAnsi="Times New Roman" w:cs="Times New Roman"/>
          <w:color w:val="auto"/>
          <w:highlight w:val="none"/>
          <w:u w:val="single"/>
          <w:vertAlign w:val="superscript"/>
        </w:rPr>
        <w:t>2</w:t>
      </w:r>
      <w:r>
        <w:rPr>
          <w:rFonts w:hint="default" w:ascii="Times New Roman" w:hAnsi="Times New Roman" w:cs="Times New Roman"/>
          <w:color w:val="auto"/>
          <w:highlight w:val="none"/>
          <w:u w:val="single"/>
        </w:rPr>
        <w:t>，占红树林总面积6.77%。</w:t>
      </w:r>
    </w:p>
    <w:p w14:paraId="488562F0">
      <w:pPr>
        <w:pStyle w:val="1687"/>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钦州市红树林主要群落类型有:桐花树群落、无瓣海桑群落白骨壤群落、无瓣海桑+桐花树群落、无瓣海桑+桐花树+秋茄群落、桐花树+秋茄群落、桐花树+卤蕨群落、白骨壤+桐花树+秋茄群落、白骨壤+桐花树群落、秋茄群落和白骨壤+秋茄群落</w:t>
      </w:r>
      <w:r>
        <w:rPr>
          <w:rFonts w:hint="eastAsia" w:ascii="Times New Roman" w:hAnsi="Times New Roman" w:cs="Times New Roman"/>
          <w:color w:val="auto"/>
          <w:highlight w:val="none"/>
          <w:u w:val="single"/>
          <w:lang w:eastAsia="zh-CN"/>
        </w:rPr>
        <w:t>。</w:t>
      </w:r>
    </w:p>
    <w:p w14:paraId="1A7B1FF5">
      <w:pPr>
        <w:pStyle w:val="1687"/>
        <w:ind w:firstLine="496"/>
        <w:jc w:val="both"/>
        <w:rPr>
          <w:rFonts w:hint="eastAsia" w:ascii="Times New Roman" w:hAnsi="Times New Roman" w:eastAsia="宋体" w:cs="Times New Roman"/>
          <w:color w:val="auto"/>
          <w:highlight w:val="none"/>
          <w:u w:val="single"/>
          <w:lang w:eastAsia="zh-CN"/>
        </w:rPr>
      </w:pPr>
      <w:r>
        <w:rPr>
          <w:rFonts w:hint="default" w:ascii="Times New Roman" w:hAnsi="Times New Roman" w:eastAsia="宋体" w:cs="Times New Roman"/>
          <w:color w:val="auto"/>
          <w:highlight w:val="none"/>
          <w:u w:val="single"/>
          <w:lang w:eastAsia="zh-CN"/>
        </w:rPr>
        <w:t>经现场核查，项目下游至滨海公路段无红树林分布，</w:t>
      </w:r>
      <w:r>
        <w:rPr>
          <w:rFonts w:hint="default" w:ascii="Times New Roman" w:hAnsi="Times New Roman" w:eastAsia="宋体" w:cs="Times New Roman"/>
          <w:color w:val="auto"/>
          <w:highlight w:val="none"/>
          <w:u w:val="single"/>
        </w:rPr>
        <w:t>距项目较近的红树林分布</w:t>
      </w:r>
      <w:r>
        <w:rPr>
          <w:rFonts w:hint="default" w:ascii="Times New Roman" w:hAnsi="Times New Roman" w:eastAsia="宋体" w:cs="Times New Roman"/>
          <w:color w:val="auto"/>
          <w:highlight w:val="none"/>
          <w:u w:val="single"/>
          <w:lang w:eastAsia="zh-CN"/>
        </w:rPr>
        <w:t>区</w:t>
      </w:r>
      <w:r>
        <w:rPr>
          <w:rFonts w:hint="default" w:ascii="Times New Roman" w:hAnsi="Times New Roman" w:eastAsia="宋体" w:cs="Times New Roman"/>
          <w:color w:val="auto"/>
          <w:highlight w:val="none"/>
          <w:u w:val="single"/>
        </w:rPr>
        <w:t>为项目选址</w:t>
      </w:r>
      <w:r>
        <w:rPr>
          <w:rFonts w:hint="default" w:ascii="Times New Roman" w:hAnsi="Times New Roman" w:eastAsia="宋体" w:cs="Times New Roman"/>
          <w:color w:val="auto"/>
          <w:highlight w:val="none"/>
          <w:u w:val="single"/>
          <w:lang w:eastAsia="zh-CN"/>
        </w:rPr>
        <w:t>东南侧</w:t>
      </w:r>
      <w:r>
        <w:rPr>
          <w:rFonts w:hint="default" w:ascii="Times New Roman" w:hAnsi="Times New Roman" w:eastAsia="宋体" w:cs="Times New Roman"/>
          <w:color w:val="auto"/>
          <w:highlight w:val="none"/>
          <w:u w:val="single"/>
        </w:rPr>
        <w:t>直线距离约</w:t>
      </w:r>
      <w:r>
        <w:rPr>
          <w:rFonts w:hint="default" w:ascii="Times New Roman" w:hAnsi="Times New Roman" w:eastAsia="宋体" w:cs="Times New Roman"/>
          <w:color w:val="auto"/>
          <w:highlight w:val="none"/>
          <w:u w:val="single"/>
          <w:lang w:val="en-US" w:eastAsia="zh-CN"/>
        </w:rPr>
        <w:t>1.8</w:t>
      </w:r>
      <w:r>
        <w:rPr>
          <w:rFonts w:hint="default" w:ascii="Times New Roman" w:hAnsi="Times New Roman" w:eastAsia="宋体" w:cs="Times New Roman"/>
          <w:color w:val="auto"/>
          <w:highlight w:val="none"/>
          <w:u w:val="single"/>
        </w:rPr>
        <w:t>km外的金鼓江红树林集中分布斑块，东北侧直线距离约</w:t>
      </w:r>
      <w:r>
        <w:rPr>
          <w:rFonts w:hint="default" w:ascii="Times New Roman" w:hAnsi="Times New Roman" w:eastAsia="宋体" w:cs="Times New Roman"/>
          <w:color w:val="auto"/>
          <w:highlight w:val="none"/>
          <w:u w:val="single"/>
          <w:lang w:val="en-US" w:eastAsia="zh-CN"/>
        </w:rPr>
        <w:t>3.0</w:t>
      </w:r>
      <w:r>
        <w:rPr>
          <w:rFonts w:hint="default" w:ascii="Times New Roman" w:hAnsi="Times New Roman" w:eastAsia="宋体" w:cs="Times New Roman"/>
          <w:color w:val="auto"/>
          <w:highlight w:val="none"/>
          <w:u w:val="single"/>
        </w:rPr>
        <w:t>km外的金鼓江红树林集中分布斑块</w:t>
      </w:r>
      <w:r>
        <w:rPr>
          <w:rFonts w:hint="eastAsia" w:ascii="Times New Roman" w:hAnsi="Times New Roman" w:eastAsia="宋体" w:cs="Times New Roman"/>
          <w:color w:val="auto"/>
          <w:highlight w:val="none"/>
          <w:u w:val="single"/>
          <w:lang w:eastAsia="zh-CN"/>
        </w:rPr>
        <w:t>，项目不涉及红树林。</w:t>
      </w:r>
    </w:p>
    <w:p w14:paraId="1988DBE4">
      <w:pPr>
        <w:pStyle w:val="313"/>
        <w:ind w:firstLine="442"/>
        <w:rPr>
          <w:rFonts w:hint="default"/>
          <w:color w:val="auto"/>
          <w:highlight w:val="none"/>
          <w:u w:val="single"/>
          <w:lang w:val="en-US" w:eastAsia="zh-CN"/>
        </w:rPr>
      </w:pPr>
    </w:p>
    <w:p w14:paraId="35205AF1">
      <w:pPr>
        <w:pStyle w:val="4"/>
        <w:numPr>
          <w:ilvl w:val="1"/>
          <w:numId w:val="40"/>
        </w:numPr>
        <w:bidi w:val="0"/>
        <w:ind w:left="678" w:leftChars="0" w:firstLine="0" w:firstLineChars="0"/>
        <w:rPr>
          <w:rFonts w:hint="default"/>
          <w:color w:val="auto"/>
          <w:highlight w:val="none"/>
        </w:rPr>
      </w:pPr>
      <w:bookmarkStart w:id="73" w:name="_Toc13270"/>
      <w:r>
        <w:rPr>
          <w:rFonts w:hint="default"/>
          <w:color w:val="auto"/>
          <w:highlight w:val="none"/>
        </w:rPr>
        <w:t>生态环境现状质量调查与评价</w:t>
      </w:r>
      <w:bookmarkEnd w:id="69"/>
      <w:bookmarkEnd w:id="73"/>
    </w:p>
    <w:p w14:paraId="33909F7A">
      <w:pPr>
        <w:pStyle w:val="5"/>
        <w:numPr>
          <w:ilvl w:val="2"/>
          <w:numId w:val="40"/>
        </w:numPr>
        <w:bidi w:val="0"/>
        <w:ind w:left="452" w:leftChars="0" w:firstLine="0" w:firstLineChars="0"/>
        <w:rPr>
          <w:rFonts w:hint="default"/>
          <w:color w:val="auto"/>
          <w:highlight w:val="none"/>
        </w:rPr>
      </w:pPr>
      <w:r>
        <w:rPr>
          <w:rFonts w:hint="default"/>
          <w:color w:val="auto"/>
          <w:highlight w:val="none"/>
        </w:rPr>
        <w:t>植被生态环境现状调查与评价</w:t>
      </w:r>
    </w:p>
    <w:p w14:paraId="5DAFF021">
      <w:pPr>
        <w:pStyle w:val="6"/>
        <w:numPr>
          <w:ilvl w:val="3"/>
          <w:numId w:val="40"/>
        </w:numPr>
        <w:bidi w:val="0"/>
        <w:ind w:left="0" w:leftChars="0" w:firstLine="0" w:firstLineChars="0"/>
        <w:rPr>
          <w:rFonts w:hint="default"/>
          <w:color w:val="auto"/>
          <w:highlight w:val="none"/>
        </w:rPr>
      </w:pPr>
      <w:r>
        <w:rPr>
          <w:rFonts w:hint="default"/>
          <w:color w:val="auto"/>
          <w:highlight w:val="none"/>
        </w:rPr>
        <w:t>调查方法</w:t>
      </w:r>
    </w:p>
    <w:p w14:paraId="2C9C7560">
      <w:pPr>
        <w:pStyle w:val="68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根据《环境影响评价技术导则—生态影响》（HJ19-2022），本项目生态影响评价工作为三级，现状调查以收集有效资料为主，可开展必要的遥感调查或现场校核。</w:t>
      </w:r>
    </w:p>
    <w:p w14:paraId="0357D0EC">
      <w:pPr>
        <w:pStyle w:val="684"/>
        <w:ind w:firstLine="442"/>
        <w:rPr>
          <w:rFonts w:hint="default" w:ascii="Times New Roman" w:hAnsi="Times New Roman" w:cs="Times New Roman"/>
          <w:color w:val="auto"/>
          <w:highlight w:val="none"/>
        </w:rPr>
      </w:pPr>
      <w:r>
        <w:rPr>
          <w:rFonts w:hint="default" w:ascii="Times New Roman" w:hAnsi="Times New Roman" w:cs="Times New Roman"/>
          <w:b w:val="0"/>
          <w:bCs w:val="0"/>
          <w:color w:val="auto"/>
          <w:highlight w:val="none"/>
        </w:rPr>
        <w:t>1、基础本项</w:t>
      </w:r>
      <w:r>
        <w:rPr>
          <w:rFonts w:hint="default" w:ascii="Times New Roman" w:hAnsi="Times New Roman" w:cs="Times New Roman"/>
          <w:color w:val="auto"/>
          <w:highlight w:val="none"/>
        </w:rPr>
        <w:t>目于</w:t>
      </w:r>
      <w:r>
        <w:rPr>
          <w:rFonts w:hint="eastAsia" w:ascii="Times New Roman" w:cs="Times New Roman"/>
          <w:color w:val="auto"/>
          <w:highlight w:val="none"/>
          <w:lang w:val="en-US" w:eastAsia="zh-CN"/>
        </w:rPr>
        <w:t>2024</w:t>
      </w:r>
      <w:r>
        <w:rPr>
          <w:rFonts w:hint="default" w:ascii="Times New Roman" w:hAnsi="Times New Roman" w:cs="Times New Roman"/>
          <w:color w:val="auto"/>
          <w:highlight w:val="none"/>
        </w:rPr>
        <w:t>年</w:t>
      </w:r>
      <w:r>
        <w:rPr>
          <w:rFonts w:hint="eastAsia" w:ascii="Times New Roman" w:cs="Times New Roman"/>
          <w:color w:val="auto"/>
          <w:highlight w:val="none"/>
          <w:lang w:val="en-US" w:eastAsia="zh-CN"/>
        </w:rPr>
        <w:t>11</w:t>
      </w:r>
      <w:r>
        <w:rPr>
          <w:rFonts w:hint="default" w:ascii="Times New Roman" w:hAnsi="Times New Roman" w:cs="Times New Roman"/>
          <w:color w:val="auto"/>
          <w:highlight w:val="none"/>
        </w:rPr>
        <w:t>月对现有项目周边生态环境进行现场踏勘调查。具体采用调查方法如下：</w:t>
      </w:r>
    </w:p>
    <w:p w14:paraId="2352120E">
      <w:pPr>
        <w:pStyle w:val="684"/>
        <w:ind w:firstLine="453"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资料收集</w:t>
      </w:r>
    </w:p>
    <w:p w14:paraId="41B238C4">
      <w:pPr>
        <w:pStyle w:val="684"/>
        <w:ind w:firstLine="453"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对项目所在区域现有基础资料进行收集分析，主要包括：工程可行性研究资料、工程图件、1</w:t>
      </w:r>
      <w:r>
        <w:rPr>
          <w:rFonts w:hint="eastAsia" w:ascii="Times New Roman" w:cs="Times New Roman"/>
          <w:color w:val="auto"/>
          <w:highlight w:val="none"/>
          <w:lang w:eastAsia="zh-CN"/>
        </w:rPr>
        <w:t>：</w:t>
      </w:r>
      <w:r>
        <w:rPr>
          <w:rFonts w:hint="default" w:ascii="Times New Roman" w:hAnsi="Times New Roman" w:cs="Times New Roman"/>
          <w:color w:val="auto"/>
          <w:highlight w:val="none"/>
        </w:rPr>
        <w:t>10000地形图、《广西野生动物》、《广西陆栖脊椎动物分布名录》、《广西森林》、《广西植物志》、《广西植物资源》、《广西生态功能区划》《中国两栖动物图鉴》、《广西两栖动物名录》、《中国鸟类图鉴》及路线涉及地区土地利用总体规划、重点公益林区划界定报告等专著，以及相关公开发表的研究论文。</w:t>
      </w:r>
    </w:p>
    <w:p w14:paraId="2EA9FB20">
      <w:pPr>
        <w:pStyle w:val="684"/>
        <w:ind w:firstLine="453"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2、物种调查</w:t>
      </w:r>
    </w:p>
    <w:p w14:paraId="6C7F8BBF">
      <w:pPr>
        <w:pStyle w:val="684"/>
        <w:ind w:firstLine="453"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物种调查采取资料收集和现场踏勘相结合方法进行：首先到当地相关部门收集该地区地方志、植物名录以及野生植物调查报告等资料；其次，采取周边调查进行项目周边现场踏勘，对于成片农业生产区、单一人工林路段采取路线调查，在代表性重点工程施工区域（项目永久占地内、临时占地区域）以及植被发育良好的区域实行重点调查。对保护植物、古树名木以及资源植物采取野外调查、专家咨询和民间访问相结合的方法进行。</w:t>
      </w:r>
    </w:p>
    <w:p w14:paraId="0A085762">
      <w:pPr>
        <w:pStyle w:val="684"/>
        <w:ind w:firstLine="444"/>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3、植被调查</w:t>
      </w:r>
    </w:p>
    <w:p w14:paraId="571A048C">
      <w:pPr>
        <w:pStyle w:val="684"/>
        <w:ind w:firstLine="442"/>
        <w:jc w:val="left"/>
        <w:rPr>
          <w:rFonts w:hint="default" w:ascii="Times New Roman" w:hAnsi="Times New Roman" w:cs="Times New Roman"/>
          <w:color w:val="auto"/>
          <w:highlight w:val="none"/>
        </w:rPr>
      </w:pPr>
      <w:r>
        <w:rPr>
          <w:rFonts w:hint="default" w:ascii="Times New Roman" w:hAnsi="Times New Roman" w:cs="Times New Roman"/>
          <w:snapToGrid w:val="0"/>
          <w:color w:val="auto"/>
          <w:szCs w:val="21"/>
          <w:highlight w:val="none"/>
          <w:lang w:bidi="ar"/>
        </w:rPr>
        <w:t>植被调查采取资料收集、现场踏勘与卫星遥感相结合方法进行。现场踏勘采取路线调查的技术方法，主要是对评价范围进行踏勘，通过对周边观察，记录项目沿线大致的植被类型、结构和主要的物种组成情况。</w:t>
      </w:r>
    </w:p>
    <w:p w14:paraId="013D859F">
      <w:pPr>
        <w:pStyle w:val="6"/>
        <w:numPr>
          <w:ilvl w:val="3"/>
          <w:numId w:val="40"/>
        </w:numPr>
        <w:bidi w:val="0"/>
        <w:ind w:left="0" w:leftChars="0" w:firstLine="0" w:firstLineChars="0"/>
        <w:rPr>
          <w:rFonts w:hint="default"/>
          <w:color w:val="auto"/>
          <w:highlight w:val="none"/>
        </w:rPr>
      </w:pPr>
      <w:r>
        <w:rPr>
          <w:rFonts w:hint="default"/>
          <w:color w:val="auto"/>
          <w:highlight w:val="none"/>
          <w:lang w:eastAsia="zh-CN"/>
        </w:rPr>
        <w:t>生物</w:t>
      </w:r>
      <w:r>
        <w:rPr>
          <w:rFonts w:hint="default"/>
          <w:color w:val="auto"/>
          <w:highlight w:val="none"/>
        </w:rPr>
        <w:t>植被现状调查结果</w:t>
      </w:r>
    </w:p>
    <w:p w14:paraId="447B5ECB">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本项目位于</w:t>
      </w:r>
      <w:r>
        <w:rPr>
          <w:rFonts w:hint="default" w:ascii="Times New Roman" w:hAnsi="Times New Roman" w:cs="Times New Roman"/>
          <w:color w:val="auto"/>
          <w:highlight w:val="none"/>
          <w:lang w:eastAsia="zh-CN"/>
        </w:rPr>
        <w:t>钦州港新型城乡融合发展示范区内，钦州港片区和谐大街以南，大榄坪大街以北，友谊大道以东区域，</w:t>
      </w:r>
      <w:r>
        <w:rPr>
          <w:rFonts w:hint="default" w:ascii="Times New Roman" w:hAnsi="Times New Roman" w:cs="Times New Roman"/>
          <w:color w:val="auto"/>
          <w:highlight w:val="none"/>
        </w:rPr>
        <w:t>所在区域属城市郊区生态系统，场地内主要为</w:t>
      </w:r>
      <w:r>
        <w:rPr>
          <w:rFonts w:hint="default" w:ascii="Times New Roman" w:hAnsi="Times New Roman" w:cs="Times New Roman"/>
          <w:color w:val="auto"/>
          <w:highlight w:val="none"/>
          <w:lang w:eastAsia="zh-CN"/>
        </w:rPr>
        <w:t>水塘</w:t>
      </w:r>
      <w:r>
        <w:rPr>
          <w:rFonts w:hint="default" w:ascii="Times New Roman" w:hAnsi="Times New Roman" w:cs="Times New Roman"/>
          <w:color w:val="auto"/>
          <w:highlight w:val="none"/>
        </w:rPr>
        <w:t>、耕地</w:t>
      </w:r>
      <w:r>
        <w:rPr>
          <w:rFonts w:hint="default" w:ascii="Times New Roman" w:hAnsi="Times New Roman" w:cs="Times New Roman"/>
          <w:color w:val="auto"/>
          <w:highlight w:val="none"/>
          <w:lang w:eastAsia="zh-CN"/>
        </w:rPr>
        <w:t>、旱地</w:t>
      </w:r>
      <w:r>
        <w:rPr>
          <w:rFonts w:hint="default" w:ascii="Times New Roman" w:hAnsi="Times New Roman" w:cs="Times New Roman"/>
          <w:color w:val="auto"/>
          <w:highlight w:val="none"/>
        </w:rPr>
        <w:t>及</w:t>
      </w:r>
      <w:r>
        <w:rPr>
          <w:rFonts w:hint="default" w:ascii="Times New Roman" w:hAnsi="Times New Roman" w:cs="Times New Roman"/>
          <w:color w:val="auto"/>
          <w:highlight w:val="none"/>
          <w:lang w:eastAsia="zh-CN"/>
        </w:rPr>
        <w:t>河流湿地</w:t>
      </w:r>
      <w:r>
        <w:rPr>
          <w:rFonts w:hint="default" w:ascii="Times New Roman" w:hAnsi="Times New Roman" w:cs="Times New Roman"/>
          <w:color w:val="auto"/>
          <w:highlight w:val="none"/>
        </w:rPr>
        <w:t>，已无原生植被生长，以次生植被占主体，植物群落简单，物种种类较少。陆域评价范围内自然植被以暖性灌丛为主，主要分布在周边未利用荒地和村道路边，河岸边及水塘边有少部分湿地植被生长，常见灌木物种有</w:t>
      </w:r>
      <w:r>
        <w:rPr>
          <w:rFonts w:hint="default" w:ascii="Times New Roman" w:hAnsi="Times New Roman" w:cs="Times New Roman"/>
          <w:color w:val="auto"/>
          <w:highlight w:val="none"/>
          <w:lang w:val="en-US" w:eastAsia="zh-CN"/>
        </w:rPr>
        <w:t>桃金娘</w:t>
      </w:r>
      <w:r>
        <w:rPr>
          <w:rFonts w:hint="default" w:ascii="Times New Roman" w:hAnsi="Times New Roman" w:cs="Times New Roman"/>
          <w:color w:val="auto"/>
          <w:highlight w:val="none"/>
        </w:rPr>
        <w:t>（</w:t>
      </w:r>
      <w:r>
        <w:rPr>
          <w:rFonts w:hint="default" w:ascii="Times New Roman" w:hAnsi="Times New Roman" w:cs="Times New Roman"/>
          <w:i/>
          <w:iCs/>
          <w:color w:val="auto"/>
          <w:highlight w:val="none"/>
        </w:rPr>
        <w:t xml:space="preserve">Rhodomyrtus tomentosa </w:t>
      </w:r>
      <w:r>
        <w:rPr>
          <w:rFonts w:hint="default" w:ascii="Times New Roman" w:hAnsi="Times New Roman" w:cs="Times New Roman"/>
          <w:color w:val="auto"/>
          <w:highlight w:val="none"/>
        </w:rPr>
        <w:t>）等，常见草本植物有</w:t>
      </w:r>
      <w:r>
        <w:rPr>
          <w:rFonts w:hint="default" w:ascii="Times New Roman" w:hAnsi="Times New Roman" w:cs="Times New Roman"/>
          <w:color w:val="auto"/>
          <w:highlight w:val="none"/>
          <w:lang w:eastAsia="zh-CN"/>
        </w:rPr>
        <w:t>白茅（</w:t>
      </w:r>
      <w:r>
        <w:rPr>
          <w:rFonts w:hint="default" w:ascii="Times New Roman" w:hAnsi="Times New Roman" w:cs="Times New Roman"/>
          <w:i/>
          <w:iCs/>
          <w:color w:val="auto"/>
          <w:highlight w:val="none"/>
          <w:u w:val="none"/>
          <w:lang w:eastAsia="zh-CN"/>
        </w:rPr>
        <w:t>Imperata cylindrica</w:t>
      </w:r>
      <w:r>
        <w:rPr>
          <w:rFonts w:hint="default" w:ascii="Times New Roman" w:hAnsi="Times New Roman" w:cs="Times New Roman"/>
          <w:color w:val="auto"/>
          <w:highlight w:val="none"/>
          <w:lang w:eastAsia="zh-CN"/>
        </w:rPr>
        <w:t>）、铁芒萁（</w:t>
      </w:r>
      <w:r>
        <w:rPr>
          <w:rFonts w:hint="default" w:ascii="Times New Roman" w:hAnsi="Times New Roman" w:eastAsia="宋体" w:cs="Times New Roman"/>
          <w:i/>
          <w:iCs/>
          <w:color w:val="auto"/>
          <w:sz w:val="21"/>
          <w:szCs w:val="21"/>
          <w:highlight w:val="none"/>
        </w:rPr>
        <w:t>Dicranopteris linearis</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五节芒（</w:t>
      </w:r>
      <w:r>
        <w:rPr>
          <w:rFonts w:hint="default" w:ascii="Times New Roman" w:hAnsi="Times New Roman" w:cs="Times New Roman"/>
          <w:i/>
          <w:iCs/>
          <w:color w:val="auto"/>
          <w:sz w:val="21"/>
          <w:szCs w:val="21"/>
          <w:highlight w:val="none"/>
        </w:rPr>
        <w:t>Miscanthus floridulus</w:t>
      </w:r>
      <w:r>
        <w:rPr>
          <w:rFonts w:hint="default" w:ascii="Times New Roman" w:hAnsi="Times New Roman" w:cs="Times New Roman"/>
          <w:color w:val="auto"/>
          <w:highlight w:val="none"/>
        </w:rPr>
        <w:t>）、类芦（</w:t>
      </w:r>
      <w:r>
        <w:rPr>
          <w:rFonts w:hint="default" w:ascii="Times New Roman" w:hAnsi="Times New Roman" w:cs="Times New Roman"/>
          <w:i/>
          <w:iCs/>
          <w:color w:val="auto"/>
          <w:sz w:val="21"/>
          <w:szCs w:val="21"/>
          <w:highlight w:val="none"/>
        </w:rPr>
        <w:t>Neyraudia reynaudiana</w:t>
      </w:r>
      <w:r>
        <w:rPr>
          <w:rFonts w:hint="default" w:ascii="Times New Roman" w:hAnsi="Times New Roman" w:cs="Times New Roman"/>
          <w:color w:val="auto"/>
          <w:highlight w:val="none"/>
        </w:rPr>
        <w:t>）等，森林植被覆盖率低。</w:t>
      </w:r>
    </w:p>
    <w:p w14:paraId="3A09EA74">
      <w:pPr>
        <w:pStyle w:val="410"/>
        <w:ind w:firstLine="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drawing>
          <wp:inline distT="0" distB="0" distL="114300" distR="114300">
            <wp:extent cx="5448300" cy="3064510"/>
            <wp:effectExtent l="0" t="0" r="0" b="2540"/>
            <wp:docPr id="50" name="图片 331" descr="0e0c3555267f2d7b690675378578e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31" descr="0e0c3555267f2d7b690675378578eb8"/>
                    <pic:cNvPicPr>
                      <a:picLocks noChangeAspect="1"/>
                    </pic:cNvPicPr>
                  </pic:nvPicPr>
                  <pic:blipFill>
                    <a:blip r:embed="rId60"/>
                    <a:stretch>
                      <a:fillRect/>
                    </a:stretch>
                  </pic:blipFill>
                  <pic:spPr>
                    <a:xfrm>
                      <a:off x="0" y="0"/>
                      <a:ext cx="5448300" cy="3064510"/>
                    </a:xfrm>
                    <a:prstGeom prst="rect">
                      <a:avLst/>
                    </a:prstGeom>
                    <a:noFill/>
                    <a:ln>
                      <a:noFill/>
                    </a:ln>
                  </pic:spPr>
                </pic:pic>
              </a:graphicData>
            </a:graphic>
          </wp:inline>
        </w:drawing>
      </w:r>
    </w:p>
    <w:p w14:paraId="2F7C340E">
      <w:pPr>
        <w:pStyle w:val="588"/>
        <w:numPr>
          <w:ilvl w:val="5"/>
          <w:numId w:val="40"/>
        </w:numPr>
        <w:bidi w:val="0"/>
        <w:ind w:left="0" w:leftChars="0" w:firstLine="0" w:firstLineChars="0"/>
        <w:rPr>
          <w:rFonts w:hint="default"/>
          <w:color w:val="auto"/>
          <w:highlight w:val="none"/>
        </w:rPr>
      </w:pPr>
      <w:r>
        <w:rPr>
          <w:rFonts w:hint="default"/>
          <w:color w:val="auto"/>
          <w:highlight w:val="none"/>
          <w:lang w:eastAsia="zh-CN"/>
        </w:rPr>
        <w:t>区域生态环境现状</w:t>
      </w:r>
    </w:p>
    <w:p w14:paraId="02F142D1">
      <w:pPr>
        <w:pStyle w:val="410"/>
        <w:numPr>
          <w:ilvl w:val="0"/>
          <w:numId w:val="41"/>
        </w:numPr>
        <w:ind w:left="0" w:leftChars="0" w:firstLine="442" w:firstLineChars="20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植被区系划分</w:t>
      </w:r>
    </w:p>
    <w:p w14:paraId="30A87E51">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采取群落学-生态学分类原则，并参考《中国植被》、《广西植被》、《广西天然植被类型分类系统》，选用植被型组、植被型、群系等基本单位，结合对评价区内现状植被中群落组成的建群种和优质种的外貌。具体植物群落调查结果统计见下表。</w:t>
      </w:r>
    </w:p>
    <w:p w14:paraId="1ACB9331">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r>
        <w:rPr>
          <w:rFonts w:hint="default"/>
          <w:color w:val="auto"/>
          <w:highlight w:val="none"/>
        </w:rPr>
        <w:t>植物群落调查结果统计表</w:t>
      </w:r>
    </w:p>
    <w:tbl>
      <w:tblPr>
        <w:tblStyle w:val="87"/>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08"/>
        <w:gridCol w:w="691"/>
        <w:gridCol w:w="763"/>
        <w:gridCol w:w="1051"/>
        <w:gridCol w:w="2127"/>
        <w:gridCol w:w="3388"/>
      </w:tblGrid>
      <w:tr w14:paraId="26DF7B0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tblHeader/>
          <w:jc w:val="center"/>
        </w:trPr>
        <w:tc>
          <w:tcPr>
            <w:tcW w:w="808" w:type="dxa"/>
            <w:vMerge w:val="restart"/>
            <w:noWrap w:val="0"/>
            <w:vAlign w:val="center"/>
          </w:tcPr>
          <w:p w14:paraId="52177D3C">
            <w:pPr>
              <w:pStyle w:val="69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调查区域</w:t>
            </w:r>
          </w:p>
        </w:tc>
        <w:tc>
          <w:tcPr>
            <w:tcW w:w="691" w:type="dxa"/>
            <w:vMerge w:val="restart"/>
            <w:noWrap w:val="0"/>
            <w:vAlign w:val="center"/>
          </w:tcPr>
          <w:p w14:paraId="089552DC">
            <w:pPr>
              <w:pStyle w:val="69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植被型组</w:t>
            </w:r>
          </w:p>
        </w:tc>
        <w:tc>
          <w:tcPr>
            <w:tcW w:w="763" w:type="dxa"/>
            <w:vMerge w:val="restart"/>
            <w:noWrap w:val="0"/>
            <w:vAlign w:val="center"/>
          </w:tcPr>
          <w:p w14:paraId="110BE6D8">
            <w:pPr>
              <w:pStyle w:val="69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植被型</w:t>
            </w:r>
          </w:p>
        </w:tc>
        <w:tc>
          <w:tcPr>
            <w:tcW w:w="1051" w:type="dxa"/>
            <w:vMerge w:val="restart"/>
            <w:noWrap w:val="0"/>
            <w:vAlign w:val="center"/>
          </w:tcPr>
          <w:p w14:paraId="1A264E9E">
            <w:pPr>
              <w:pStyle w:val="69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植被亚型</w:t>
            </w:r>
          </w:p>
        </w:tc>
        <w:tc>
          <w:tcPr>
            <w:tcW w:w="2127" w:type="dxa"/>
            <w:vMerge w:val="restart"/>
            <w:noWrap w:val="0"/>
            <w:vAlign w:val="center"/>
          </w:tcPr>
          <w:p w14:paraId="54F8E4BC">
            <w:pPr>
              <w:pStyle w:val="69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群系</w:t>
            </w:r>
          </w:p>
        </w:tc>
        <w:tc>
          <w:tcPr>
            <w:tcW w:w="3388" w:type="dxa"/>
            <w:vMerge w:val="restart"/>
            <w:noWrap w:val="0"/>
            <w:vAlign w:val="center"/>
          </w:tcPr>
          <w:p w14:paraId="1C4C1F18">
            <w:pPr>
              <w:pStyle w:val="698"/>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分布区域</w:t>
            </w:r>
          </w:p>
        </w:tc>
      </w:tr>
      <w:tr w14:paraId="2B07FDE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tblHeader/>
          <w:jc w:val="center"/>
        </w:trPr>
        <w:tc>
          <w:tcPr>
            <w:tcW w:w="808" w:type="dxa"/>
            <w:vMerge w:val="continue"/>
            <w:noWrap w:val="0"/>
            <w:vAlign w:val="center"/>
          </w:tcPr>
          <w:p w14:paraId="3D6E8325">
            <w:pPr>
              <w:pStyle w:val="698"/>
              <w:rPr>
                <w:rFonts w:hint="default" w:ascii="Times New Roman" w:hAnsi="Times New Roman" w:cs="Times New Roman"/>
                <w:b/>
                <w:bCs/>
                <w:color w:val="auto"/>
                <w:highlight w:val="none"/>
              </w:rPr>
            </w:pPr>
          </w:p>
        </w:tc>
        <w:tc>
          <w:tcPr>
            <w:tcW w:w="691" w:type="dxa"/>
            <w:vMerge w:val="continue"/>
            <w:noWrap w:val="0"/>
            <w:vAlign w:val="center"/>
          </w:tcPr>
          <w:p w14:paraId="019D3A81">
            <w:pPr>
              <w:pStyle w:val="698"/>
              <w:rPr>
                <w:rFonts w:hint="default" w:ascii="Times New Roman" w:hAnsi="Times New Roman" w:cs="Times New Roman"/>
                <w:b/>
                <w:bCs/>
                <w:color w:val="auto"/>
                <w:highlight w:val="none"/>
              </w:rPr>
            </w:pPr>
          </w:p>
        </w:tc>
        <w:tc>
          <w:tcPr>
            <w:tcW w:w="763" w:type="dxa"/>
            <w:vMerge w:val="continue"/>
            <w:noWrap w:val="0"/>
            <w:vAlign w:val="center"/>
          </w:tcPr>
          <w:p w14:paraId="13AFA342">
            <w:pPr>
              <w:pStyle w:val="698"/>
              <w:rPr>
                <w:rFonts w:hint="default" w:ascii="Times New Roman" w:hAnsi="Times New Roman" w:cs="Times New Roman"/>
                <w:b/>
                <w:bCs/>
                <w:color w:val="auto"/>
                <w:highlight w:val="none"/>
              </w:rPr>
            </w:pPr>
          </w:p>
        </w:tc>
        <w:tc>
          <w:tcPr>
            <w:tcW w:w="1051" w:type="dxa"/>
            <w:vMerge w:val="continue"/>
            <w:noWrap w:val="0"/>
            <w:vAlign w:val="center"/>
          </w:tcPr>
          <w:p w14:paraId="1BBD2C36">
            <w:pPr>
              <w:pStyle w:val="698"/>
              <w:rPr>
                <w:rFonts w:hint="default" w:ascii="Times New Roman" w:hAnsi="Times New Roman" w:cs="Times New Roman"/>
                <w:b/>
                <w:bCs/>
                <w:color w:val="auto"/>
                <w:highlight w:val="none"/>
              </w:rPr>
            </w:pPr>
          </w:p>
        </w:tc>
        <w:tc>
          <w:tcPr>
            <w:tcW w:w="2127" w:type="dxa"/>
            <w:vMerge w:val="continue"/>
            <w:noWrap w:val="0"/>
            <w:vAlign w:val="center"/>
          </w:tcPr>
          <w:p w14:paraId="79788E4E">
            <w:pPr>
              <w:pStyle w:val="698"/>
              <w:rPr>
                <w:rFonts w:hint="default" w:ascii="Times New Roman" w:hAnsi="Times New Roman" w:cs="Times New Roman"/>
                <w:b/>
                <w:bCs/>
                <w:color w:val="auto"/>
                <w:highlight w:val="none"/>
              </w:rPr>
            </w:pPr>
          </w:p>
        </w:tc>
        <w:tc>
          <w:tcPr>
            <w:tcW w:w="3388" w:type="dxa"/>
            <w:vMerge w:val="continue"/>
            <w:noWrap w:val="0"/>
            <w:vAlign w:val="center"/>
          </w:tcPr>
          <w:p w14:paraId="156264AB">
            <w:pPr>
              <w:pStyle w:val="698"/>
              <w:rPr>
                <w:rFonts w:hint="default" w:ascii="Times New Roman" w:hAnsi="Times New Roman" w:cs="Times New Roman"/>
                <w:b/>
                <w:bCs/>
                <w:color w:val="auto"/>
                <w:highlight w:val="none"/>
              </w:rPr>
            </w:pPr>
          </w:p>
        </w:tc>
      </w:tr>
      <w:tr w14:paraId="48058AD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tblHeader/>
          <w:jc w:val="center"/>
        </w:trPr>
        <w:tc>
          <w:tcPr>
            <w:tcW w:w="808" w:type="dxa"/>
            <w:vMerge w:val="restart"/>
            <w:noWrap w:val="0"/>
            <w:vAlign w:val="center"/>
          </w:tcPr>
          <w:p w14:paraId="1E7D0FCC">
            <w:pPr>
              <w:pStyle w:val="698"/>
              <w:rPr>
                <w:rFonts w:hint="default" w:ascii="Times New Roman" w:hAnsi="Times New Roman" w:cs="Times New Roman"/>
                <w:b/>
                <w:bCs/>
                <w:color w:val="auto"/>
                <w:highlight w:val="none"/>
              </w:rPr>
            </w:pPr>
            <w:r>
              <w:rPr>
                <w:rFonts w:hint="default" w:ascii="Times New Roman" w:hAnsi="Times New Roman" w:cs="Times New Roman"/>
                <w:color w:val="auto"/>
                <w:highlight w:val="none"/>
              </w:rPr>
              <w:t>项目评价范围内</w:t>
            </w:r>
          </w:p>
        </w:tc>
        <w:tc>
          <w:tcPr>
            <w:tcW w:w="691" w:type="dxa"/>
            <w:vMerge w:val="restart"/>
            <w:shd w:val="clear" w:color="auto" w:fill="auto"/>
            <w:noWrap w:val="0"/>
            <w:vAlign w:val="center"/>
          </w:tcPr>
          <w:p w14:paraId="73F7E3F9">
            <w:pPr>
              <w:pStyle w:val="698"/>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cs="Times New Roman"/>
                <w:color w:val="auto"/>
                <w:highlight w:val="none"/>
              </w:rPr>
              <w:t>灌丛</w:t>
            </w:r>
          </w:p>
        </w:tc>
        <w:tc>
          <w:tcPr>
            <w:tcW w:w="763" w:type="dxa"/>
            <w:vMerge w:val="restart"/>
            <w:shd w:val="clear" w:color="auto" w:fill="auto"/>
            <w:noWrap w:val="0"/>
            <w:vAlign w:val="center"/>
          </w:tcPr>
          <w:p w14:paraId="0165BF92">
            <w:pPr>
              <w:pStyle w:val="698"/>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cs="Times New Roman"/>
                <w:bCs/>
                <w:color w:val="auto"/>
                <w:highlight w:val="none"/>
              </w:rPr>
              <w:t>暖性灌丛</w:t>
            </w:r>
          </w:p>
        </w:tc>
        <w:tc>
          <w:tcPr>
            <w:tcW w:w="1051" w:type="dxa"/>
            <w:shd w:val="clear" w:color="auto" w:fill="auto"/>
            <w:noWrap w:val="0"/>
            <w:vAlign w:val="center"/>
          </w:tcPr>
          <w:p w14:paraId="5FD05E4A">
            <w:pPr>
              <w:pStyle w:val="698"/>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cs="Times New Roman"/>
                <w:bCs/>
                <w:color w:val="auto"/>
                <w:highlight w:val="none"/>
              </w:rPr>
              <w:t>红壤土地区灌丛</w:t>
            </w:r>
          </w:p>
        </w:tc>
        <w:tc>
          <w:tcPr>
            <w:tcW w:w="2127" w:type="dxa"/>
            <w:shd w:val="clear" w:color="auto" w:fill="auto"/>
            <w:noWrap w:val="0"/>
            <w:vAlign w:val="center"/>
          </w:tcPr>
          <w:p w14:paraId="2C29AE9D">
            <w:pPr>
              <w:pStyle w:val="698"/>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highlight w:val="none"/>
              </w:rPr>
              <w:t xml:space="preserve">桃金娘 </w:t>
            </w:r>
            <w:r>
              <w:rPr>
                <w:rFonts w:hint="default" w:ascii="Times New Roman" w:hAnsi="Times New Roman" w:eastAsia="宋体" w:cs="Times New Roman"/>
                <w:i/>
                <w:iCs/>
                <w:color w:val="auto"/>
                <w:highlight w:val="none"/>
              </w:rPr>
              <w:t>Rhodomyrtus tomentosa</w:t>
            </w:r>
          </w:p>
        </w:tc>
        <w:tc>
          <w:tcPr>
            <w:tcW w:w="3388" w:type="dxa"/>
            <w:shd w:val="clear" w:color="auto" w:fill="auto"/>
            <w:noWrap w:val="0"/>
            <w:vAlign w:val="center"/>
          </w:tcPr>
          <w:p w14:paraId="4B91A632">
            <w:pPr>
              <w:pStyle w:val="698"/>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lang w:eastAsia="zh-CN"/>
              </w:rPr>
              <w:t>主要分布于丘陵</w:t>
            </w:r>
            <w:r>
              <w:rPr>
                <w:rFonts w:hint="default" w:ascii="Times New Roman" w:hAnsi="Times New Roman" w:cs="Times New Roman"/>
                <w:color w:val="auto"/>
                <w:highlight w:val="none"/>
              </w:rPr>
              <w:t>未利用荒地</w:t>
            </w:r>
          </w:p>
        </w:tc>
      </w:tr>
      <w:tr w14:paraId="1384F19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tblHeader/>
          <w:jc w:val="center"/>
        </w:trPr>
        <w:tc>
          <w:tcPr>
            <w:tcW w:w="808" w:type="dxa"/>
            <w:vMerge w:val="continue"/>
            <w:noWrap w:val="0"/>
            <w:vAlign w:val="center"/>
          </w:tcPr>
          <w:p w14:paraId="691CE759">
            <w:pPr>
              <w:pStyle w:val="698"/>
              <w:rPr>
                <w:rFonts w:hint="default" w:ascii="Times New Roman" w:hAnsi="Times New Roman" w:cs="Times New Roman"/>
                <w:color w:val="auto"/>
                <w:highlight w:val="none"/>
              </w:rPr>
            </w:pPr>
          </w:p>
        </w:tc>
        <w:tc>
          <w:tcPr>
            <w:tcW w:w="691" w:type="dxa"/>
            <w:vMerge w:val="continue"/>
            <w:noWrap w:val="0"/>
            <w:vAlign w:val="center"/>
          </w:tcPr>
          <w:p w14:paraId="2115DDEF">
            <w:pPr>
              <w:pStyle w:val="698"/>
              <w:rPr>
                <w:rFonts w:hint="default" w:ascii="Times New Roman" w:hAnsi="Times New Roman" w:cs="Times New Roman"/>
                <w:color w:val="auto"/>
                <w:highlight w:val="none"/>
              </w:rPr>
            </w:pPr>
          </w:p>
        </w:tc>
        <w:tc>
          <w:tcPr>
            <w:tcW w:w="763" w:type="dxa"/>
            <w:vMerge w:val="continue"/>
            <w:noWrap w:val="0"/>
            <w:vAlign w:val="center"/>
          </w:tcPr>
          <w:p w14:paraId="295118A9">
            <w:pPr>
              <w:pStyle w:val="698"/>
              <w:rPr>
                <w:rFonts w:hint="default" w:ascii="Times New Roman" w:hAnsi="Times New Roman" w:cs="Times New Roman"/>
                <w:color w:val="auto"/>
                <w:highlight w:val="none"/>
              </w:rPr>
            </w:pPr>
          </w:p>
        </w:tc>
        <w:tc>
          <w:tcPr>
            <w:tcW w:w="1051" w:type="dxa"/>
            <w:shd w:val="clear" w:color="auto" w:fill="auto"/>
            <w:noWrap w:val="0"/>
            <w:vAlign w:val="center"/>
          </w:tcPr>
          <w:p w14:paraId="2E60FF43">
            <w:pPr>
              <w:pStyle w:val="698"/>
              <w:rPr>
                <w:rFonts w:hint="default" w:ascii="Times New Roman" w:hAnsi="Times New Roman" w:eastAsia="宋体" w:cs="Times New Roman"/>
                <w:bCs/>
                <w:color w:val="auto"/>
                <w:sz w:val="21"/>
                <w:szCs w:val="21"/>
                <w:highlight w:val="none"/>
                <w:lang w:val="en-US" w:eastAsia="zh-CN" w:bidi="ar-SA"/>
              </w:rPr>
            </w:pPr>
            <w:r>
              <w:rPr>
                <w:rFonts w:hint="default" w:ascii="Times New Roman" w:hAnsi="Times New Roman" w:cs="Times New Roman"/>
                <w:bCs/>
                <w:color w:val="auto"/>
                <w:highlight w:val="none"/>
              </w:rPr>
              <w:t>石灰（岩）土地区灌丛</w:t>
            </w:r>
          </w:p>
        </w:tc>
        <w:tc>
          <w:tcPr>
            <w:tcW w:w="2127" w:type="dxa"/>
            <w:shd w:val="clear" w:color="auto" w:fill="auto"/>
            <w:noWrap w:val="0"/>
            <w:vAlign w:val="center"/>
          </w:tcPr>
          <w:p w14:paraId="141598CE">
            <w:pPr>
              <w:pStyle w:val="698"/>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雀梅藤</w:t>
            </w:r>
            <w:r>
              <w:rPr>
                <w:rFonts w:hint="default" w:ascii="Times New Roman" w:hAnsi="Times New Roman" w:cs="Times New Roman"/>
                <w:i/>
                <w:iCs/>
                <w:color w:val="auto"/>
                <w:highlight w:val="none"/>
              </w:rPr>
              <w:t>Sageretia thea</w:t>
            </w:r>
          </w:p>
        </w:tc>
        <w:tc>
          <w:tcPr>
            <w:tcW w:w="3388" w:type="dxa"/>
            <w:shd w:val="clear" w:color="auto" w:fill="auto"/>
            <w:noWrap w:val="0"/>
            <w:vAlign w:val="center"/>
          </w:tcPr>
          <w:p w14:paraId="12134077">
            <w:pPr>
              <w:pStyle w:val="698"/>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零散分布于坑塘边、村道路和未利用荒地</w:t>
            </w:r>
          </w:p>
        </w:tc>
      </w:tr>
      <w:tr w14:paraId="5B58B16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98" w:hRule="atLeast"/>
          <w:jc w:val="center"/>
        </w:trPr>
        <w:tc>
          <w:tcPr>
            <w:tcW w:w="808" w:type="dxa"/>
            <w:vMerge w:val="continue"/>
            <w:noWrap w:val="0"/>
            <w:vAlign w:val="center"/>
          </w:tcPr>
          <w:p w14:paraId="2A94FF37">
            <w:pPr>
              <w:pStyle w:val="698"/>
              <w:rPr>
                <w:rFonts w:hint="default" w:ascii="Times New Roman" w:hAnsi="Times New Roman" w:cs="Times New Roman"/>
                <w:color w:val="auto"/>
                <w:highlight w:val="none"/>
              </w:rPr>
            </w:pPr>
          </w:p>
        </w:tc>
        <w:tc>
          <w:tcPr>
            <w:tcW w:w="691" w:type="dxa"/>
            <w:vMerge w:val="restart"/>
            <w:noWrap w:val="0"/>
            <w:vAlign w:val="center"/>
          </w:tcPr>
          <w:p w14:paraId="0FC6765F">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草丛</w:t>
            </w:r>
          </w:p>
        </w:tc>
        <w:tc>
          <w:tcPr>
            <w:tcW w:w="763" w:type="dxa"/>
            <w:vMerge w:val="restart"/>
            <w:noWrap w:val="0"/>
            <w:vAlign w:val="center"/>
          </w:tcPr>
          <w:p w14:paraId="274C9879">
            <w:pPr>
              <w:snapToGrid w:val="0"/>
              <w:jc w:val="center"/>
              <w:rPr>
                <w:rFonts w:hint="default" w:ascii="Times New Roman" w:hAnsi="Times New Roman" w:cs="Times New Roman"/>
                <w:color w:val="auto"/>
                <w:highlight w:val="none"/>
              </w:rPr>
            </w:pPr>
            <w:r>
              <w:rPr>
                <w:rFonts w:hint="default" w:ascii="Times New Roman" w:hAnsi="Times New Roman" w:cs="Times New Roman"/>
                <w:bCs/>
                <w:color w:val="auto"/>
                <w:sz w:val="21"/>
                <w:szCs w:val="21"/>
                <w:highlight w:val="none"/>
              </w:rPr>
              <w:t>禾草灌草丛</w:t>
            </w:r>
          </w:p>
        </w:tc>
        <w:tc>
          <w:tcPr>
            <w:tcW w:w="1051" w:type="dxa"/>
            <w:vMerge w:val="restart"/>
            <w:noWrap w:val="0"/>
            <w:vAlign w:val="center"/>
          </w:tcPr>
          <w:p w14:paraId="4EAE8E8E">
            <w:pPr>
              <w:pStyle w:val="698"/>
              <w:rPr>
                <w:rFonts w:hint="default" w:ascii="Times New Roman" w:hAnsi="Times New Roman" w:eastAsia="宋体" w:cs="Times New Roman"/>
                <w:color w:val="auto"/>
                <w:highlight w:val="none"/>
                <w:lang w:eastAsia="zh-CN"/>
              </w:rPr>
            </w:pPr>
            <w:r>
              <w:rPr>
                <w:rFonts w:hint="default" w:ascii="Times New Roman" w:hAnsi="Times New Roman" w:cs="Times New Roman"/>
                <w:bCs/>
                <w:color w:val="auto"/>
                <w:highlight w:val="none"/>
              </w:rPr>
              <w:t>红壤土地区</w:t>
            </w:r>
            <w:r>
              <w:rPr>
                <w:rFonts w:hint="default" w:ascii="Times New Roman" w:hAnsi="Times New Roman" w:cs="Times New Roman"/>
                <w:bCs/>
                <w:color w:val="auto"/>
                <w:highlight w:val="none"/>
                <w:lang w:eastAsia="zh-CN"/>
              </w:rPr>
              <w:t>草丛</w:t>
            </w:r>
          </w:p>
        </w:tc>
        <w:tc>
          <w:tcPr>
            <w:tcW w:w="2127" w:type="dxa"/>
            <w:tcBorders>
              <w:top w:val="single" w:color="auto" w:sz="4" w:space="0"/>
            </w:tcBorders>
            <w:noWrap w:val="0"/>
            <w:vAlign w:val="center"/>
          </w:tcPr>
          <w:p w14:paraId="35DA9F48">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五节芒</w:t>
            </w:r>
            <w:r>
              <w:rPr>
                <w:rFonts w:hint="default" w:ascii="Times New Roman" w:hAnsi="Times New Roman" w:cs="Times New Roman"/>
                <w:i/>
                <w:iCs/>
                <w:color w:val="auto"/>
                <w:highlight w:val="none"/>
              </w:rPr>
              <w:t>Miscanthus floridulus </w:t>
            </w:r>
          </w:p>
        </w:tc>
        <w:tc>
          <w:tcPr>
            <w:tcW w:w="3388" w:type="dxa"/>
            <w:noWrap w:val="0"/>
            <w:vAlign w:val="center"/>
          </w:tcPr>
          <w:p w14:paraId="0DE07C1A">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零散分布于坑塘边、村道路和未利用荒地</w:t>
            </w:r>
          </w:p>
        </w:tc>
      </w:tr>
      <w:tr w14:paraId="589EF91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08" w:type="dxa"/>
            <w:vMerge w:val="continue"/>
            <w:noWrap w:val="0"/>
            <w:vAlign w:val="center"/>
          </w:tcPr>
          <w:p w14:paraId="6F6FF8AC">
            <w:pPr>
              <w:pStyle w:val="698"/>
              <w:rPr>
                <w:rFonts w:hint="default" w:ascii="Times New Roman" w:hAnsi="Times New Roman" w:cs="Times New Roman"/>
                <w:color w:val="auto"/>
                <w:highlight w:val="none"/>
              </w:rPr>
            </w:pPr>
          </w:p>
        </w:tc>
        <w:tc>
          <w:tcPr>
            <w:tcW w:w="691" w:type="dxa"/>
            <w:vMerge w:val="continue"/>
            <w:noWrap w:val="0"/>
            <w:vAlign w:val="center"/>
          </w:tcPr>
          <w:p w14:paraId="08EA2A7B">
            <w:pPr>
              <w:pStyle w:val="698"/>
              <w:rPr>
                <w:rFonts w:hint="default" w:ascii="Times New Roman" w:hAnsi="Times New Roman" w:cs="Times New Roman"/>
                <w:color w:val="auto"/>
                <w:highlight w:val="none"/>
              </w:rPr>
            </w:pPr>
          </w:p>
        </w:tc>
        <w:tc>
          <w:tcPr>
            <w:tcW w:w="763" w:type="dxa"/>
            <w:vMerge w:val="continue"/>
            <w:noWrap w:val="0"/>
            <w:vAlign w:val="center"/>
          </w:tcPr>
          <w:p w14:paraId="08FA118E">
            <w:pPr>
              <w:snapToGrid w:val="0"/>
              <w:jc w:val="center"/>
              <w:rPr>
                <w:rFonts w:hint="default" w:ascii="Times New Roman" w:hAnsi="Times New Roman" w:cs="Times New Roman"/>
                <w:bCs/>
                <w:color w:val="auto"/>
                <w:sz w:val="21"/>
                <w:szCs w:val="21"/>
                <w:highlight w:val="none"/>
              </w:rPr>
            </w:pPr>
          </w:p>
        </w:tc>
        <w:tc>
          <w:tcPr>
            <w:tcW w:w="1051" w:type="dxa"/>
            <w:vMerge w:val="continue"/>
            <w:noWrap w:val="0"/>
            <w:vAlign w:val="center"/>
          </w:tcPr>
          <w:p w14:paraId="6F3C8B73">
            <w:pPr>
              <w:pStyle w:val="698"/>
              <w:rPr>
                <w:rFonts w:hint="default" w:ascii="Times New Roman" w:hAnsi="Times New Roman" w:cs="Times New Roman"/>
                <w:bCs/>
                <w:color w:val="auto"/>
                <w:highlight w:val="none"/>
              </w:rPr>
            </w:pPr>
          </w:p>
        </w:tc>
        <w:tc>
          <w:tcPr>
            <w:tcW w:w="2127" w:type="dxa"/>
            <w:tcBorders>
              <w:top w:val="single" w:color="auto" w:sz="4" w:space="0"/>
            </w:tcBorders>
            <w:noWrap w:val="0"/>
            <w:vAlign w:val="center"/>
          </w:tcPr>
          <w:p w14:paraId="71EB0BA4">
            <w:pPr>
              <w:pStyle w:val="698"/>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aps w:val="0"/>
                <w:color w:val="auto"/>
                <w:spacing w:val="0"/>
                <w:sz w:val="19"/>
                <w:szCs w:val="19"/>
                <w:highlight w:val="none"/>
                <w:shd w:val="clear" w:color="auto" w:fill="FFFFFF"/>
                <w:lang w:eastAsia="zh-CN"/>
              </w:rPr>
              <w:t>白茅</w:t>
            </w:r>
            <w:r>
              <w:rPr>
                <w:rFonts w:hint="default" w:ascii="Times New Roman" w:hAnsi="Times New Roman" w:eastAsia="Arial" w:cs="Times New Roman"/>
                <w:i/>
                <w:iCs/>
                <w:caps w:val="0"/>
                <w:color w:val="auto"/>
                <w:spacing w:val="0"/>
                <w:sz w:val="19"/>
                <w:szCs w:val="19"/>
                <w:highlight w:val="none"/>
                <w:shd w:val="clear" w:color="auto" w:fill="FFFFFF"/>
              </w:rPr>
              <w:t>Imperata cylindrica</w:t>
            </w:r>
          </w:p>
        </w:tc>
        <w:tc>
          <w:tcPr>
            <w:tcW w:w="3388" w:type="dxa"/>
            <w:noWrap w:val="0"/>
            <w:vAlign w:val="center"/>
          </w:tcPr>
          <w:p w14:paraId="6ADD494E">
            <w:pPr>
              <w:pStyle w:val="698"/>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零散分布于岸坡、村道路边及未利用荒地</w:t>
            </w:r>
            <w:r>
              <w:rPr>
                <w:rFonts w:hint="default" w:ascii="Times New Roman" w:hAnsi="Times New Roman" w:cs="Times New Roman"/>
                <w:color w:val="auto"/>
                <w:highlight w:val="none"/>
                <w:lang w:eastAsia="zh-CN"/>
              </w:rPr>
              <w:t>、田埂边</w:t>
            </w:r>
          </w:p>
        </w:tc>
      </w:tr>
      <w:tr w14:paraId="405CD30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08" w:type="dxa"/>
            <w:vMerge w:val="continue"/>
            <w:noWrap w:val="0"/>
            <w:vAlign w:val="center"/>
          </w:tcPr>
          <w:p w14:paraId="3390C2EA">
            <w:pPr>
              <w:pStyle w:val="698"/>
              <w:rPr>
                <w:rFonts w:hint="default" w:ascii="Times New Roman" w:hAnsi="Times New Roman" w:cs="Times New Roman"/>
                <w:color w:val="auto"/>
                <w:highlight w:val="none"/>
              </w:rPr>
            </w:pPr>
          </w:p>
        </w:tc>
        <w:tc>
          <w:tcPr>
            <w:tcW w:w="691" w:type="dxa"/>
            <w:vMerge w:val="continue"/>
            <w:noWrap w:val="0"/>
            <w:vAlign w:val="center"/>
          </w:tcPr>
          <w:p w14:paraId="6CDDC2B9">
            <w:pPr>
              <w:pStyle w:val="698"/>
              <w:rPr>
                <w:rFonts w:hint="default" w:ascii="Times New Roman" w:hAnsi="Times New Roman" w:cs="Times New Roman"/>
                <w:color w:val="auto"/>
                <w:highlight w:val="none"/>
              </w:rPr>
            </w:pPr>
          </w:p>
        </w:tc>
        <w:tc>
          <w:tcPr>
            <w:tcW w:w="763" w:type="dxa"/>
            <w:vMerge w:val="continue"/>
            <w:noWrap w:val="0"/>
            <w:vAlign w:val="center"/>
          </w:tcPr>
          <w:p w14:paraId="1BA9125F">
            <w:pPr>
              <w:snapToGrid w:val="0"/>
              <w:jc w:val="center"/>
              <w:rPr>
                <w:rFonts w:hint="default" w:ascii="Times New Roman" w:hAnsi="Times New Roman" w:cs="Times New Roman"/>
                <w:bCs/>
                <w:color w:val="auto"/>
                <w:sz w:val="21"/>
                <w:szCs w:val="21"/>
                <w:highlight w:val="none"/>
              </w:rPr>
            </w:pPr>
          </w:p>
        </w:tc>
        <w:tc>
          <w:tcPr>
            <w:tcW w:w="1051" w:type="dxa"/>
            <w:vMerge w:val="continue"/>
            <w:noWrap w:val="0"/>
            <w:vAlign w:val="center"/>
          </w:tcPr>
          <w:p w14:paraId="42B77D5E">
            <w:pPr>
              <w:pStyle w:val="698"/>
              <w:rPr>
                <w:rFonts w:hint="default" w:ascii="Times New Roman" w:hAnsi="Times New Roman" w:cs="Times New Roman"/>
                <w:bCs/>
                <w:color w:val="auto"/>
                <w:highlight w:val="none"/>
              </w:rPr>
            </w:pPr>
          </w:p>
        </w:tc>
        <w:tc>
          <w:tcPr>
            <w:tcW w:w="2127" w:type="dxa"/>
            <w:tcBorders>
              <w:top w:val="single" w:color="auto" w:sz="4" w:space="0"/>
            </w:tcBorders>
            <w:noWrap w:val="0"/>
            <w:vAlign w:val="center"/>
          </w:tcPr>
          <w:p w14:paraId="31E82E1A">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竹节草</w:t>
            </w:r>
            <w:r>
              <w:rPr>
                <w:rFonts w:hint="default" w:ascii="Times New Roman" w:hAnsi="Times New Roman" w:cs="Times New Roman"/>
                <w:i/>
                <w:iCs/>
                <w:color w:val="auto"/>
                <w:highlight w:val="none"/>
              </w:rPr>
              <w:t>Chrysopogon aciculatus</w:t>
            </w:r>
          </w:p>
        </w:tc>
        <w:tc>
          <w:tcPr>
            <w:tcW w:w="3388" w:type="dxa"/>
            <w:noWrap w:val="0"/>
            <w:vAlign w:val="center"/>
          </w:tcPr>
          <w:p w14:paraId="11822C6C">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零散分布于坑塘边、未利用荒地</w:t>
            </w:r>
          </w:p>
        </w:tc>
      </w:tr>
      <w:tr w14:paraId="37CD2BE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08" w:type="dxa"/>
            <w:vMerge w:val="continue"/>
            <w:noWrap w:val="0"/>
            <w:vAlign w:val="center"/>
          </w:tcPr>
          <w:p w14:paraId="3A47A89A">
            <w:pPr>
              <w:pStyle w:val="698"/>
              <w:rPr>
                <w:rFonts w:hint="default" w:ascii="Times New Roman" w:hAnsi="Times New Roman" w:cs="Times New Roman"/>
                <w:color w:val="auto"/>
                <w:highlight w:val="none"/>
              </w:rPr>
            </w:pPr>
          </w:p>
        </w:tc>
        <w:tc>
          <w:tcPr>
            <w:tcW w:w="691" w:type="dxa"/>
            <w:vMerge w:val="continue"/>
            <w:noWrap w:val="0"/>
            <w:vAlign w:val="center"/>
          </w:tcPr>
          <w:p w14:paraId="4A6C44E3">
            <w:pPr>
              <w:pStyle w:val="698"/>
              <w:rPr>
                <w:rFonts w:hint="default" w:ascii="Times New Roman" w:hAnsi="Times New Roman" w:cs="Times New Roman"/>
                <w:color w:val="auto"/>
                <w:highlight w:val="none"/>
              </w:rPr>
            </w:pPr>
          </w:p>
        </w:tc>
        <w:tc>
          <w:tcPr>
            <w:tcW w:w="763" w:type="dxa"/>
            <w:vMerge w:val="continue"/>
            <w:noWrap w:val="0"/>
            <w:vAlign w:val="center"/>
          </w:tcPr>
          <w:p w14:paraId="211FD0E7">
            <w:pPr>
              <w:snapToGrid w:val="0"/>
              <w:jc w:val="center"/>
              <w:rPr>
                <w:rFonts w:hint="default" w:ascii="Times New Roman" w:hAnsi="Times New Roman" w:cs="Times New Roman"/>
                <w:bCs/>
                <w:color w:val="auto"/>
                <w:sz w:val="21"/>
                <w:szCs w:val="21"/>
                <w:highlight w:val="none"/>
              </w:rPr>
            </w:pPr>
          </w:p>
        </w:tc>
        <w:tc>
          <w:tcPr>
            <w:tcW w:w="1051" w:type="dxa"/>
            <w:vMerge w:val="continue"/>
            <w:noWrap w:val="0"/>
            <w:vAlign w:val="center"/>
          </w:tcPr>
          <w:p w14:paraId="7465F48D">
            <w:pPr>
              <w:pStyle w:val="698"/>
              <w:rPr>
                <w:rFonts w:hint="default" w:ascii="Times New Roman" w:hAnsi="Times New Roman" w:cs="Times New Roman"/>
                <w:bCs/>
                <w:color w:val="auto"/>
                <w:highlight w:val="none"/>
              </w:rPr>
            </w:pPr>
          </w:p>
        </w:tc>
        <w:tc>
          <w:tcPr>
            <w:tcW w:w="2127" w:type="dxa"/>
            <w:tcBorders>
              <w:top w:val="single" w:color="auto" w:sz="4" w:space="0"/>
            </w:tcBorders>
            <w:noWrap w:val="0"/>
            <w:vAlign w:val="center"/>
          </w:tcPr>
          <w:p w14:paraId="55B7BBBA">
            <w:pPr>
              <w:pStyle w:val="698"/>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bCs/>
                <w:color w:val="auto"/>
                <w:highlight w:val="none"/>
              </w:rPr>
              <w:t>鹧鸪草</w:t>
            </w:r>
            <w:r>
              <w:rPr>
                <w:rFonts w:hint="default" w:ascii="Times New Roman" w:hAnsi="Times New Roman" w:eastAsia="宋体" w:cs="Times New Roman"/>
                <w:i/>
                <w:iCs/>
                <w:color w:val="auto"/>
                <w:highlight w:val="none"/>
              </w:rPr>
              <w:t>Eriachne pallescens R. Br</w:t>
            </w:r>
          </w:p>
        </w:tc>
        <w:tc>
          <w:tcPr>
            <w:tcW w:w="3388" w:type="dxa"/>
            <w:noWrap w:val="0"/>
            <w:vAlign w:val="center"/>
          </w:tcPr>
          <w:p w14:paraId="29995148">
            <w:pPr>
              <w:pStyle w:val="698"/>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rPr>
              <w:t>主要分布于耕地及坑塘边</w:t>
            </w:r>
          </w:p>
        </w:tc>
      </w:tr>
      <w:tr w14:paraId="1405DDD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08" w:type="dxa"/>
            <w:vMerge w:val="continue"/>
            <w:noWrap w:val="0"/>
            <w:vAlign w:val="center"/>
          </w:tcPr>
          <w:p w14:paraId="10A3CD1B">
            <w:pPr>
              <w:pStyle w:val="698"/>
              <w:rPr>
                <w:rFonts w:hint="default" w:ascii="Times New Roman" w:hAnsi="Times New Roman" w:cs="Times New Roman"/>
                <w:color w:val="auto"/>
                <w:highlight w:val="none"/>
              </w:rPr>
            </w:pPr>
          </w:p>
        </w:tc>
        <w:tc>
          <w:tcPr>
            <w:tcW w:w="691" w:type="dxa"/>
            <w:vMerge w:val="continue"/>
            <w:noWrap w:val="0"/>
            <w:vAlign w:val="center"/>
          </w:tcPr>
          <w:p w14:paraId="2519355E">
            <w:pPr>
              <w:pStyle w:val="698"/>
              <w:rPr>
                <w:rFonts w:hint="default" w:ascii="Times New Roman" w:hAnsi="Times New Roman" w:cs="Times New Roman"/>
                <w:color w:val="auto"/>
                <w:highlight w:val="none"/>
              </w:rPr>
            </w:pPr>
          </w:p>
        </w:tc>
        <w:tc>
          <w:tcPr>
            <w:tcW w:w="763" w:type="dxa"/>
            <w:vMerge w:val="continue"/>
            <w:noWrap w:val="0"/>
            <w:vAlign w:val="center"/>
          </w:tcPr>
          <w:p w14:paraId="77C9AFD1">
            <w:pPr>
              <w:snapToGrid w:val="0"/>
              <w:jc w:val="center"/>
              <w:rPr>
                <w:rFonts w:hint="default" w:ascii="Times New Roman" w:hAnsi="Times New Roman" w:cs="Times New Roman"/>
                <w:bCs/>
                <w:color w:val="auto"/>
                <w:sz w:val="21"/>
                <w:szCs w:val="21"/>
                <w:highlight w:val="none"/>
              </w:rPr>
            </w:pPr>
          </w:p>
        </w:tc>
        <w:tc>
          <w:tcPr>
            <w:tcW w:w="1051" w:type="dxa"/>
            <w:noWrap w:val="0"/>
            <w:vAlign w:val="center"/>
          </w:tcPr>
          <w:p w14:paraId="0DF856DD">
            <w:pPr>
              <w:pStyle w:val="698"/>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石灰（岩）土地区草丛</w:t>
            </w:r>
          </w:p>
        </w:tc>
        <w:tc>
          <w:tcPr>
            <w:tcW w:w="2127" w:type="dxa"/>
            <w:noWrap w:val="0"/>
            <w:vAlign w:val="center"/>
          </w:tcPr>
          <w:p w14:paraId="2F40A20A">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类芦</w:t>
            </w:r>
            <w:r>
              <w:rPr>
                <w:rFonts w:hint="default" w:ascii="Times New Roman" w:hAnsi="Times New Roman" w:cs="Times New Roman"/>
                <w:i/>
                <w:iCs/>
                <w:color w:val="auto"/>
                <w:highlight w:val="none"/>
              </w:rPr>
              <w:t>Neyraudia reynaudiana</w:t>
            </w:r>
          </w:p>
        </w:tc>
        <w:tc>
          <w:tcPr>
            <w:tcW w:w="3388" w:type="dxa"/>
            <w:noWrap w:val="0"/>
            <w:vAlign w:val="center"/>
          </w:tcPr>
          <w:p w14:paraId="68A80263">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零散分布未利用荒地及旱地内</w:t>
            </w:r>
          </w:p>
        </w:tc>
      </w:tr>
      <w:tr w14:paraId="20FA1BE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08" w:type="dxa"/>
            <w:vMerge w:val="continue"/>
            <w:noWrap w:val="0"/>
            <w:vAlign w:val="center"/>
          </w:tcPr>
          <w:p w14:paraId="0BE24F12">
            <w:pPr>
              <w:pStyle w:val="698"/>
              <w:rPr>
                <w:rFonts w:hint="default" w:ascii="Times New Roman" w:hAnsi="Times New Roman" w:cs="Times New Roman"/>
                <w:color w:val="auto"/>
                <w:highlight w:val="none"/>
              </w:rPr>
            </w:pPr>
          </w:p>
        </w:tc>
        <w:tc>
          <w:tcPr>
            <w:tcW w:w="691" w:type="dxa"/>
            <w:vMerge w:val="continue"/>
            <w:noWrap w:val="0"/>
            <w:vAlign w:val="center"/>
          </w:tcPr>
          <w:p w14:paraId="38818FE5">
            <w:pPr>
              <w:pStyle w:val="698"/>
              <w:rPr>
                <w:rFonts w:hint="default" w:ascii="Times New Roman" w:hAnsi="Times New Roman" w:cs="Times New Roman"/>
                <w:color w:val="auto"/>
                <w:highlight w:val="none"/>
              </w:rPr>
            </w:pPr>
          </w:p>
        </w:tc>
        <w:tc>
          <w:tcPr>
            <w:tcW w:w="763" w:type="dxa"/>
            <w:vMerge w:val="continue"/>
            <w:noWrap w:val="0"/>
            <w:vAlign w:val="center"/>
          </w:tcPr>
          <w:p w14:paraId="0B0B9952">
            <w:pPr>
              <w:snapToGrid w:val="0"/>
              <w:jc w:val="center"/>
              <w:rPr>
                <w:rFonts w:hint="default" w:ascii="Times New Roman" w:hAnsi="Times New Roman" w:cs="Times New Roman"/>
                <w:bCs/>
                <w:color w:val="auto"/>
                <w:sz w:val="21"/>
                <w:szCs w:val="21"/>
                <w:highlight w:val="none"/>
              </w:rPr>
            </w:pPr>
          </w:p>
        </w:tc>
        <w:tc>
          <w:tcPr>
            <w:tcW w:w="1051" w:type="dxa"/>
            <w:noWrap w:val="0"/>
            <w:vAlign w:val="center"/>
          </w:tcPr>
          <w:p w14:paraId="3D97CAD0">
            <w:pPr>
              <w:pStyle w:val="698"/>
              <w:rPr>
                <w:rFonts w:hint="default" w:ascii="Times New Roman" w:hAnsi="Times New Roman" w:eastAsia="宋体" w:cs="Times New Roman"/>
                <w:bCs/>
                <w:color w:val="auto"/>
                <w:highlight w:val="none"/>
                <w:lang w:eastAsia="zh-CN"/>
              </w:rPr>
            </w:pPr>
            <w:r>
              <w:rPr>
                <w:rFonts w:hint="default" w:ascii="Times New Roman" w:hAnsi="Times New Roman" w:cs="Times New Roman"/>
                <w:bCs/>
                <w:color w:val="auto"/>
                <w:highlight w:val="none"/>
                <w:lang w:eastAsia="zh-CN"/>
              </w:rPr>
              <w:t>蕨类草丛</w:t>
            </w:r>
          </w:p>
        </w:tc>
        <w:tc>
          <w:tcPr>
            <w:tcW w:w="2127" w:type="dxa"/>
            <w:noWrap w:val="0"/>
            <w:vAlign w:val="center"/>
          </w:tcPr>
          <w:p w14:paraId="183A53F4">
            <w:pPr>
              <w:pStyle w:val="698"/>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 xml:space="preserve">芒萁 </w:t>
            </w:r>
            <w:r>
              <w:rPr>
                <w:rFonts w:hint="default" w:ascii="Times New Roman" w:hAnsi="Times New Roman" w:eastAsia="宋体" w:cs="Times New Roman"/>
                <w:i/>
                <w:iCs/>
                <w:color w:val="auto"/>
                <w:highlight w:val="none"/>
              </w:rPr>
              <w:t>Dicranopteris dichotoma</w:t>
            </w:r>
          </w:p>
        </w:tc>
        <w:tc>
          <w:tcPr>
            <w:tcW w:w="3388" w:type="dxa"/>
            <w:noWrap w:val="0"/>
            <w:vAlign w:val="center"/>
          </w:tcPr>
          <w:p w14:paraId="4BDD45F3">
            <w:pPr>
              <w:pStyle w:val="698"/>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主要分布于</w:t>
            </w:r>
            <w:r>
              <w:rPr>
                <w:rFonts w:hint="default" w:ascii="Times New Roman" w:hAnsi="Times New Roman" w:cs="Times New Roman"/>
                <w:color w:val="auto"/>
                <w:highlight w:val="none"/>
                <w:lang w:eastAsia="zh-CN"/>
              </w:rPr>
              <w:t>丘陵未利用荒地</w:t>
            </w:r>
          </w:p>
        </w:tc>
      </w:tr>
      <w:tr w14:paraId="294DB0E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08" w:type="dxa"/>
            <w:vMerge w:val="continue"/>
            <w:noWrap w:val="0"/>
            <w:vAlign w:val="center"/>
          </w:tcPr>
          <w:p w14:paraId="2274DFCF">
            <w:pPr>
              <w:pStyle w:val="698"/>
              <w:rPr>
                <w:rFonts w:hint="default" w:ascii="Times New Roman" w:hAnsi="Times New Roman" w:cs="Times New Roman"/>
                <w:color w:val="auto"/>
                <w:highlight w:val="none"/>
              </w:rPr>
            </w:pPr>
          </w:p>
        </w:tc>
        <w:tc>
          <w:tcPr>
            <w:tcW w:w="691" w:type="dxa"/>
            <w:vMerge w:val="restart"/>
            <w:noWrap w:val="0"/>
            <w:vAlign w:val="center"/>
          </w:tcPr>
          <w:p w14:paraId="3A09A725">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人工林</w:t>
            </w:r>
          </w:p>
        </w:tc>
        <w:tc>
          <w:tcPr>
            <w:tcW w:w="763" w:type="dxa"/>
            <w:noWrap w:val="0"/>
            <w:vAlign w:val="center"/>
          </w:tcPr>
          <w:p w14:paraId="720A53F5">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用材林</w:t>
            </w:r>
          </w:p>
        </w:tc>
        <w:tc>
          <w:tcPr>
            <w:tcW w:w="1051" w:type="dxa"/>
            <w:noWrap w:val="0"/>
            <w:vAlign w:val="center"/>
          </w:tcPr>
          <w:p w14:paraId="0CF9E5A8">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2127" w:type="dxa"/>
            <w:noWrap w:val="0"/>
            <w:vAlign w:val="center"/>
          </w:tcPr>
          <w:p w14:paraId="205C2F39">
            <w:pPr>
              <w:pStyle w:val="698"/>
              <w:rPr>
                <w:rFonts w:hint="default" w:ascii="Times New Roman" w:hAnsi="Times New Roman" w:cs="Times New Roman"/>
                <w:color w:val="auto"/>
                <w:highlight w:val="none"/>
              </w:rPr>
            </w:pPr>
            <w:r>
              <w:rPr>
                <w:rFonts w:hint="default" w:ascii="Times New Roman" w:hAnsi="Times New Roman" w:cs="Times New Roman"/>
                <w:bCs/>
                <w:color w:val="auto"/>
                <w:highlight w:val="none"/>
              </w:rPr>
              <w:t>尾叶桉林</w:t>
            </w:r>
            <w:r>
              <w:rPr>
                <w:rFonts w:hint="default" w:ascii="Times New Roman" w:hAnsi="Times New Roman" w:cs="Times New Roman"/>
                <w:i/>
                <w:iCs/>
                <w:color w:val="auto"/>
                <w:highlight w:val="none"/>
              </w:rPr>
              <w:t>Eucalyptus urophylla S.T. Blake</w:t>
            </w:r>
          </w:p>
        </w:tc>
        <w:tc>
          <w:tcPr>
            <w:tcW w:w="3388" w:type="dxa"/>
            <w:noWrap w:val="0"/>
            <w:vAlign w:val="center"/>
          </w:tcPr>
          <w:p w14:paraId="1ED4E69E">
            <w:pPr>
              <w:pStyle w:val="698"/>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零散分布于项目周边</w:t>
            </w:r>
          </w:p>
        </w:tc>
      </w:tr>
      <w:tr w14:paraId="25B241D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08" w:type="dxa"/>
            <w:vMerge w:val="continue"/>
            <w:noWrap w:val="0"/>
            <w:vAlign w:val="center"/>
          </w:tcPr>
          <w:p w14:paraId="250DF9AF">
            <w:pPr>
              <w:pStyle w:val="698"/>
              <w:rPr>
                <w:rFonts w:hint="default" w:ascii="Times New Roman" w:hAnsi="Times New Roman" w:cs="Times New Roman"/>
                <w:color w:val="auto"/>
                <w:highlight w:val="none"/>
              </w:rPr>
            </w:pPr>
          </w:p>
        </w:tc>
        <w:tc>
          <w:tcPr>
            <w:tcW w:w="691" w:type="dxa"/>
            <w:vMerge w:val="continue"/>
            <w:noWrap w:val="0"/>
            <w:vAlign w:val="center"/>
          </w:tcPr>
          <w:p w14:paraId="121AF611">
            <w:pPr>
              <w:pStyle w:val="698"/>
              <w:jc w:val="both"/>
              <w:rPr>
                <w:rFonts w:hint="default" w:ascii="Times New Roman" w:hAnsi="Times New Roman" w:eastAsia="宋体" w:cs="Times New Roman"/>
                <w:color w:val="auto"/>
                <w:highlight w:val="none"/>
                <w:lang w:eastAsia="zh-CN"/>
              </w:rPr>
            </w:pPr>
          </w:p>
        </w:tc>
        <w:tc>
          <w:tcPr>
            <w:tcW w:w="763" w:type="dxa"/>
            <w:vMerge w:val="restart"/>
            <w:noWrap w:val="0"/>
            <w:vAlign w:val="center"/>
          </w:tcPr>
          <w:p w14:paraId="32B18119">
            <w:pPr>
              <w:pStyle w:val="698"/>
              <w:jc w:val="both"/>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果园</w:t>
            </w:r>
          </w:p>
        </w:tc>
        <w:tc>
          <w:tcPr>
            <w:tcW w:w="1051" w:type="dxa"/>
            <w:noWrap w:val="0"/>
            <w:vAlign w:val="center"/>
          </w:tcPr>
          <w:p w14:paraId="6BF9D34B">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2127" w:type="dxa"/>
            <w:noWrap w:val="0"/>
            <w:vAlign w:val="center"/>
          </w:tcPr>
          <w:p w14:paraId="64A2AC2F">
            <w:pPr>
              <w:pStyle w:val="698"/>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eastAsia="zh-CN"/>
              </w:rPr>
              <w:t>荔枝</w:t>
            </w:r>
            <w:r>
              <w:rPr>
                <w:rFonts w:hint="default" w:ascii="Times New Roman" w:hAnsi="Times New Roman" w:eastAsia="宋体" w:cs="Times New Roman"/>
                <w:i/>
                <w:iCs/>
                <w:color w:val="auto"/>
                <w:highlight w:val="none"/>
              </w:rPr>
              <w:t>Litchi chinensis Sonn</w:t>
            </w:r>
          </w:p>
        </w:tc>
        <w:tc>
          <w:tcPr>
            <w:tcW w:w="3388" w:type="dxa"/>
            <w:noWrap w:val="0"/>
            <w:vAlign w:val="center"/>
          </w:tcPr>
          <w:p w14:paraId="3AADDBC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零散分布于项目周边</w:t>
            </w:r>
          </w:p>
        </w:tc>
      </w:tr>
      <w:tr w14:paraId="7446507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08" w:type="dxa"/>
            <w:vMerge w:val="continue"/>
            <w:noWrap w:val="0"/>
            <w:vAlign w:val="center"/>
          </w:tcPr>
          <w:p w14:paraId="4E782C52">
            <w:pPr>
              <w:pStyle w:val="698"/>
              <w:rPr>
                <w:rFonts w:hint="default" w:ascii="Times New Roman" w:hAnsi="Times New Roman" w:cs="Times New Roman"/>
                <w:color w:val="auto"/>
                <w:highlight w:val="none"/>
              </w:rPr>
            </w:pPr>
          </w:p>
        </w:tc>
        <w:tc>
          <w:tcPr>
            <w:tcW w:w="691" w:type="dxa"/>
            <w:vMerge w:val="continue"/>
            <w:noWrap w:val="0"/>
            <w:vAlign w:val="center"/>
          </w:tcPr>
          <w:p w14:paraId="14DA6C87">
            <w:pPr>
              <w:pStyle w:val="698"/>
              <w:rPr>
                <w:rFonts w:hint="default" w:ascii="Times New Roman" w:hAnsi="Times New Roman" w:cs="Times New Roman"/>
                <w:color w:val="auto"/>
                <w:highlight w:val="none"/>
              </w:rPr>
            </w:pPr>
          </w:p>
        </w:tc>
        <w:tc>
          <w:tcPr>
            <w:tcW w:w="763" w:type="dxa"/>
            <w:vMerge w:val="continue"/>
            <w:noWrap w:val="0"/>
            <w:vAlign w:val="center"/>
          </w:tcPr>
          <w:p w14:paraId="1A552FF8">
            <w:pPr>
              <w:pStyle w:val="698"/>
              <w:jc w:val="both"/>
              <w:rPr>
                <w:rFonts w:hint="default" w:ascii="Times New Roman" w:hAnsi="Times New Roman" w:cs="Times New Roman"/>
                <w:color w:val="auto"/>
                <w:highlight w:val="none"/>
                <w:lang w:val="en-US" w:eastAsia="zh-CN"/>
              </w:rPr>
            </w:pPr>
          </w:p>
        </w:tc>
        <w:tc>
          <w:tcPr>
            <w:tcW w:w="1051" w:type="dxa"/>
            <w:noWrap w:val="0"/>
            <w:vAlign w:val="center"/>
          </w:tcPr>
          <w:p w14:paraId="213039AA">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2127" w:type="dxa"/>
            <w:noWrap w:val="0"/>
            <w:vAlign w:val="center"/>
          </w:tcPr>
          <w:p w14:paraId="38B8623A">
            <w:pPr>
              <w:pStyle w:val="698"/>
              <w:rPr>
                <w:rFonts w:hint="default" w:ascii="Times New Roman" w:hAnsi="Times New Roman" w:cs="Times New Roman"/>
                <w:bCs/>
                <w:color w:val="auto"/>
                <w:highlight w:val="none"/>
                <w:lang w:val="en-US" w:eastAsia="zh-CN"/>
              </w:rPr>
            </w:pPr>
            <w:r>
              <w:rPr>
                <w:rFonts w:hint="default" w:ascii="Times New Roman" w:hAnsi="Times New Roman" w:cs="Times New Roman"/>
                <w:bCs/>
                <w:color w:val="auto"/>
                <w:highlight w:val="none"/>
                <w:lang w:val="en-US" w:eastAsia="zh-CN"/>
              </w:rPr>
              <w:t>龙眼</w:t>
            </w:r>
            <w:r>
              <w:rPr>
                <w:rFonts w:hint="default" w:ascii="Times New Roman" w:hAnsi="Times New Roman" w:eastAsia="宋体" w:cs="Times New Roman"/>
                <w:i/>
                <w:iCs/>
                <w:color w:val="auto"/>
                <w:highlight w:val="none"/>
              </w:rPr>
              <w:t>Dimocarpus longan Lour.</w:t>
            </w:r>
          </w:p>
        </w:tc>
        <w:tc>
          <w:tcPr>
            <w:tcW w:w="3388" w:type="dxa"/>
            <w:noWrap w:val="0"/>
            <w:vAlign w:val="center"/>
          </w:tcPr>
          <w:p w14:paraId="59224EE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零散分布于项目周边</w:t>
            </w:r>
          </w:p>
        </w:tc>
      </w:tr>
      <w:tr w14:paraId="54A8ACD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08" w:type="dxa"/>
            <w:vMerge w:val="continue"/>
            <w:noWrap w:val="0"/>
            <w:vAlign w:val="center"/>
          </w:tcPr>
          <w:p w14:paraId="324B8BDF">
            <w:pPr>
              <w:pStyle w:val="698"/>
              <w:rPr>
                <w:rFonts w:hint="default" w:ascii="Times New Roman" w:hAnsi="Times New Roman" w:cs="Times New Roman"/>
                <w:color w:val="auto"/>
                <w:highlight w:val="none"/>
              </w:rPr>
            </w:pPr>
          </w:p>
        </w:tc>
        <w:tc>
          <w:tcPr>
            <w:tcW w:w="691" w:type="dxa"/>
            <w:vMerge w:val="continue"/>
            <w:noWrap w:val="0"/>
            <w:vAlign w:val="center"/>
          </w:tcPr>
          <w:p w14:paraId="1E592597">
            <w:pPr>
              <w:pStyle w:val="698"/>
              <w:rPr>
                <w:rFonts w:hint="default" w:ascii="Times New Roman" w:hAnsi="Times New Roman" w:cs="Times New Roman"/>
                <w:color w:val="auto"/>
                <w:highlight w:val="none"/>
              </w:rPr>
            </w:pPr>
          </w:p>
        </w:tc>
        <w:tc>
          <w:tcPr>
            <w:tcW w:w="763" w:type="dxa"/>
            <w:vMerge w:val="continue"/>
            <w:noWrap w:val="0"/>
            <w:vAlign w:val="center"/>
          </w:tcPr>
          <w:p w14:paraId="25361FC0">
            <w:pPr>
              <w:pStyle w:val="698"/>
              <w:jc w:val="both"/>
              <w:rPr>
                <w:rFonts w:hint="default" w:ascii="Times New Roman" w:hAnsi="Times New Roman" w:cs="Times New Roman"/>
                <w:color w:val="auto"/>
                <w:highlight w:val="none"/>
                <w:lang w:val="en-US" w:eastAsia="zh-CN"/>
              </w:rPr>
            </w:pPr>
          </w:p>
        </w:tc>
        <w:tc>
          <w:tcPr>
            <w:tcW w:w="1051" w:type="dxa"/>
            <w:noWrap w:val="0"/>
            <w:vAlign w:val="center"/>
          </w:tcPr>
          <w:p w14:paraId="6FF08AAB">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2127" w:type="dxa"/>
            <w:noWrap w:val="0"/>
            <w:vAlign w:val="center"/>
          </w:tcPr>
          <w:p w14:paraId="0E4080DE">
            <w:pPr>
              <w:pStyle w:val="698"/>
              <w:rPr>
                <w:rFonts w:hint="default" w:ascii="Times New Roman" w:hAnsi="Times New Roman" w:cs="Times New Roman"/>
                <w:bCs/>
                <w:color w:val="auto"/>
                <w:highlight w:val="none"/>
                <w:lang w:val="en-US" w:eastAsia="zh-CN"/>
              </w:rPr>
            </w:pPr>
            <w:r>
              <w:rPr>
                <w:rFonts w:hint="default" w:ascii="Times New Roman" w:hAnsi="Times New Roman" w:cs="Times New Roman"/>
                <w:bCs/>
                <w:color w:val="auto"/>
                <w:highlight w:val="none"/>
                <w:lang w:val="en-US" w:eastAsia="zh-CN"/>
              </w:rPr>
              <w:t>香蕉</w:t>
            </w:r>
            <w:r>
              <w:rPr>
                <w:rFonts w:hint="default" w:ascii="Times New Roman" w:hAnsi="Times New Roman" w:eastAsia="宋体" w:cs="Times New Roman"/>
                <w:i/>
                <w:iCs/>
                <w:color w:val="auto"/>
                <w:highlight w:val="none"/>
              </w:rPr>
              <w:t xml:space="preserve">Musa acuminata </w:t>
            </w:r>
          </w:p>
        </w:tc>
        <w:tc>
          <w:tcPr>
            <w:tcW w:w="3388" w:type="dxa"/>
            <w:noWrap w:val="0"/>
            <w:vAlign w:val="center"/>
          </w:tcPr>
          <w:p w14:paraId="419E8FE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零散分布于项目周边</w:t>
            </w:r>
          </w:p>
        </w:tc>
      </w:tr>
      <w:tr w14:paraId="58BF563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08" w:type="dxa"/>
            <w:vMerge w:val="continue"/>
            <w:noWrap w:val="0"/>
            <w:vAlign w:val="center"/>
          </w:tcPr>
          <w:p w14:paraId="638E2A35">
            <w:pPr>
              <w:pStyle w:val="698"/>
              <w:rPr>
                <w:rFonts w:hint="default" w:ascii="Times New Roman" w:hAnsi="Times New Roman" w:cs="Times New Roman"/>
                <w:color w:val="auto"/>
                <w:highlight w:val="none"/>
              </w:rPr>
            </w:pPr>
          </w:p>
        </w:tc>
        <w:tc>
          <w:tcPr>
            <w:tcW w:w="691" w:type="dxa"/>
            <w:vMerge w:val="restart"/>
            <w:noWrap w:val="0"/>
            <w:vAlign w:val="center"/>
          </w:tcPr>
          <w:p w14:paraId="656B8F88">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农作物</w:t>
            </w:r>
          </w:p>
        </w:tc>
        <w:tc>
          <w:tcPr>
            <w:tcW w:w="763" w:type="dxa"/>
            <w:vMerge w:val="restart"/>
            <w:noWrap w:val="0"/>
            <w:vAlign w:val="center"/>
          </w:tcPr>
          <w:p w14:paraId="48FBBDB4">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旱地作物</w:t>
            </w:r>
          </w:p>
        </w:tc>
        <w:tc>
          <w:tcPr>
            <w:tcW w:w="1051" w:type="dxa"/>
            <w:noWrap w:val="0"/>
            <w:vAlign w:val="center"/>
          </w:tcPr>
          <w:p w14:paraId="60400367">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2127" w:type="dxa"/>
            <w:noWrap w:val="0"/>
            <w:vAlign w:val="center"/>
          </w:tcPr>
          <w:p w14:paraId="4B03778A">
            <w:pPr>
              <w:pStyle w:val="698"/>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eastAsia="zh-CN"/>
              </w:rPr>
              <w:t>水稻</w:t>
            </w:r>
            <w:r>
              <w:rPr>
                <w:rFonts w:hint="default" w:ascii="Times New Roman" w:hAnsi="Times New Roman" w:cs="Times New Roman"/>
                <w:i/>
                <w:iCs/>
                <w:color w:val="auto"/>
                <w:highlight w:val="none"/>
                <w:u w:val="none"/>
                <w:lang w:eastAsia="zh-CN"/>
              </w:rPr>
              <w:t>Oryza sativa L.</w:t>
            </w:r>
          </w:p>
        </w:tc>
        <w:tc>
          <w:tcPr>
            <w:tcW w:w="3388" w:type="dxa"/>
            <w:noWrap w:val="0"/>
            <w:vAlign w:val="center"/>
          </w:tcPr>
          <w:p w14:paraId="12D8516C">
            <w:pPr>
              <w:pStyle w:val="698"/>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rPr>
              <w:t>分布于耕地内</w:t>
            </w:r>
          </w:p>
        </w:tc>
      </w:tr>
      <w:tr w14:paraId="76F417E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08" w:type="dxa"/>
            <w:vMerge w:val="continue"/>
            <w:noWrap w:val="0"/>
            <w:vAlign w:val="center"/>
          </w:tcPr>
          <w:p w14:paraId="3E707A37">
            <w:pPr>
              <w:pStyle w:val="698"/>
              <w:rPr>
                <w:rFonts w:hint="default" w:ascii="Times New Roman" w:hAnsi="Times New Roman" w:cs="Times New Roman"/>
                <w:color w:val="auto"/>
                <w:highlight w:val="none"/>
              </w:rPr>
            </w:pPr>
          </w:p>
        </w:tc>
        <w:tc>
          <w:tcPr>
            <w:tcW w:w="691" w:type="dxa"/>
            <w:vMerge w:val="continue"/>
            <w:noWrap w:val="0"/>
            <w:vAlign w:val="center"/>
          </w:tcPr>
          <w:p w14:paraId="45E585A9">
            <w:pPr>
              <w:pStyle w:val="698"/>
              <w:rPr>
                <w:rFonts w:hint="default" w:ascii="Times New Roman" w:hAnsi="Times New Roman" w:cs="Times New Roman"/>
                <w:color w:val="auto"/>
                <w:highlight w:val="none"/>
              </w:rPr>
            </w:pPr>
          </w:p>
        </w:tc>
        <w:tc>
          <w:tcPr>
            <w:tcW w:w="763" w:type="dxa"/>
            <w:vMerge w:val="continue"/>
            <w:noWrap w:val="0"/>
            <w:vAlign w:val="center"/>
          </w:tcPr>
          <w:p w14:paraId="2B8BFA99">
            <w:pPr>
              <w:pStyle w:val="698"/>
              <w:rPr>
                <w:rFonts w:hint="default" w:ascii="Times New Roman" w:hAnsi="Times New Roman" w:cs="Times New Roman"/>
                <w:color w:val="auto"/>
                <w:highlight w:val="none"/>
              </w:rPr>
            </w:pPr>
          </w:p>
        </w:tc>
        <w:tc>
          <w:tcPr>
            <w:tcW w:w="1051" w:type="dxa"/>
            <w:noWrap w:val="0"/>
            <w:vAlign w:val="center"/>
          </w:tcPr>
          <w:p w14:paraId="69976F9D">
            <w:pPr>
              <w:pStyle w:val="698"/>
              <w:rPr>
                <w:rFonts w:hint="default" w:ascii="Times New Roman" w:hAnsi="Times New Roman" w:cs="Times New Roman"/>
                <w:color w:val="auto"/>
                <w:highlight w:val="none"/>
              </w:rPr>
            </w:pPr>
          </w:p>
        </w:tc>
        <w:tc>
          <w:tcPr>
            <w:tcW w:w="2127" w:type="dxa"/>
            <w:noWrap w:val="0"/>
            <w:vAlign w:val="center"/>
          </w:tcPr>
          <w:p w14:paraId="3BA3C267">
            <w:pPr>
              <w:pStyle w:val="698"/>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rPr>
              <w:t>其他作物</w:t>
            </w:r>
          </w:p>
        </w:tc>
        <w:tc>
          <w:tcPr>
            <w:tcW w:w="3388" w:type="dxa"/>
            <w:noWrap w:val="0"/>
            <w:vAlign w:val="center"/>
          </w:tcPr>
          <w:p w14:paraId="3D5F44D0">
            <w:pPr>
              <w:pStyle w:val="698"/>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highlight w:val="none"/>
              </w:rPr>
              <w:t>零星分布于工程陆域范围</w:t>
            </w:r>
          </w:p>
        </w:tc>
      </w:tr>
    </w:tbl>
    <w:p w14:paraId="7D2A9A35">
      <w:pPr>
        <w:pStyle w:val="410"/>
        <w:numPr>
          <w:ilvl w:val="0"/>
          <w:numId w:val="41"/>
        </w:numPr>
        <w:ind w:left="0" w:leftChars="0" w:firstLine="442" w:firstLineChars="200"/>
        <w:rPr>
          <w:b/>
          <w:bCs/>
          <w:color w:val="auto"/>
          <w:highlight w:val="none"/>
        </w:rPr>
      </w:pPr>
      <w:r>
        <w:rPr>
          <w:rFonts w:hint="eastAsia"/>
          <w:b/>
          <w:bCs/>
          <w:color w:val="auto"/>
          <w:highlight w:val="none"/>
          <w:lang w:eastAsia="zh-CN"/>
        </w:rPr>
        <w:t>重点保护植物</w:t>
      </w:r>
    </w:p>
    <w:p w14:paraId="4E1D37A2">
      <w:pPr>
        <w:pStyle w:val="684"/>
        <w:ind w:firstLine="442"/>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rPr>
        <w:t>根据《环境影响评价技术导则生态影响》（HJ19-2022），重要野生植物包括国家和地方野生保护物种、《中国生物多样性红色名录》易危（VU）以上等级物种、特有种、国家和地方极小种群物种。对照《中国特有种子植物的多样性及其地理分布》（黄继红等）</w:t>
      </w:r>
      <w:r>
        <w:rPr>
          <w:rFonts w:hint="eastAsia" w:ascii="Times New Roman" w:cs="Times New Roman"/>
          <w:color w:val="auto"/>
          <w:highlight w:val="none"/>
          <w:lang w:eastAsia="zh-CN"/>
        </w:rPr>
        <w:t>结合</w:t>
      </w:r>
      <w:r>
        <w:rPr>
          <w:rFonts w:hint="eastAsia" w:ascii="Times New Roman" w:hAnsi="Times New Roman" w:cs="Times New Roman"/>
          <w:color w:val="auto"/>
          <w:highlight w:val="none"/>
        </w:rPr>
        <w:t>现场实地调查，评价范围内未发现野生特有种植物，未发现国家重点</w:t>
      </w:r>
      <w:r>
        <w:rPr>
          <w:rFonts w:hint="eastAsia" w:ascii="Times New Roman" w:hAnsi="Times New Roman" w:cs="Times New Roman"/>
          <w:color w:val="auto"/>
          <w:highlight w:val="none"/>
          <w:lang w:eastAsia="zh-CN"/>
        </w:rPr>
        <w:t>保护</w:t>
      </w:r>
      <w:r>
        <w:rPr>
          <w:rFonts w:hint="eastAsia" w:ascii="Times New Roman" w:cs="Times New Roman"/>
          <w:color w:val="auto"/>
          <w:highlight w:val="none"/>
          <w:lang w:eastAsia="zh-CN"/>
        </w:rPr>
        <w:t>和自治区重点保护</w:t>
      </w:r>
      <w:r>
        <w:rPr>
          <w:rFonts w:hint="eastAsia" w:ascii="Times New Roman" w:hAnsi="Times New Roman" w:cs="Times New Roman"/>
          <w:color w:val="auto"/>
          <w:highlight w:val="none"/>
          <w:lang w:eastAsia="zh-CN"/>
        </w:rPr>
        <w:t>野生植物分布。</w:t>
      </w:r>
    </w:p>
    <w:p w14:paraId="35030677">
      <w:pPr>
        <w:pStyle w:val="410"/>
        <w:numPr>
          <w:ilvl w:val="0"/>
          <w:numId w:val="41"/>
        </w:numPr>
        <w:ind w:left="0" w:leftChars="0" w:firstLine="442" w:firstLineChars="200"/>
        <w:rPr>
          <w:b/>
          <w:bCs/>
          <w:color w:val="auto"/>
          <w:highlight w:val="none"/>
        </w:rPr>
      </w:pPr>
      <w:r>
        <w:rPr>
          <w:rFonts w:hint="default" w:ascii="Times New Roman" w:hAnsi="Times New Roman" w:cs="Times New Roman"/>
          <w:b/>
          <w:bCs/>
          <w:color w:val="auto"/>
          <w:highlight w:val="none"/>
        </w:rPr>
        <w:t>古树名木</w:t>
      </w:r>
    </w:p>
    <w:p w14:paraId="73BA41A1">
      <w:pPr>
        <w:pStyle w:val="68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根据《全国古树名木普查建档技术规定》（全绿字〔2001〕15号）对古树名木进行界定：名木是指在历史上或社会上有重大影响的中外历代名人、领袖人物所种植或具有极其重要的历史、文化价值、具有纪念意义的树木；古树指树龄在100年以上的树木，树龄500年以上为国家一级，树龄300—499年为国家二级，树龄100—299年为三级古树。经调查，项目用地红线内及项目用地红线外300m的生态评价范围内无古树名木分布。</w:t>
      </w:r>
    </w:p>
    <w:p w14:paraId="4F595E2D">
      <w:pPr>
        <w:pStyle w:val="410"/>
        <w:numPr>
          <w:ilvl w:val="0"/>
          <w:numId w:val="41"/>
        </w:numPr>
        <w:ind w:left="0" w:leftChars="0" w:firstLine="44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入侵物种</w:t>
      </w:r>
    </w:p>
    <w:p w14:paraId="7A546868">
      <w:pPr>
        <w:pStyle w:val="684"/>
        <w:ind w:firstLine="442"/>
        <w:rPr>
          <w:rFonts w:hint="default" w:ascii="Times New Roman" w:hAnsi="Times New Roman" w:cs="Times New Roman"/>
          <w:color w:val="auto"/>
          <w:highlight w:val="none"/>
          <w:u w:val="single"/>
        </w:rPr>
      </w:pPr>
      <w:r>
        <w:rPr>
          <w:rFonts w:hint="default" w:ascii="Times New Roman" w:hAnsi="Times New Roman" w:cs="Times New Roman"/>
          <w:color w:val="auto"/>
          <w:highlight w:val="none"/>
        </w:rPr>
        <w:t>经沿线踏勘对比环保部公布的第一批（2003）、第二批（2010）、第三批（2014）、第四批（2016）外来物种名单，项目评价范围内分布有陆生入侵物种</w:t>
      </w:r>
      <w:r>
        <w:rPr>
          <w:rFonts w:hint="eastAsia" w:ascii="Times New Roman" w:cs="Times New Roman"/>
          <w:color w:val="auto"/>
          <w:highlight w:val="none"/>
          <w:u w:val="single"/>
          <w:lang w:val="en-US" w:eastAsia="zh-CN"/>
        </w:rPr>
        <w:t>1</w:t>
      </w:r>
      <w:r>
        <w:rPr>
          <w:rFonts w:hint="default" w:ascii="Times New Roman" w:hAnsi="Times New Roman" w:cs="Times New Roman"/>
          <w:color w:val="auto"/>
          <w:highlight w:val="none"/>
          <w:u w:val="single"/>
        </w:rPr>
        <w:t>种，</w:t>
      </w:r>
      <w:r>
        <w:rPr>
          <w:rFonts w:hint="eastAsia" w:ascii="Times New Roman" w:cs="Times New Roman"/>
          <w:color w:val="auto"/>
          <w:highlight w:val="none"/>
          <w:lang w:eastAsia="zh-CN"/>
        </w:rPr>
        <w:t>为</w:t>
      </w:r>
      <w:r>
        <w:rPr>
          <w:rFonts w:hint="default" w:ascii="Times New Roman" w:hAnsi="Times New Roman" w:cs="Times New Roman"/>
          <w:color w:val="auto"/>
          <w:highlight w:val="none"/>
        </w:rPr>
        <w:t>三叶鬼针草</w:t>
      </w:r>
      <w:r>
        <w:rPr>
          <w:rFonts w:hint="default" w:ascii="Times New Roman" w:hAnsi="Times New Roman" w:cs="Times New Roman"/>
          <w:color w:val="auto"/>
          <w:highlight w:val="none"/>
          <w:u w:val="none"/>
        </w:rPr>
        <w:t>。</w:t>
      </w:r>
    </w:p>
    <w:p w14:paraId="7357B584">
      <w:pPr>
        <w:pStyle w:val="68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Ⅰ三叶鬼针草</w:t>
      </w:r>
      <w:r>
        <w:rPr>
          <w:rFonts w:hint="default" w:ascii="Times New Roman" w:hAnsi="Times New Roman" w:cs="Times New Roman"/>
          <w:i/>
          <w:iCs/>
          <w:color w:val="auto"/>
          <w:sz w:val="21"/>
          <w:szCs w:val="21"/>
          <w:highlight w:val="none"/>
        </w:rPr>
        <w:t>Bidens pilosa L.</w:t>
      </w:r>
    </w:p>
    <w:p w14:paraId="4669283D">
      <w:pPr>
        <w:pStyle w:val="68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植株高达1.2m。茎钝四棱形，直立，无毛或有时上部稀被柔毛。叶对生，茎下部叶常于花前枯萎；中部叶为三出复叶，或稀为5~7小叶的羽状复叶，小叶边缘有锯齿；上部叶小，线状披针形，3裂或不裂。头状花序直径8~9mm。总苞片7~8枚，线状匙形，基部被短柔毛。舌状花白色或黄色，1~5朵，有时无；筒状花黄色，裂片5，两性结实。瘦果条形，黑色，略扁，具四棱，上部有刚毛；冠毛3~4条，芒状，具倒刺。</w:t>
      </w:r>
    </w:p>
    <w:p w14:paraId="09D8CCE3">
      <w:pPr>
        <w:pStyle w:val="68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三叶鬼针草于2014年被列入环保部发布的“中国外来入侵物种名单（第三批）”，在评价范围内，主要分布于农田、路旁及荒地，是常见的旱田、果园的杂草，分布范围较小，入侵趋势一般。</w:t>
      </w:r>
    </w:p>
    <w:p w14:paraId="26AB5779">
      <w:pPr>
        <w:pStyle w:val="5"/>
        <w:numPr>
          <w:ilvl w:val="2"/>
          <w:numId w:val="40"/>
        </w:numPr>
        <w:bidi w:val="0"/>
        <w:ind w:left="452" w:leftChars="0" w:firstLine="0" w:firstLineChars="0"/>
        <w:rPr>
          <w:rFonts w:hint="default"/>
          <w:color w:val="auto"/>
          <w:highlight w:val="none"/>
        </w:rPr>
      </w:pPr>
      <w:r>
        <w:rPr>
          <w:rFonts w:hint="default"/>
          <w:color w:val="auto"/>
          <w:highlight w:val="none"/>
        </w:rPr>
        <w:t>陆生野生脊椎动物现状调查</w:t>
      </w:r>
    </w:p>
    <w:p w14:paraId="1769E240">
      <w:pPr>
        <w:pStyle w:val="6"/>
        <w:numPr>
          <w:ilvl w:val="3"/>
          <w:numId w:val="40"/>
        </w:numPr>
        <w:bidi w:val="0"/>
        <w:ind w:left="0" w:leftChars="0" w:firstLine="0" w:firstLineChars="0"/>
        <w:rPr>
          <w:rFonts w:hint="default"/>
          <w:color w:val="auto"/>
          <w:highlight w:val="none"/>
        </w:rPr>
      </w:pPr>
      <w:r>
        <w:rPr>
          <w:rFonts w:hint="default"/>
          <w:color w:val="auto"/>
          <w:highlight w:val="none"/>
        </w:rPr>
        <w:t>调查方法</w:t>
      </w:r>
    </w:p>
    <w:p w14:paraId="3C8B559A">
      <w:pPr>
        <w:pStyle w:val="684"/>
        <w:ind w:firstLine="442"/>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t>采取资料调研、走访调查（专家咨询、民间访问）和现场踏勘等多种方法对沿线野生动物进行调查，重点对列入国家及地方野生保护名录动物及其生境进行调查。走访调查主要针对当地林业部门及生境良好区域附近熟悉当地野生动物情况的本地居民。</w:t>
      </w:r>
    </w:p>
    <w:p w14:paraId="4BC7DEC0">
      <w:pPr>
        <w:pStyle w:val="6"/>
        <w:numPr>
          <w:ilvl w:val="3"/>
          <w:numId w:val="40"/>
        </w:numPr>
        <w:bidi w:val="0"/>
        <w:ind w:left="0" w:leftChars="0" w:firstLine="0" w:firstLineChars="0"/>
        <w:rPr>
          <w:rFonts w:hint="default"/>
          <w:color w:val="auto"/>
          <w:highlight w:val="none"/>
        </w:rPr>
      </w:pPr>
      <w:r>
        <w:rPr>
          <w:rFonts w:hint="default"/>
          <w:color w:val="auto"/>
          <w:highlight w:val="none"/>
        </w:rPr>
        <w:t>陆生野生脊椎动物现状调查</w:t>
      </w:r>
    </w:p>
    <w:p w14:paraId="62B73771">
      <w:pPr>
        <w:pStyle w:val="684"/>
        <w:ind w:firstLine="444"/>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1、陆生野生脊椎动物生境现状</w:t>
      </w:r>
    </w:p>
    <w:p w14:paraId="7B7518E7">
      <w:pPr>
        <w:pStyle w:val="68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根据现场调查，调查区陆生野生脊椎动物生境类型可以划分为灌丛、人工林、农田、河流水塘生境4类，按照中国生态地理动物群的划分体系。</w:t>
      </w:r>
    </w:p>
    <w:p w14:paraId="703DA964">
      <w:pPr>
        <w:pStyle w:val="684"/>
        <w:ind w:firstLine="444"/>
        <w:rPr>
          <w:rFonts w:hint="default" w:ascii="Times New Roman" w:hAnsi="Times New Roman" w:cs="Times New Roman"/>
          <w:color w:val="auto"/>
          <w:highlight w:val="none"/>
        </w:rPr>
      </w:pPr>
      <w:r>
        <w:rPr>
          <w:rFonts w:hint="default" w:ascii="Times New Roman" w:hAnsi="Times New Roman" w:cs="Times New Roman"/>
          <w:b/>
          <w:color w:val="auto"/>
          <w:highlight w:val="none"/>
        </w:rPr>
        <w:t>灌丛、草丛生境：</w:t>
      </w:r>
      <w:r>
        <w:rPr>
          <w:rFonts w:hint="default" w:ascii="Times New Roman" w:hAnsi="Times New Roman" w:cs="Times New Roman"/>
          <w:color w:val="auto"/>
          <w:highlight w:val="none"/>
        </w:rPr>
        <w:t>调查区灌丛生境分布较为零散，主要分布于人工林缘、河岸未利用荒地及道路旁，植被类型为地区灌丛，时有人类干扰，生境质量不高，野生动物分布有鸟类、小型哺乳类。</w:t>
      </w:r>
    </w:p>
    <w:p w14:paraId="02F8A0AC">
      <w:pPr>
        <w:pStyle w:val="684"/>
        <w:ind w:firstLine="444"/>
        <w:rPr>
          <w:rFonts w:hint="default" w:ascii="Times New Roman" w:hAnsi="Times New Roman" w:cs="Times New Roman"/>
          <w:color w:val="auto"/>
          <w:highlight w:val="none"/>
        </w:rPr>
      </w:pPr>
      <w:r>
        <w:rPr>
          <w:rFonts w:hint="default" w:ascii="Times New Roman" w:hAnsi="Times New Roman" w:cs="Times New Roman"/>
          <w:b/>
          <w:color w:val="auto"/>
          <w:highlight w:val="none"/>
        </w:rPr>
        <w:t>河流水塘生境：</w:t>
      </w:r>
      <w:r>
        <w:rPr>
          <w:rFonts w:hint="default" w:ascii="Times New Roman" w:hAnsi="Times New Roman" w:cs="Times New Roman"/>
          <w:color w:val="auto"/>
          <w:highlight w:val="none"/>
        </w:rPr>
        <w:t>调查区内主要河流水塘生境主要项目附近的</w:t>
      </w:r>
      <w:r>
        <w:rPr>
          <w:rFonts w:hint="default" w:ascii="Times New Roman" w:hAnsi="Times New Roman" w:cs="Times New Roman"/>
          <w:color w:val="auto"/>
          <w:highlight w:val="none"/>
          <w:lang w:val="en-US" w:eastAsia="zh-CN"/>
        </w:rPr>
        <w:t>淡水湾江</w:t>
      </w:r>
      <w:r>
        <w:rPr>
          <w:rFonts w:hint="default" w:ascii="Times New Roman" w:hAnsi="Times New Roman" w:cs="Times New Roman"/>
          <w:color w:val="auto"/>
          <w:highlight w:val="none"/>
        </w:rPr>
        <w:t>及</w:t>
      </w:r>
      <w:r>
        <w:rPr>
          <w:rFonts w:hint="eastAsia" w:ascii="Times New Roman" w:cs="Times New Roman"/>
          <w:color w:val="auto"/>
          <w:highlight w:val="none"/>
          <w:lang w:eastAsia="zh-CN"/>
        </w:rPr>
        <w:t>周边池塘养殖区</w:t>
      </w:r>
      <w:r>
        <w:rPr>
          <w:rFonts w:hint="default" w:ascii="Times New Roman" w:hAnsi="Times New Roman" w:cs="Times New Roman"/>
          <w:color w:val="auto"/>
          <w:highlight w:val="none"/>
        </w:rPr>
        <w:t>。</w:t>
      </w:r>
    </w:p>
    <w:p w14:paraId="4963EC0A">
      <w:pPr>
        <w:pStyle w:val="684"/>
        <w:ind w:firstLine="444"/>
        <w:rPr>
          <w:rFonts w:hint="default" w:ascii="Times New Roman" w:hAnsi="Times New Roman" w:cs="Times New Roman"/>
          <w:color w:val="auto"/>
          <w:highlight w:val="none"/>
        </w:rPr>
      </w:pPr>
      <w:r>
        <w:rPr>
          <w:rFonts w:hint="default" w:ascii="Times New Roman" w:hAnsi="Times New Roman" w:cs="Times New Roman"/>
          <w:b/>
          <w:color w:val="auto"/>
          <w:highlight w:val="none"/>
        </w:rPr>
        <w:t>人工林生境：</w:t>
      </w:r>
      <w:r>
        <w:rPr>
          <w:rFonts w:hint="default" w:ascii="Times New Roman" w:hAnsi="Times New Roman" w:cs="Times New Roman"/>
          <w:color w:val="auto"/>
          <w:highlight w:val="none"/>
        </w:rPr>
        <w:t>调查区内无大面积成片人工林分布，呈小面积零散分布。人工林主要为桉树，物种单一且受人类活动影响较大，生境质量不高，陆生脊椎动物分布较少，仅有少量鸟类分布。</w:t>
      </w:r>
    </w:p>
    <w:p w14:paraId="202C2F0C">
      <w:pPr>
        <w:pStyle w:val="684"/>
        <w:ind w:firstLine="444"/>
        <w:rPr>
          <w:rFonts w:hint="default" w:ascii="Times New Roman" w:hAnsi="Times New Roman" w:cs="Times New Roman"/>
          <w:color w:val="auto"/>
          <w:highlight w:val="none"/>
        </w:rPr>
      </w:pPr>
      <w:r>
        <w:rPr>
          <w:rFonts w:hint="default" w:ascii="Times New Roman" w:hAnsi="Times New Roman" w:cs="Times New Roman"/>
          <w:b/>
          <w:color w:val="auto"/>
          <w:highlight w:val="none"/>
        </w:rPr>
        <w:t>农田生境：</w:t>
      </w:r>
      <w:r>
        <w:rPr>
          <w:rFonts w:hint="default" w:ascii="Times New Roman" w:hAnsi="Times New Roman" w:cs="Times New Roman"/>
          <w:color w:val="auto"/>
          <w:highlight w:val="none"/>
          <w:lang w:val="en-US" w:eastAsia="zh-CN"/>
        </w:rPr>
        <w:t>工程所在区域现状为农田</w:t>
      </w:r>
      <w:r>
        <w:rPr>
          <w:rFonts w:hint="default" w:ascii="Times New Roman" w:hAnsi="Times New Roman" w:cs="Times New Roman"/>
          <w:color w:val="auto"/>
          <w:highlight w:val="none"/>
        </w:rPr>
        <w:t>，调查区内主要部分主要种植</w:t>
      </w:r>
      <w:r>
        <w:rPr>
          <w:rFonts w:hint="default" w:ascii="Times New Roman" w:hAnsi="Times New Roman" w:cs="Times New Roman"/>
          <w:color w:val="auto"/>
          <w:highlight w:val="none"/>
          <w:lang w:eastAsia="zh-CN"/>
        </w:rPr>
        <w:t>水稻</w:t>
      </w:r>
      <w:r>
        <w:rPr>
          <w:rFonts w:hint="default" w:ascii="Times New Roman" w:hAnsi="Times New Roman" w:cs="Times New Roman"/>
          <w:color w:val="auto"/>
          <w:highlight w:val="none"/>
        </w:rPr>
        <w:t>等农作物，收获后基本无野生动物分布，生长期主要以爬行类和啮齿类为主，偶有部分鸟类分布，农田生境受人类活动干扰频繁，非野生动物栖息的主要生境。</w:t>
      </w:r>
    </w:p>
    <w:p w14:paraId="62880E14">
      <w:pPr>
        <w:pStyle w:val="684"/>
        <w:ind w:firstLine="444"/>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2、动物多样性现状</w:t>
      </w:r>
    </w:p>
    <w:p w14:paraId="7A133CCA">
      <w:pPr>
        <w:pStyle w:val="684"/>
        <w:ind w:firstLine="444"/>
        <w:rPr>
          <w:rFonts w:hint="default" w:ascii="Times New Roman" w:hAnsi="Times New Roman" w:cs="Times New Roman"/>
          <w:b w:val="0"/>
          <w:bCs/>
          <w:color w:val="auto"/>
          <w:highlight w:val="none"/>
          <w:u w:val="none"/>
        </w:rPr>
      </w:pPr>
      <w:r>
        <w:rPr>
          <w:rFonts w:hint="default" w:ascii="Times New Roman" w:hAnsi="Times New Roman" w:cs="Times New Roman"/>
          <w:bCs/>
          <w:color w:val="auto"/>
          <w:highlight w:val="none"/>
        </w:rPr>
        <w:t>调查区处于人类活动频繁地区，且用地类型以耕地、农田为主，无重点保护野生动物的天然集中生境（栖息地）分布，不属野生动物集中分布区，无大型哺乳类动物通道分布。因区域人为干扰强烈，开发强度大，陆生野生动物数量较少，主要为与人类活动密切的各种常见物种，</w:t>
      </w:r>
      <w:r>
        <w:rPr>
          <w:rFonts w:hint="default" w:ascii="Times New Roman" w:hAnsi="Times New Roman" w:cs="Times New Roman"/>
          <w:b w:val="0"/>
          <w:bCs/>
          <w:color w:val="auto"/>
          <w:highlight w:val="none"/>
          <w:u w:val="single"/>
        </w:rPr>
        <w:t>两栖动物主要有中华蟾蜍、花臭蛙、沼水蛙等</w:t>
      </w:r>
      <w:r>
        <w:rPr>
          <w:rFonts w:hint="eastAsia" w:ascii="Times New Roman" w:hAnsi="Times New Roman" w:cs="Times New Roman"/>
          <w:b w:val="0"/>
          <w:bCs/>
          <w:color w:val="auto"/>
          <w:highlight w:val="none"/>
          <w:u w:val="single"/>
          <w:lang w:eastAsia="zh-CN"/>
        </w:rPr>
        <w:t>；评价区内的爬行类动物主要有南草蜥、灰鼠蛇、钩盲蛇等；评价区内分布的哺乳类主要有小家鼠、巢鼠、针毛鼠；</w:t>
      </w:r>
      <w:r>
        <w:rPr>
          <w:rFonts w:hint="eastAsia" w:ascii="Times New Roman" w:hAnsi="Times New Roman" w:cs="Times New Roman"/>
          <w:b w:val="0"/>
          <w:bCs/>
          <w:color w:val="auto"/>
          <w:highlight w:val="none"/>
          <w:u w:val="single"/>
          <w:lang w:val="en-US" w:eastAsia="zh-CN"/>
        </w:rPr>
        <w:t>评价区内分布的哺乳类主要有小家鼠、巢鼠、针毛鼠</w:t>
      </w:r>
      <w:r>
        <w:rPr>
          <w:rFonts w:hint="eastAsia" w:ascii="Times New Roman" w:cs="Times New Roman"/>
          <w:b w:val="0"/>
          <w:bCs/>
          <w:color w:val="auto"/>
          <w:highlight w:val="none"/>
          <w:u w:val="single"/>
          <w:lang w:val="en-US" w:eastAsia="zh-CN"/>
        </w:rPr>
        <w:t>，</w:t>
      </w:r>
      <w:r>
        <w:rPr>
          <w:rFonts w:hint="eastAsia" w:ascii="Times New Roman" w:hAnsi="Times New Roman" w:cs="Times New Roman"/>
          <w:b w:val="0"/>
          <w:bCs/>
          <w:color w:val="auto"/>
          <w:highlight w:val="none"/>
          <w:u w:val="single"/>
          <w:lang w:val="en-US" w:eastAsia="zh-CN"/>
        </w:rPr>
        <w:t>评价区内分布</w:t>
      </w:r>
      <w:r>
        <w:rPr>
          <w:rFonts w:hint="eastAsia" w:ascii="Times New Roman" w:cs="Times New Roman"/>
          <w:b w:val="0"/>
          <w:bCs/>
          <w:color w:val="auto"/>
          <w:highlight w:val="none"/>
          <w:u w:val="single"/>
          <w:lang w:val="en-US" w:eastAsia="zh-CN"/>
        </w:rPr>
        <w:t>鸟类</w:t>
      </w:r>
      <w:r>
        <w:rPr>
          <w:rFonts w:hint="eastAsia" w:ascii="Times New Roman" w:hAnsi="Times New Roman" w:cs="Times New Roman"/>
          <w:b w:val="0"/>
          <w:bCs/>
          <w:color w:val="auto"/>
          <w:highlight w:val="none"/>
          <w:u w:val="single"/>
          <w:lang w:val="en-US" w:eastAsia="zh-CN"/>
        </w:rPr>
        <w:t>分布有鹌鹑、普通翠鸟、家燕、草鹭、麻雀、白鹤鸽、八声杜鹃，</w:t>
      </w:r>
      <w:r>
        <w:rPr>
          <w:rFonts w:hint="default" w:ascii="Times New Roman" w:hAnsi="Times New Roman" w:cs="Times New Roman"/>
          <w:b w:val="0"/>
          <w:bCs/>
          <w:color w:val="auto"/>
          <w:highlight w:val="none"/>
          <w:u w:val="single"/>
        </w:rPr>
        <w:t>调查期间评价范围内未发现</w:t>
      </w:r>
      <w:r>
        <w:rPr>
          <w:rFonts w:hint="default" w:ascii="Times New Roman" w:hAnsi="Times New Roman" w:cs="Times New Roman"/>
          <w:b w:val="0"/>
          <w:bCs/>
          <w:color w:val="auto"/>
          <w:highlight w:val="none"/>
          <w:u w:val="single"/>
          <w:lang w:eastAsia="zh-CN"/>
        </w:rPr>
        <w:t>重点</w:t>
      </w:r>
      <w:r>
        <w:rPr>
          <w:rFonts w:hint="default" w:ascii="Times New Roman" w:hAnsi="Times New Roman" w:cs="Times New Roman"/>
          <w:b w:val="0"/>
          <w:bCs/>
          <w:color w:val="auto"/>
          <w:highlight w:val="none"/>
          <w:u w:val="single"/>
        </w:rPr>
        <w:t>保护野生动物。</w:t>
      </w:r>
    </w:p>
    <w:p w14:paraId="02FFF79F">
      <w:pPr>
        <w:pStyle w:val="684"/>
        <w:ind w:firstLine="442"/>
        <w:rPr>
          <w:rFonts w:hint="default" w:ascii="Times New Roman" w:hAnsi="Times New Roman" w:cs="Times New Roman"/>
          <w:color w:val="auto"/>
          <w:highlight w:val="none"/>
          <w:u w:val="none"/>
        </w:rPr>
      </w:pPr>
      <w:r>
        <w:rPr>
          <w:rFonts w:hint="default" w:ascii="Times New Roman" w:hAnsi="Times New Roman" w:cs="Times New Roman"/>
          <w:bCs/>
          <w:color w:val="auto"/>
          <w:highlight w:val="none"/>
          <w:u w:val="none"/>
        </w:rPr>
        <w:t>调查期间评价范围内未发现</w:t>
      </w:r>
      <w:r>
        <w:rPr>
          <w:rFonts w:hint="default" w:ascii="Times New Roman" w:hAnsi="Times New Roman" w:cs="Times New Roman"/>
          <w:bCs/>
          <w:color w:val="auto"/>
          <w:highlight w:val="none"/>
          <w:u w:val="none"/>
          <w:lang w:eastAsia="zh-CN"/>
        </w:rPr>
        <w:t>重点</w:t>
      </w:r>
      <w:r>
        <w:rPr>
          <w:rFonts w:hint="default" w:ascii="Times New Roman" w:hAnsi="Times New Roman" w:cs="Times New Roman"/>
          <w:bCs/>
          <w:color w:val="auto"/>
          <w:highlight w:val="none"/>
          <w:u w:val="none"/>
        </w:rPr>
        <w:t>保护野生动物。</w:t>
      </w:r>
      <w:r>
        <w:rPr>
          <w:rFonts w:hint="default" w:ascii="Times New Roman" w:hAnsi="Times New Roman" w:cs="Times New Roman"/>
          <w:color w:val="auto"/>
          <w:highlight w:val="none"/>
          <w:u w:val="none"/>
        </w:rPr>
        <w:t>经野外调查、走访和资料查询，本项目陆域评价范围内未发现大型野生动物，评价区域内生态系统结构简单，功能单一，生物多样性较小，整个生态系统的物质能量流主要受人工控制，生态系统的抗干扰能力较差。区内野生动物较少，以农田动物类群为主。区域陆生生态环境质量一般。</w:t>
      </w:r>
    </w:p>
    <w:p w14:paraId="1FC35930">
      <w:pPr>
        <w:pStyle w:val="410"/>
        <w:rPr>
          <w:rFonts w:hint="eastAsia" w:ascii="Times New Roman" w:hAnsi="Times New Roman" w:eastAsia="宋体" w:cs="Times New Roman"/>
          <w:b/>
          <w:bCs/>
          <w:color w:val="auto"/>
          <w:highlight w:val="none"/>
          <w:u w:val="single"/>
          <w:lang w:val="en-US" w:eastAsia="zh-CN"/>
        </w:rPr>
      </w:pPr>
      <w:r>
        <w:rPr>
          <w:rFonts w:hint="eastAsia" w:ascii="Times New Roman" w:hAnsi="Times New Roman" w:eastAsia="宋体" w:cs="Times New Roman"/>
          <w:b/>
          <w:bCs/>
          <w:color w:val="auto"/>
          <w:highlight w:val="none"/>
          <w:u w:val="single"/>
          <w:lang w:val="en-US" w:eastAsia="zh-CN"/>
        </w:rPr>
        <w:t>3、候鸟迁徙通道现状</w:t>
      </w:r>
    </w:p>
    <w:p w14:paraId="2FE63A7A">
      <w:pPr>
        <w:pStyle w:val="410"/>
        <w:rPr>
          <w:rFonts w:hint="eastAsia"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 xml:space="preserve">广西的候鸟迁徙通道主要有三条： </w:t>
      </w:r>
    </w:p>
    <w:p w14:paraId="561BFF5D">
      <w:pPr>
        <w:pStyle w:val="410"/>
        <w:rPr>
          <w:rFonts w:hint="eastAsia"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 xml:space="preserve">一是东亚—东南亚—澳大利西亚候鸟迁徙路线，在中国东南沿海地区的这一 段部分候鸟，主要是水鸟，沿着海岸线南下到广西，在北部湾沿海一带越冬，另 一部分，如猛禽、林鸟则沿北海冠头岭—涠洲岛—斜阳岛一线，或是沿海岸线南 迁至东南亚越冬，或从越冬地沿相反方向迁出广西去往繁殖地。该通道在广西的 重要节点是北部湾沿海地区、冠头岭、斜阳岛。 </w:t>
      </w:r>
    </w:p>
    <w:p w14:paraId="009F0AFF">
      <w:pPr>
        <w:pStyle w:val="410"/>
        <w:rPr>
          <w:rFonts w:hint="eastAsia"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 xml:space="preserve">二是从西北面的云贵高原进出广西的通道，此通道有两个分支，第一个分支 是经滚贝老山—九万大山—大明山以东一线至广西南部或更南边的东南亚越冬， 或从越冬地迁出广西；第二个分支是沿河池的天峨—东兰—大明山以西—百色的 青龙山一线，至广西的西南部或更南的越冬地，相反则迁出越冬地，该通道在广 西的重要节点有滚贝老山的打鸟坳、九万大山的杨梅坳、凤凰山、青龙山、大明 山、十万大山、西津库湿地以及北部湾沿海。 </w:t>
      </w:r>
    </w:p>
    <w:p w14:paraId="1D0BF124">
      <w:pPr>
        <w:pStyle w:val="410"/>
        <w:rPr>
          <w:rFonts w:hint="eastAsia"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三是从广西东北角的越城岭与海洋山之间的“湘桂走廊”进出广西的通道， 候鸟沿着资源—灵川—桂林—阳朔—梧州一线迁徙至广西东南部及广东越冬，相 反则迁出越冬地。该通道在广西的重要节点有金秀的大瑶山以及梧州的西江水域。在中观尺度上，钦南区处于东亚—澳大利西亚候鸟迁徙路线和云贵高原进出广西迁徙通道上，冬季有部分水鸟在北部湾地区越冬，猛禽和林鸟则沿着海岸线南迁至东南亚越冬。</w:t>
      </w:r>
    </w:p>
    <w:p w14:paraId="78A25F6B">
      <w:pPr>
        <w:pStyle w:val="41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本项目未属于本项目风电场拟建区域未处于鸟类主要迁徙通道内，现场调查未发现迁徙或滞留的候鸟群。在鸟类迁徙季节，项目 所在区域及其周边区域仍会有迁飞的候鸟经过。在阴天和雾天夜间，鸟类在迁徙过程中常表现出较强的趋光性，有分散的春、秋季候鸟迁徙路过，项目夜间不施工，不会对因此候鸟迁徙造成影响。</w:t>
      </w:r>
    </w:p>
    <w:p w14:paraId="594626E7">
      <w:pPr>
        <w:pStyle w:val="41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3、国家和自治区级重点保护野生动物</w:t>
      </w:r>
    </w:p>
    <w:p w14:paraId="473B0530">
      <w:pPr>
        <w:pStyle w:val="41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调查期间，本项目陆域评价范围内未发现大型野生动物、未发现国家级重点保护野生动物，未发现广西重点保护野生动物</w:t>
      </w:r>
      <w:r>
        <w:rPr>
          <w:rFonts w:hint="eastAsia" w:ascii="Times New Roman" w:cs="Times New Roman"/>
          <w:color w:val="auto"/>
          <w:highlight w:val="none"/>
          <w:lang w:eastAsia="zh-CN"/>
        </w:rPr>
        <w:t>。</w:t>
      </w:r>
    </w:p>
    <w:p w14:paraId="487A81D0">
      <w:pPr>
        <w:pStyle w:val="5"/>
        <w:numPr>
          <w:ilvl w:val="2"/>
          <w:numId w:val="40"/>
        </w:numPr>
        <w:bidi w:val="0"/>
        <w:ind w:left="452" w:leftChars="0" w:firstLine="0" w:firstLineChars="0"/>
        <w:rPr>
          <w:rFonts w:hint="default"/>
          <w:color w:val="auto"/>
          <w:highlight w:val="none"/>
        </w:rPr>
      </w:pPr>
      <w:r>
        <w:rPr>
          <w:rFonts w:hint="default"/>
          <w:color w:val="auto"/>
          <w:highlight w:val="none"/>
        </w:rPr>
        <w:t>水生生态环境现状调查与评价</w:t>
      </w:r>
    </w:p>
    <w:p w14:paraId="3697E8AB">
      <w:pPr>
        <w:pStyle w:val="6"/>
        <w:numPr>
          <w:ilvl w:val="3"/>
          <w:numId w:val="40"/>
        </w:numPr>
        <w:bidi w:val="0"/>
        <w:ind w:left="0" w:leftChars="0" w:firstLine="0" w:firstLineChars="0"/>
        <w:rPr>
          <w:rFonts w:hint="default"/>
          <w:color w:val="auto"/>
          <w:highlight w:val="none"/>
          <w:lang w:val="en-US" w:eastAsia="zh-CN"/>
        </w:rPr>
      </w:pPr>
      <w:r>
        <w:rPr>
          <w:rFonts w:hint="eastAsia"/>
          <w:color w:val="auto"/>
          <w:highlight w:val="none"/>
          <w:lang w:val="en-US" w:eastAsia="zh-CN"/>
        </w:rPr>
        <w:t>水生生态现状</w:t>
      </w:r>
    </w:p>
    <w:p w14:paraId="0A63630F">
      <w:pPr>
        <w:pStyle w:val="410"/>
        <w:ind w:firstLine="442" w:firstLineChars="200"/>
        <w:jc w:val="both"/>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区域</w:t>
      </w:r>
      <w:r>
        <w:rPr>
          <w:rFonts w:hint="default" w:ascii="Times New Roman" w:hAnsi="Times New Roman" w:eastAsia="宋体" w:cs="Times New Roman"/>
          <w:color w:val="auto"/>
          <w:highlight w:val="none"/>
          <w:lang w:val="en-US" w:eastAsia="zh-CN"/>
        </w:rPr>
        <w:t>上下游河道浅且窄，鱼类种类和数量都</w:t>
      </w:r>
      <w:r>
        <w:rPr>
          <w:rFonts w:hint="eastAsia" w:ascii="Times New Roman" w:cs="Times New Roman"/>
          <w:color w:val="auto"/>
          <w:highlight w:val="none"/>
          <w:lang w:val="en-US" w:eastAsia="zh-CN"/>
        </w:rPr>
        <w:t>较</w:t>
      </w:r>
      <w:r>
        <w:rPr>
          <w:rFonts w:hint="default" w:ascii="Times New Roman" w:hAnsi="Times New Roman" w:eastAsia="宋体" w:cs="Times New Roman"/>
          <w:color w:val="auto"/>
          <w:highlight w:val="none"/>
          <w:lang w:val="en-US" w:eastAsia="zh-CN"/>
        </w:rPr>
        <w:t>少。评价区域溪流和河段中无国家和省重点保护的鱼类，无特有鱼类或珍稀、受保护的鱼类，不涉及鱼类的三场及洄游通道。</w:t>
      </w:r>
      <w:r>
        <w:rPr>
          <w:rFonts w:hint="eastAsia" w:ascii="Times New Roman" w:cs="Times New Roman"/>
          <w:color w:val="auto"/>
          <w:highlight w:val="none"/>
          <w:lang w:val="en-US" w:eastAsia="zh-CN"/>
        </w:rPr>
        <w:t>水系</w:t>
      </w:r>
      <w:r>
        <w:rPr>
          <w:rFonts w:hint="default" w:ascii="Times New Roman" w:hAnsi="Times New Roman" w:eastAsia="宋体" w:cs="Times New Roman"/>
          <w:color w:val="auto"/>
          <w:highlight w:val="none"/>
          <w:lang w:val="en-US" w:eastAsia="zh-CN"/>
        </w:rPr>
        <w:t>流域内</w:t>
      </w:r>
      <w:r>
        <w:rPr>
          <w:rFonts w:hint="eastAsia" w:ascii="Times New Roman" w:cs="Times New Roman"/>
          <w:color w:val="auto"/>
          <w:highlight w:val="none"/>
          <w:lang w:val="en-US" w:eastAsia="zh-CN"/>
        </w:rPr>
        <w:t>丰水期为漫滩过水，但受人类农业活动和水产养殖活动的影响，</w:t>
      </w:r>
      <w:r>
        <w:rPr>
          <w:rFonts w:hint="default" w:ascii="Times New Roman" w:hAnsi="Times New Roman" w:eastAsia="宋体" w:cs="Times New Roman"/>
          <w:color w:val="auto"/>
          <w:highlight w:val="none"/>
          <w:lang w:val="en-US" w:eastAsia="zh-CN"/>
        </w:rPr>
        <w:t>水生植物较</w:t>
      </w:r>
      <w:r>
        <w:rPr>
          <w:rFonts w:hint="eastAsia" w:ascii="Times New Roman" w:cs="Times New Roman"/>
          <w:color w:val="auto"/>
          <w:highlight w:val="none"/>
          <w:lang w:val="en-US" w:eastAsia="zh-CN"/>
        </w:rPr>
        <w:t>少</w:t>
      </w:r>
      <w:r>
        <w:rPr>
          <w:rFonts w:hint="default" w:ascii="Times New Roman" w:hAnsi="Times New Roman" w:eastAsia="宋体" w:cs="Times New Roman"/>
          <w:color w:val="auto"/>
          <w:highlight w:val="none"/>
          <w:lang w:val="en-US" w:eastAsia="zh-CN"/>
        </w:rPr>
        <w:t>，流域内主要有硅藻、绿藻、蓝藻等浮游植物，桡足类、枝角类、轮虫等浮游动物以及颤蚓、管水蚓、水丝蚓等底栖动物</w:t>
      </w:r>
      <w:r>
        <w:rPr>
          <w:rFonts w:hint="eastAsia" w:ascii="Times New Roman" w:cs="Times New Roman"/>
          <w:color w:val="auto"/>
          <w:highlight w:val="none"/>
          <w:lang w:val="en-US" w:eastAsia="zh-CN"/>
        </w:rPr>
        <w:t>。</w:t>
      </w:r>
      <w:r>
        <w:rPr>
          <w:rFonts w:hint="eastAsia" w:ascii="Times New Roman" w:cs="Times New Roman"/>
          <w:color w:val="auto"/>
          <w:highlight w:val="none"/>
          <w:u w:val="single"/>
          <w:lang w:val="en-US" w:eastAsia="zh-CN"/>
        </w:rPr>
        <w:t>评价区内水系河道平坦，流域常见和广布鱼类生活在此，也有部分洄游性鱼类；大部分种类为适应性强的缓水型鱼类，而急流型鱼类相对较少。流水生态型鱼类 如鮡科、条鳅科、和爬鳅科鱼类，中华纹胸鮡、广西爬鳅、鳅、横纹南鳅、大刺鳅等种类；缓流或静水生态型，如鲤鱼、鲇鱼等。由于淡水湾江是直接入海的河流，除纯淡水鱼类外，评价区内可能存在海洋洄游性鱼类，花鰶、斑鰶、白肌银鱼、居氏银鱼等。</w:t>
      </w:r>
      <w:r>
        <w:rPr>
          <w:rFonts w:hint="default" w:ascii="Times New Roman" w:hAnsi="Times New Roman" w:eastAsia="宋体" w:cs="Times New Roman"/>
          <w:color w:val="auto"/>
          <w:highlight w:val="none"/>
          <w:lang w:val="en-US" w:eastAsia="zh-CN"/>
        </w:rPr>
        <w:t>其他水生动物有米虾、蟹、螺等，区域水生生物种群结构已趋于稳定。</w:t>
      </w:r>
    </w:p>
    <w:p w14:paraId="27089979">
      <w:pPr>
        <w:pStyle w:val="6"/>
        <w:numPr>
          <w:ilvl w:val="3"/>
          <w:numId w:val="40"/>
        </w:numPr>
        <w:bidi w:val="0"/>
        <w:ind w:left="0" w:leftChars="0"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重要鱼类</w:t>
      </w:r>
    </w:p>
    <w:p w14:paraId="098F6B48">
      <w:pPr>
        <w:pStyle w:val="242"/>
        <w:spacing w:line="500" w:lineRule="exact"/>
        <w:ind w:firstLine="44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根据《环境影响评价技术导则 生态影响》（HJ19-2022），重要野生动物包括国家和地方野生保护物种、《中国生物多样性红色名录》易危（VU）以上等级物种、特有种。</w:t>
      </w:r>
    </w:p>
    <w:p w14:paraId="0CB4C41C">
      <w:pPr>
        <w:pStyle w:val="242"/>
        <w:spacing w:line="500" w:lineRule="exact"/>
        <w:ind w:firstLine="44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根据现场勘查和历史调查资料，评价河段无有国家或广西重点保护的鱼类，无列入《中国生物多样性红色名录》名录的易危（VU）以上鱼类</w:t>
      </w:r>
      <w:r>
        <w:rPr>
          <w:rFonts w:hint="eastAsia" w:ascii="Times New Roman" w:hAnsi="Times New Roman" w:eastAsia="宋体" w:cs="Times New Roman"/>
          <w:color w:val="auto"/>
          <w:highlight w:val="none"/>
          <w:lang w:val="en-US" w:eastAsia="zh-CN"/>
        </w:rPr>
        <w:t>，无</w:t>
      </w:r>
      <w:r>
        <w:rPr>
          <w:rFonts w:hint="default" w:ascii="Times New Roman" w:hAnsi="Times New Roman" w:eastAsia="宋体" w:cs="Times New Roman"/>
          <w:color w:val="auto"/>
          <w:highlight w:val="none"/>
          <w:lang w:val="en-US" w:eastAsia="zh-CN"/>
        </w:rPr>
        <w:t>列入《中国生物多样性红色名录》特有鱼类</w:t>
      </w:r>
      <w:r>
        <w:rPr>
          <w:rFonts w:hint="eastAsia" w:ascii="Times New Roman" w:hAnsi="Times New Roman" w:eastAsia="宋体" w:cs="Times New Roman"/>
          <w:color w:val="auto"/>
          <w:highlight w:val="none"/>
          <w:lang w:val="en-US" w:eastAsia="zh-CN"/>
        </w:rPr>
        <w:t>。</w:t>
      </w:r>
    </w:p>
    <w:p w14:paraId="25DBF03D">
      <w:pPr>
        <w:pStyle w:val="6"/>
        <w:numPr>
          <w:ilvl w:val="3"/>
          <w:numId w:val="40"/>
        </w:numPr>
        <w:bidi w:val="0"/>
        <w:ind w:left="0" w:leftChars="0"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重要水生生境调查</w:t>
      </w:r>
    </w:p>
    <w:p w14:paraId="32D6158E">
      <w:pPr>
        <w:pStyle w:val="242"/>
        <w:spacing w:line="500" w:lineRule="exact"/>
        <w:ind w:firstLine="442"/>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（1）鱼类三场</w:t>
      </w:r>
    </w:p>
    <w:p w14:paraId="6A6DF56B">
      <w:pPr>
        <w:pStyle w:val="242"/>
        <w:spacing w:line="500" w:lineRule="exact"/>
        <w:ind w:firstLine="44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鱼类三场包括鱼类产卵场、鱼类越冬场和鱼类索饵场，是鱼类生活周期中不可或缺的三个重要场所。鱼类三场为鱼类提供了繁殖、觅食和越冬所需的环境条件，对于鱼类的生存和繁衍具有重要意义。同时，这三个场所的环境特征也会影响鱼类的行为和生存状态，是考核水域生态环境及鱼类自然资源的重要指标。</w:t>
      </w:r>
    </w:p>
    <w:p w14:paraId="5BF866A9">
      <w:pPr>
        <w:pStyle w:val="242"/>
        <w:spacing w:line="500" w:lineRule="exact"/>
        <w:ind w:firstLine="44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结合广西内陆河流鱼类</w:t>
      </w:r>
      <w:r>
        <w:rPr>
          <w:rFonts w:hint="eastAsia" w:ascii="Times New Roman" w:hAnsi="Times New Roman" w:eastAsia="宋体" w:cs="Times New Roman"/>
          <w:color w:val="auto"/>
          <w:highlight w:val="none"/>
          <w:lang w:val="en-US" w:eastAsia="zh-CN"/>
        </w:rPr>
        <w:t>“三场”</w:t>
      </w:r>
      <w:r>
        <w:rPr>
          <w:rFonts w:hint="default" w:ascii="Times New Roman" w:hAnsi="Times New Roman" w:eastAsia="宋体" w:cs="Times New Roman"/>
          <w:color w:val="auto"/>
          <w:highlight w:val="none"/>
          <w:lang w:val="en-US" w:eastAsia="zh-CN"/>
        </w:rPr>
        <w:t>分布的历史资料和现场调查，初步确定重点调查区内的水域内无越冬场、产卵场和索饵场。</w:t>
      </w:r>
    </w:p>
    <w:p w14:paraId="18E316B9">
      <w:pPr>
        <w:pStyle w:val="242"/>
        <w:numPr>
          <w:ilvl w:val="0"/>
          <w:numId w:val="37"/>
        </w:numPr>
        <w:spacing w:line="500" w:lineRule="exact"/>
        <w:ind w:left="0" w:leftChars="0" w:firstLine="442" w:firstLineChars="20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重要鱼类洄游通道</w:t>
      </w:r>
    </w:p>
    <w:p w14:paraId="6CED5AEE">
      <w:pPr>
        <w:pStyle w:val="242"/>
        <w:spacing w:line="500" w:lineRule="exact"/>
        <w:ind w:firstLine="44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洄游是鱼类运动的一种特殊形式，是一些鱼类的主动、定期、定向、集群、具有种的特点的水平移动。洄游也是一种周期性运动，随着鱼类生命周期各个环节的推移，每年重复进行。洄游是长期以来鱼类对外界环境条件变化的适应结果，也是鱼类内部生理变化发展到一定程度，对外界刺激的一种必然反应。通过洄游，更换各生活时期的生活水域，以满足不同生活时期对生活条件的需要，顺利完成生活史中各重要生命活动。洄游的距离随种类而异，为了寻找适宜的外界条件和特定的产卵场所，有的种类要远游几千公里的距离。</w:t>
      </w:r>
    </w:p>
    <w:p w14:paraId="66888D0A">
      <w:pPr>
        <w:pStyle w:val="242"/>
        <w:spacing w:line="500" w:lineRule="exact"/>
        <w:ind w:firstLine="442"/>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结合历史资料和现场调查，</w:t>
      </w:r>
      <w:r>
        <w:rPr>
          <w:rFonts w:hint="eastAsia" w:ascii="Times New Roman" w:hAnsi="Times New Roman" w:cs="Times New Roman"/>
          <w:color w:val="auto"/>
          <w:highlight w:val="none"/>
          <w:lang w:val="en-US" w:eastAsia="zh-CN"/>
        </w:rPr>
        <w:t>地表水评价范围</w:t>
      </w:r>
      <w:r>
        <w:rPr>
          <w:rFonts w:hint="default" w:ascii="Times New Roman" w:hAnsi="Times New Roman" w:eastAsia="宋体" w:cs="Times New Roman"/>
          <w:color w:val="auto"/>
          <w:highlight w:val="none"/>
          <w:lang w:val="en-US" w:eastAsia="zh-CN"/>
        </w:rPr>
        <w:t>内</w:t>
      </w:r>
      <w:r>
        <w:rPr>
          <w:rFonts w:hint="eastAsia" w:ascii="Times New Roman" w:hAnsi="Times New Roman" w:eastAsia="宋体" w:cs="Times New Roman"/>
          <w:color w:val="auto"/>
          <w:highlight w:val="none"/>
          <w:lang w:val="en-US" w:eastAsia="zh-CN"/>
        </w:rPr>
        <w:t>无</w:t>
      </w:r>
      <w:r>
        <w:rPr>
          <w:rFonts w:hint="default" w:ascii="Times New Roman" w:hAnsi="Times New Roman" w:eastAsia="宋体" w:cs="Times New Roman"/>
          <w:color w:val="auto"/>
          <w:highlight w:val="none"/>
          <w:lang w:val="en-US" w:eastAsia="zh-CN"/>
        </w:rPr>
        <w:t>重要鱼类洄游通道</w:t>
      </w:r>
      <w:r>
        <w:rPr>
          <w:rFonts w:hint="eastAsia" w:ascii="Times New Roman" w:hAnsi="Times New Roman" w:eastAsia="宋体" w:cs="Times New Roman"/>
          <w:color w:val="auto"/>
          <w:highlight w:val="none"/>
          <w:lang w:val="en-US" w:eastAsia="zh-CN"/>
        </w:rPr>
        <w:t>。</w:t>
      </w:r>
    </w:p>
    <w:p w14:paraId="2EBF2B31">
      <w:pPr>
        <w:pStyle w:val="5"/>
        <w:numPr>
          <w:ilvl w:val="2"/>
          <w:numId w:val="40"/>
        </w:numPr>
        <w:bidi w:val="0"/>
        <w:ind w:left="452" w:leftChars="0" w:firstLine="0" w:firstLineChars="0"/>
        <w:rPr>
          <w:rFonts w:hint="default"/>
          <w:color w:val="auto"/>
          <w:highlight w:val="none"/>
          <w:lang w:val="en-US" w:eastAsia="zh-CN"/>
        </w:rPr>
      </w:pPr>
      <w:r>
        <w:rPr>
          <w:rFonts w:hint="default"/>
          <w:color w:val="auto"/>
          <w:highlight w:val="none"/>
          <w:lang w:val="en-US" w:eastAsia="zh-CN"/>
        </w:rPr>
        <w:t>水土流失现状调查</w:t>
      </w:r>
    </w:p>
    <w:p w14:paraId="46E0243C">
      <w:pPr>
        <w:pStyle w:val="242"/>
        <w:spacing w:line="500" w:lineRule="exact"/>
        <w:ind w:firstLine="44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全国水土保持规划国家级水土流失重点预防区和重点治理区复核划分成果》(水利部2013年第188号)以及《广西壮族自治区人民政府关于划分我区水土流失重点预防区和重点治理区的通告》（桂政发〔2017〕5号），项目所在的钦州市钦南区不属于国家级、自治区级水土流失重点预防区和水土流失重点治理区。钦州市钦南区水土保持区划属于Ⅰ水力侵蚀类型区、Ⅰ4南方红壤丘陵区，容许土壤流失量为500t/(k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.a)，项目区土壤侵蚀类型为水力侵蚀，土壤侵蚀强度为轻度水力侵蚀。</w:t>
      </w:r>
    </w:p>
    <w:p w14:paraId="19E811B4">
      <w:pPr>
        <w:pStyle w:val="242"/>
        <w:spacing w:line="500" w:lineRule="exact"/>
        <w:ind w:firstLine="442"/>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lang w:val="en-US" w:eastAsia="zh-CN"/>
        </w:rPr>
        <w:t>项目区不涉及饮用水源保护区、水功能一级区的保护区和保留区、自然保护区、世界文化和自然遗产地、风景名胜区、地质公园、森林公园以及重要湿地等水土保持敏感区。</w:t>
      </w:r>
    </w:p>
    <w:p w14:paraId="35A1679C">
      <w:pPr>
        <w:pStyle w:val="4"/>
        <w:numPr>
          <w:ilvl w:val="1"/>
          <w:numId w:val="40"/>
        </w:numPr>
        <w:bidi w:val="0"/>
        <w:ind w:left="678" w:leftChars="0" w:firstLine="0" w:firstLineChars="0"/>
        <w:rPr>
          <w:rFonts w:hint="default"/>
          <w:color w:val="auto"/>
          <w:highlight w:val="none"/>
        </w:rPr>
      </w:pPr>
      <w:bookmarkStart w:id="74" w:name="_Toc32411"/>
      <w:bookmarkStart w:id="75" w:name="_Toc149836151"/>
      <w:r>
        <w:rPr>
          <w:rFonts w:hint="eastAsia"/>
          <w:color w:val="auto"/>
          <w:highlight w:val="none"/>
          <w:lang w:eastAsia="zh-CN"/>
        </w:rPr>
        <w:t>环境空气质量</w:t>
      </w:r>
      <w:r>
        <w:rPr>
          <w:rFonts w:hint="default"/>
          <w:color w:val="auto"/>
          <w:highlight w:val="none"/>
        </w:rPr>
        <w:t>现状调查与评价</w:t>
      </w:r>
      <w:bookmarkEnd w:id="74"/>
      <w:bookmarkEnd w:id="75"/>
    </w:p>
    <w:p w14:paraId="03E18FA3">
      <w:pPr>
        <w:pStyle w:val="242"/>
        <w:spacing w:line="500" w:lineRule="exact"/>
        <w:ind w:firstLine="44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项目位于</w:t>
      </w:r>
      <w:r>
        <w:rPr>
          <w:rFonts w:hint="default" w:ascii="Times New Roman" w:hAnsi="Times New Roman" w:cs="Times New Roman"/>
          <w:color w:val="auto"/>
          <w:sz w:val="24"/>
          <w:szCs w:val="24"/>
          <w:highlight w:val="none"/>
          <w:lang w:val="en-US" w:eastAsia="zh-CN"/>
        </w:rPr>
        <w:t>钦州市</w:t>
      </w:r>
      <w:r>
        <w:rPr>
          <w:rFonts w:hint="default" w:ascii="Times New Roman" w:hAnsi="Times New Roman" w:cs="Times New Roman"/>
          <w:color w:val="auto"/>
          <w:sz w:val="24"/>
          <w:szCs w:val="24"/>
          <w:highlight w:val="none"/>
          <w:lang w:eastAsia="zh-CN"/>
        </w:rPr>
        <w:t>中国（广西）自由贸易试验区钦州港片区</w:t>
      </w:r>
      <w:r>
        <w:rPr>
          <w:rFonts w:hint="default" w:ascii="Times New Roman" w:hAnsi="Times New Roman" w:eastAsia="宋体" w:cs="Times New Roman"/>
          <w:color w:val="auto"/>
          <w:highlight w:val="none"/>
          <w:lang w:val="en-US" w:eastAsia="zh-CN"/>
        </w:rPr>
        <w:t>，所在区域为环境空气质量二类功能区，环境空气质量执行《环境空气质量标准》（GB3095-2012）及其修改单中的二级标准。</w:t>
      </w:r>
    </w:p>
    <w:p w14:paraId="1BCA3D0E">
      <w:pPr>
        <w:pStyle w:val="242"/>
        <w:spacing w:line="500" w:lineRule="exact"/>
        <w:ind w:firstLine="44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按照《环境影响评价技术导则大气环境》（HJ2.2-2018）“6.2.1.1项目所在区域达标判定，优先采用国家或地方生态环境部门公开发布的评价基准年环境质量公告或环境质量报告中的数据或结论”。城市环境空气质量达标情况评价指标为SO</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、NO</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、PM</w:t>
      </w:r>
      <w:r>
        <w:rPr>
          <w:rFonts w:hint="default" w:ascii="Times New Roman" w:hAnsi="Times New Roman" w:eastAsia="宋体" w:cs="Times New Roman"/>
          <w:color w:val="auto"/>
          <w:highlight w:val="none"/>
          <w:vertAlign w:val="subscript"/>
          <w:lang w:val="en-US" w:eastAsia="zh-CN"/>
        </w:rPr>
        <w:t>10</w:t>
      </w:r>
      <w:r>
        <w:rPr>
          <w:rFonts w:hint="default" w:ascii="Times New Roman" w:hAnsi="Times New Roman" w:eastAsia="宋体" w:cs="Times New Roman"/>
          <w:color w:val="auto"/>
          <w:highlight w:val="none"/>
          <w:lang w:val="en-US" w:eastAsia="zh-CN"/>
        </w:rPr>
        <w:t>、PM</w:t>
      </w:r>
      <w:r>
        <w:rPr>
          <w:rFonts w:hint="default" w:ascii="Times New Roman" w:hAnsi="Times New Roman" w:eastAsia="宋体" w:cs="Times New Roman"/>
          <w:color w:val="auto"/>
          <w:highlight w:val="none"/>
          <w:vertAlign w:val="subscript"/>
          <w:lang w:val="en-US" w:eastAsia="zh-CN"/>
        </w:rPr>
        <w:t>2.5</w:t>
      </w:r>
      <w:r>
        <w:rPr>
          <w:rFonts w:hint="default" w:ascii="Times New Roman" w:hAnsi="Times New Roman" w:eastAsia="宋体" w:cs="Times New Roman"/>
          <w:color w:val="auto"/>
          <w:highlight w:val="none"/>
          <w:lang w:val="en-US" w:eastAsia="zh-CN"/>
        </w:rPr>
        <w:t>、CO和O</w:t>
      </w:r>
      <w:r>
        <w:rPr>
          <w:rFonts w:hint="default" w:ascii="Times New Roman" w:hAnsi="Times New Roman" w:eastAsia="宋体" w:cs="Times New Roman"/>
          <w:color w:val="auto"/>
          <w:highlight w:val="none"/>
          <w:vertAlign w:val="subscript"/>
          <w:lang w:val="en-US" w:eastAsia="zh-CN"/>
        </w:rPr>
        <w:t>3</w:t>
      </w:r>
      <w:r>
        <w:rPr>
          <w:rFonts w:hint="default" w:ascii="Times New Roman" w:hAnsi="Times New Roman" w:eastAsia="宋体" w:cs="Times New Roman"/>
          <w:color w:val="auto"/>
          <w:highlight w:val="none"/>
          <w:lang w:val="en-US" w:eastAsia="zh-CN"/>
        </w:rPr>
        <w:t>，六项污染物全部达标即为城市环境空气质量达标。</w:t>
      </w:r>
    </w:p>
    <w:p w14:paraId="4216C216">
      <w:pPr>
        <w:pStyle w:val="242"/>
        <w:spacing w:line="500" w:lineRule="exact"/>
        <w:ind w:firstLine="442"/>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lang w:val="en-US" w:eastAsia="zh-CN"/>
        </w:rPr>
        <w:t>根据</w:t>
      </w:r>
      <w:r>
        <w:rPr>
          <w:rFonts w:hint="eastAsia" w:ascii="Times New Roman" w:hAnsi="Times New Roman" w:cs="Times New Roman"/>
          <w:color w:val="auto"/>
          <w:highlight w:val="none"/>
          <w:lang w:val="en-US" w:eastAsia="zh-CN"/>
        </w:rPr>
        <w:t>《</w:t>
      </w:r>
      <w:r>
        <w:rPr>
          <w:rFonts w:hint="eastAsia" w:ascii="Times New Roman" w:hAnsi="Times New Roman" w:cs="Times New Roman"/>
          <w:color w:val="auto"/>
          <w:highlight w:val="none"/>
          <w:u w:val="single"/>
          <w:lang w:val="en-US" w:eastAsia="zh-CN"/>
        </w:rPr>
        <w:t>广西壮族自治区生态环境厅</w:t>
      </w:r>
      <w:r>
        <w:rPr>
          <w:rFonts w:hint="default" w:ascii="Times New Roman" w:hAnsi="Times New Roman" w:eastAsia="宋体" w:cs="Times New Roman"/>
          <w:color w:val="auto"/>
          <w:highlight w:val="none"/>
          <w:u w:val="single"/>
          <w:lang w:val="en-US" w:eastAsia="zh-CN"/>
        </w:rPr>
        <w:t>关于</w:t>
      </w:r>
      <w:r>
        <w:rPr>
          <w:rFonts w:hint="eastAsia" w:ascii="Times New Roman" w:hAnsi="Times New Roman" w:eastAsia="宋体" w:cs="Times New Roman"/>
          <w:color w:val="auto"/>
          <w:highlight w:val="none"/>
          <w:u w:val="single"/>
          <w:lang w:val="en-US" w:eastAsia="zh-CN"/>
        </w:rPr>
        <w:t>通报</w:t>
      </w:r>
      <w:r>
        <w:rPr>
          <w:rFonts w:hint="eastAsia" w:ascii="Times New Roman" w:hAnsi="Times New Roman" w:cs="Times New Roman"/>
          <w:color w:val="auto"/>
          <w:highlight w:val="none"/>
          <w:u w:val="single"/>
          <w:lang w:val="en-US" w:eastAsia="zh-CN"/>
        </w:rPr>
        <w:t>2024</w:t>
      </w:r>
      <w:r>
        <w:rPr>
          <w:rFonts w:hint="default" w:ascii="Times New Roman" w:hAnsi="Times New Roman" w:eastAsia="宋体" w:cs="Times New Roman"/>
          <w:color w:val="auto"/>
          <w:highlight w:val="none"/>
          <w:u w:val="single"/>
          <w:lang w:val="en-US" w:eastAsia="zh-CN"/>
        </w:rPr>
        <w:t>年设区城市及各县（市、区）环境空气质量的函</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w:t>
      </w:r>
      <w:r>
        <w:rPr>
          <w:rFonts w:hint="eastAsia" w:ascii="Times New Roman" w:hAnsi="Times New Roman" w:cs="Times New Roman"/>
          <w:color w:val="auto"/>
          <w:highlight w:val="none"/>
          <w:u w:val="single"/>
          <w:lang w:val="en-US" w:eastAsia="zh-CN"/>
        </w:rPr>
        <w:t>2024</w:t>
      </w:r>
      <w:r>
        <w:rPr>
          <w:rFonts w:hint="default" w:ascii="Times New Roman" w:hAnsi="Times New Roman" w:eastAsia="宋体" w:cs="Times New Roman"/>
          <w:color w:val="auto"/>
          <w:highlight w:val="none"/>
          <w:u w:val="single"/>
          <w:lang w:val="en-US" w:eastAsia="zh-CN"/>
        </w:rPr>
        <w:t>年</w:t>
      </w:r>
      <w:r>
        <w:rPr>
          <w:rFonts w:hint="eastAsia" w:ascii="Times New Roman" w:hAnsi="Times New Roman" w:cs="Times New Roman"/>
          <w:color w:val="auto"/>
          <w:highlight w:val="none"/>
          <w:lang w:val="en-US" w:eastAsia="zh-CN"/>
        </w:rPr>
        <w:t>钦州市</w:t>
      </w:r>
      <w:r>
        <w:rPr>
          <w:rFonts w:hint="default" w:ascii="Times New Roman" w:hAnsi="Times New Roman" w:eastAsia="宋体" w:cs="Times New Roman"/>
          <w:color w:val="auto"/>
          <w:highlight w:val="none"/>
          <w:lang w:val="en-US" w:eastAsia="zh-CN"/>
        </w:rPr>
        <w:t>环境空气优良率为</w:t>
      </w:r>
      <w:r>
        <w:rPr>
          <w:rFonts w:hint="eastAsia" w:ascii="Times New Roman" w:hAnsi="Times New Roman" w:cs="Times New Roman"/>
          <w:color w:val="auto"/>
          <w:highlight w:val="none"/>
          <w:lang w:val="en-US" w:eastAsia="zh-CN"/>
        </w:rPr>
        <w:t>97.5</w:t>
      </w:r>
      <w:r>
        <w:rPr>
          <w:rFonts w:hint="default" w:ascii="Times New Roman" w:hAnsi="Times New Roman" w:eastAsia="宋体" w:cs="Times New Roman"/>
          <w:color w:val="auto"/>
          <w:highlight w:val="none"/>
          <w:lang w:val="en-US" w:eastAsia="zh-CN"/>
        </w:rPr>
        <w:t>%，环境空气质量评价指标二氧化硫、二氧化氮、可吸入颗粒物（PM</w:t>
      </w:r>
      <w:r>
        <w:rPr>
          <w:rFonts w:hint="default" w:ascii="Times New Roman" w:hAnsi="Times New Roman" w:eastAsia="宋体" w:cs="Times New Roman"/>
          <w:color w:val="auto"/>
          <w:highlight w:val="none"/>
          <w:vertAlign w:val="subscript"/>
          <w:lang w:val="en-US" w:eastAsia="zh-CN"/>
        </w:rPr>
        <w:t>10</w:t>
      </w:r>
      <w:r>
        <w:rPr>
          <w:rFonts w:hint="default" w:ascii="Times New Roman" w:hAnsi="Times New Roman" w:eastAsia="宋体" w:cs="Times New Roman"/>
          <w:color w:val="auto"/>
          <w:highlight w:val="none"/>
          <w:lang w:val="en-US" w:eastAsia="zh-CN"/>
        </w:rPr>
        <w:t>）、细颗粒物（PM</w:t>
      </w:r>
      <w:r>
        <w:rPr>
          <w:rFonts w:hint="default" w:ascii="Times New Roman" w:hAnsi="Times New Roman" w:eastAsia="宋体" w:cs="Times New Roman"/>
          <w:color w:val="auto"/>
          <w:highlight w:val="none"/>
          <w:vertAlign w:val="subscript"/>
          <w:lang w:val="en-US" w:eastAsia="zh-CN"/>
        </w:rPr>
        <w:t>2.5</w:t>
      </w:r>
      <w:r>
        <w:rPr>
          <w:rFonts w:hint="default" w:ascii="Times New Roman" w:hAnsi="Times New Roman" w:eastAsia="宋体" w:cs="Times New Roman"/>
          <w:color w:val="auto"/>
          <w:highlight w:val="none"/>
          <w:lang w:val="en-US" w:eastAsia="zh-CN"/>
        </w:rPr>
        <w:t>）、一氧化碳、臭氧六项污染物全部达标，项目所在评价区域属于达标区</w:t>
      </w:r>
      <w:r>
        <w:rPr>
          <w:rFonts w:hint="default" w:ascii="Times New Roman" w:hAnsi="Times New Roman" w:cs="Times New Roman"/>
          <w:color w:val="auto"/>
          <w:highlight w:val="none"/>
        </w:rPr>
        <w:t>。项目所在区域空气质量现状评价表详见</w:t>
      </w:r>
      <w:r>
        <w:rPr>
          <w:rFonts w:hint="default" w:ascii="Times New Roman" w:hAnsi="Times New Roman" w:cs="Times New Roman"/>
          <w:bCs/>
          <w:color w:val="auto"/>
          <w:highlight w:val="none"/>
        </w:rPr>
        <w:fldChar w:fldCharType="begin"/>
      </w:r>
      <w:r>
        <w:rPr>
          <w:rFonts w:hint="default" w:ascii="Times New Roman" w:hAnsi="Times New Roman" w:cs="Times New Roman"/>
          <w:color w:val="auto"/>
          <w:highlight w:val="none"/>
        </w:rPr>
        <w:instrText xml:space="preserve"> REF _Ref96266581 \r \h </w:instrText>
      </w:r>
      <w:r>
        <w:rPr>
          <w:rFonts w:hint="default" w:ascii="Times New Roman" w:hAnsi="Times New Roman" w:cs="Times New Roman"/>
          <w:bCs/>
          <w:color w:val="auto"/>
          <w:highlight w:val="none"/>
        </w:rPr>
        <w:instrText xml:space="preserve"> \* MERGEFORMAT </w:instrText>
      </w:r>
      <w:r>
        <w:rPr>
          <w:rFonts w:hint="default" w:ascii="Times New Roman" w:hAnsi="Times New Roman" w:cs="Times New Roman"/>
          <w:bCs/>
          <w:color w:val="auto"/>
          <w:highlight w:val="none"/>
        </w:rPr>
        <w:fldChar w:fldCharType="separate"/>
      </w:r>
      <w:r>
        <w:rPr>
          <w:rFonts w:hint="default" w:ascii="Times New Roman" w:hAnsi="Times New Roman" w:cs="Times New Roman"/>
          <w:bCs/>
          <w:color w:val="auto"/>
          <w:highlight w:val="none"/>
        </w:rPr>
        <w:t>表3.4-1</w:t>
      </w:r>
      <w:r>
        <w:rPr>
          <w:rFonts w:hint="default" w:ascii="Times New Roman" w:hAnsi="Times New Roman" w:cs="Times New Roman"/>
          <w:bCs/>
          <w:color w:val="auto"/>
          <w:highlight w:val="none"/>
        </w:rPr>
        <w:fldChar w:fldCharType="end"/>
      </w:r>
      <w:r>
        <w:rPr>
          <w:rFonts w:hint="default" w:ascii="Times New Roman" w:hAnsi="Times New Roman" w:cs="Times New Roman"/>
          <w:bCs/>
          <w:color w:val="auto"/>
          <w:highlight w:val="none"/>
        </w:rPr>
        <w:t>。</w:t>
      </w:r>
    </w:p>
    <w:p w14:paraId="5368F03C">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bookmarkStart w:id="76" w:name="_Ref96266581"/>
      <w:r>
        <w:rPr>
          <w:rFonts w:hint="default"/>
          <w:color w:val="auto"/>
          <w:highlight w:val="none"/>
        </w:rPr>
        <w:t>区域空气质量现状评价表</w:t>
      </w:r>
      <w:bookmarkEnd w:id="76"/>
    </w:p>
    <w:tbl>
      <w:tblPr>
        <w:tblStyle w:val="87"/>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77"/>
        <w:gridCol w:w="2758"/>
        <w:gridCol w:w="1194"/>
        <w:gridCol w:w="1291"/>
        <w:gridCol w:w="1287"/>
        <w:gridCol w:w="1292"/>
      </w:tblGrid>
      <w:tr w14:paraId="678191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7" w:type="dxa"/>
            <w:noWrap w:val="0"/>
            <w:vAlign w:val="center"/>
          </w:tcPr>
          <w:p w14:paraId="08C8A2BF">
            <w:pPr>
              <w:pStyle w:val="1654"/>
              <w:rPr>
                <w:rFonts w:hint="default" w:ascii="Times New Roman" w:hAnsi="Times New Roman" w:cs="Times New Roman"/>
                <w:color w:val="auto"/>
                <w:highlight w:val="none"/>
              </w:rPr>
            </w:pPr>
            <w:r>
              <w:rPr>
                <w:rFonts w:hint="default" w:ascii="Times New Roman" w:hAnsi="Times New Roman" w:cs="Times New Roman"/>
                <w:b/>
                <w:bCs/>
                <w:color w:val="auto"/>
                <w:highlight w:val="none"/>
              </w:rPr>
              <w:t>污染物</w:t>
            </w:r>
          </w:p>
        </w:tc>
        <w:tc>
          <w:tcPr>
            <w:tcW w:w="2758" w:type="dxa"/>
            <w:noWrap w:val="0"/>
            <w:vAlign w:val="center"/>
          </w:tcPr>
          <w:p w14:paraId="11EB8855">
            <w:pPr>
              <w:pStyle w:val="1654"/>
              <w:rPr>
                <w:rFonts w:hint="default" w:ascii="Times New Roman" w:hAnsi="Times New Roman" w:cs="Times New Roman"/>
                <w:color w:val="auto"/>
                <w:highlight w:val="none"/>
              </w:rPr>
            </w:pPr>
            <w:r>
              <w:rPr>
                <w:rFonts w:hint="default" w:ascii="Times New Roman" w:hAnsi="Times New Roman" w:cs="Times New Roman"/>
                <w:b/>
                <w:bCs/>
                <w:color w:val="auto"/>
                <w:highlight w:val="none"/>
              </w:rPr>
              <w:t>年评价指标</w:t>
            </w:r>
          </w:p>
        </w:tc>
        <w:tc>
          <w:tcPr>
            <w:tcW w:w="1194" w:type="dxa"/>
            <w:noWrap w:val="0"/>
            <w:vAlign w:val="center"/>
          </w:tcPr>
          <w:p w14:paraId="03D8F5EC">
            <w:pPr>
              <w:pStyle w:val="1654"/>
              <w:rPr>
                <w:rFonts w:hint="default" w:ascii="Times New Roman" w:hAnsi="Times New Roman" w:cs="Times New Roman"/>
                <w:color w:val="auto"/>
                <w:highlight w:val="none"/>
              </w:rPr>
            </w:pPr>
            <w:r>
              <w:rPr>
                <w:rFonts w:hint="default" w:ascii="Times New Roman" w:hAnsi="Times New Roman" w:cs="Times New Roman"/>
                <w:b/>
                <w:bCs/>
                <w:color w:val="auto"/>
                <w:highlight w:val="none"/>
              </w:rPr>
              <w:t>百分位</w:t>
            </w:r>
          </w:p>
        </w:tc>
        <w:tc>
          <w:tcPr>
            <w:tcW w:w="1291" w:type="dxa"/>
            <w:noWrap w:val="0"/>
            <w:vAlign w:val="center"/>
          </w:tcPr>
          <w:p w14:paraId="2158A02C">
            <w:pPr>
              <w:pStyle w:val="1654"/>
              <w:rPr>
                <w:rFonts w:hint="default" w:ascii="Times New Roman" w:hAnsi="Times New Roman" w:cs="Times New Roman"/>
                <w:color w:val="auto"/>
                <w:highlight w:val="none"/>
              </w:rPr>
            </w:pPr>
            <w:r>
              <w:rPr>
                <w:rFonts w:hint="default" w:ascii="Times New Roman" w:hAnsi="Times New Roman" w:cs="Times New Roman"/>
                <w:b/>
                <w:bCs/>
                <w:color w:val="auto"/>
                <w:highlight w:val="none"/>
              </w:rPr>
              <w:t>现状浓度/（µg/m</w:t>
            </w:r>
            <w:r>
              <w:rPr>
                <w:rFonts w:hint="default" w:ascii="Times New Roman" w:hAnsi="Times New Roman" w:cs="Times New Roman"/>
                <w:b/>
                <w:bCs/>
                <w:color w:val="auto"/>
                <w:highlight w:val="none"/>
                <w:vertAlign w:val="superscript"/>
              </w:rPr>
              <w:t>3</w:t>
            </w:r>
            <w:r>
              <w:rPr>
                <w:rFonts w:hint="default" w:ascii="Times New Roman" w:hAnsi="Times New Roman" w:cs="Times New Roman"/>
                <w:b/>
                <w:bCs/>
                <w:color w:val="auto"/>
                <w:highlight w:val="none"/>
              </w:rPr>
              <w:t>）</w:t>
            </w:r>
          </w:p>
        </w:tc>
        <w:tc>
          <w:tcPr>
            <w:tcW w:w="1287" w:type="dxa"/>
            <w:noWrap w:val="0"/>
            <w:vAlign w:val="center"/>
          </w:tcPr>
          <w:p w14:paraId="674F4DA0">
            <w:pPr>
              <w:pStyle w:val="1654"/>
              <w:rPr>
                <w:rFonts w:hint="default" w:ascii="Times New Roman" w:hAnsi="Times New Roman" w:cs="Times New Roman"/>
                <w:color w:val="auto"/>
                <w:highlight w:val="none"/>
              </w:rPr>
            </w:pPr>
            <w:r>
              <w:rPr>
                <w:rFonts w:hint="default" w:ascii="Times New Roman" w:hAnsi="Times New Roman" w:cs="Times New Roman"/>
                <w:b/>
                <w:bCs/>
                <w:color w:val="auto"/>
                <w:highlight w:val="none"/>
              </w:rPr>
              <w:t>标准值/（µg/m</w:t>
            </w:r>
            <w:r>
              <w:rPr>
                <w:rFonts w:hint="default" w:ascii="Times New Roman" w:hAnsi="Times New Roman" w:cs="Times New Roman"/>
                <w:b/>
                <w:bCs/>
                <w:color w:val="auto"/>
                <w:highlight w:val="none"/>
                <w:vertAlign w:val="superscript"/>
              </w:rPr>
              <w:t>3</w:t>
            </w:r>
            <w:r>
              <w:rPr>
                <w:rFonts w:hint="default" w:ascii="Times New Roman" w:hAnsi="Times New Roman" w:cs="Times New Roman"/>
                <w:b/>
                <w:bCs/>
                <w:color w:val="auto"/>
                <w:highlight w:val="none"/>
              </w:rPr>
              <w:t>）</w:t>
            </w:r>
          </w:p>
        </w:tc>
        <w:tc>
          <w:tcPr>
            <w:tcW w:w="1292" w:type="dxa"/>
            <w:noWrap w:val="0"/>
            <w:vAlign w:val="center"/>
          </w:tcPr>
          <w:p w14:paraId="73AB53BA">
            <w:pPr>
              <w:pStyle w:val="1654"/>
              <w:rPr>
                <w:rFonts w:hint="default" w:ascii="Times New Roman" w:hAnsi="Times New Roman" w:cs="Times New Roman"/>
                <w:color w:val="auto"/>
                <w:highlight w:val="none"/>
              </w:rPr>
            </w:pPr>
            <w:r>
              <w:rPr>
                <w:rFonts w:hint="default" w:ascii="Times New Roman" w:hAnsi="Times New Roman" w:cs="Times New Roman"/>
                <w:b/>
                <w:bCs/>
                <w:color w:val="auto"/>
                <w:highlight w:val="none"/>
              </w:rPr>
              <w:t>占标率/%</w:t>
            </w:r>
          </w:p>
        </w:tc>
      </w:tr>
      <w:tr w14:paraId="7702A3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7" w:type="dxa"/>
            <w:noWrap w:val="0"/>
            <w:vAlign w:val="center"/>
          </w:tcPr>
          <w:p w14:paraId="70AC53FE">
            <w:pPr>
              <w:pStyle w:val="1654"/>
              <w:rPr>
                <w:rFonts w:hint="default" w:ascii="Times New Roman" w:hAnsi="Times New Roman" w:cs="Times New Roman"/>
                <w:color w:val="auto"/>
                <w:highlight w:val="none"/>
              </w:rPr>
            </w:pP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2</w:t>
            </w:r>
          </w:p>
        </w:tc>
        <w:tc>
          <w:tcPr>
            <w:tcW w:w="2758" w:type="dxa"/>
            <w:vMerge w:val="restart"/>
            <w:noWrap w:val="0"/>
            <w:vAlign w:val="center"/>
          </w:tcPr>
          <w:p w14:paraId="5FBDD469">
            <w:pPr>
              <w:pStyle w:val="1654"/>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年平均质量浓度</w:t>
            </w:r>
          </w:p>
        </w:tc>
        <w:tc>
          <w:tcPr>
            <w:tcW w:w="1194" w:type="dxa"/>
            <w:noWrap w:val="0"/>
            <w:vAlign w:val="center"/>
          </w:tcPr>
          <w:p w14:paraId="4932B39F">
            <w:pPr>
              <w:pStyle w:val="1654"/>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291" w:type="dxa"/>
            <w:noWrap w:val="0"/>
            <w:vAlign w:val="center"/>
          </w:tcPr>
          <w:p w14:paraId="23123D76">
            <w:pPr>
              <w:widowControl/>
              <w:adjustRightInd w:val="0"/>
              <w:snapToGrid w:val="0"/>
              <w:contextualSpacing/>
              <w:jc w:val="center"/>
              <w:rPr>
                <w:rFonts w:hint="default" w:ascii="Times New Roman" w:hAnsi="Times New Roman" w:eastAsia="宋体" w:cs="Times New Roman"/>
                <w:color w:val="auto"/>
                <w:highlight w:val="none"/>
                <w:u w:val="single"/>
                <w:lang w:val="en-US" w:eastAsia="zh-CN"/>
              </w:rPr>
            </w:pPr>
            <w:r>
              <w:rPr>
                <w:rFonts w:hint="eastAsia" w:ascii="Times New Roman" w:cs="Times New Roman"/>
                <w:color w:val="auto"/>
                <w:highlight w:val="none"/>
                <w:u w:val="single"/>
                <w:lang w:val="en-US" w:eastAsia="zh-CN"/>
              </w:rPr>
              <w:t>****</w:t>
            </w:r>
          </w:p>
        </w:tc>
        <w:tc>
          <w:tcPr>
            <w:tcW w:w="1287" w:type="dxa"/>
            <w:noWrap w:val="0"/>
            <w:vAlign w:val="center"/>
          </w:tcPr>
          <w:p w14:paraId="36AD4765">
            <w:pPr>
              <w:pStyle w:val="1654"/>
              <w:rPr>
                <w:rFonts w:hint="default" w:ascii="Times New Roman" w:hAnsi="Times New Roman" w:cs="Times New Roman"/>
                <w:color w:val="auto"/>
                <w:highlight w:val="none"/>
              </w:rPr>
            </w:pPr>
            <w:r>
              <w:rPr>
                <w:rFonts w:hint="default" w:ascii="Times New Roman" w:hAnsi="Times New Roman" w:cs="Times New Roman"/>
                <w:color w:val="auto"/>
                <w:highlight w:val="none"/>
              </w:rPr>
              <w:t>60</w:t>
            </w:r>
          </w:p>
        </w:tc>
        <w:tc>
          <w:tcPr>
            <w:tcW w:w="1292" w:type="dxa"/>
            <w:noWrap w:val="0"/>
            <w:vAlign w:val="center"/>
          </w:tcPr>
          <w:p w14:paraId="0D8EE27E">
            <w:pPr>
              <w:widowControl/>
              <w:jc w:val="center"/>
              <w:textAlignment w:val="center"/>
              <w:rPr>
                <w:rFonts w:hint="default" w:ascii="Times New Roman" w:hAnsi="Times New Roman" w:cs="Times New Roman"/>
                <w:color w:val="auto"/>
                <w:highlight w:val="none"/>
                <w:u w:val="single"/>
              </w:rPr>
            </w:pPr>
            <w:r>
              <w:rPr>
                <w:rFonts w:hint="eastAsia" w:ascii="Times New Roman" w:cs="Times New Roman"/>
                <w:color w:val="auto"/>
                <w:highlight w:val="none"/>
                <w:u w:val="single"/>
                <w:lang w:val="en-US" w:eastAsia="zh-CN"/>
              </w:rPr>
              <w:t>****</w:t>
            </w:r>
          </w:p>
        </w:tc>
      </w:tr>
      <w:tr w14:paraId="1D8A98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7" w:type="dxa"/>
            <w:noWrap w:val="0"/>
            <w:vAlign w:val="center"/>
          </w:tcPr>
          <w:p w14:paraId="3BC49855">
            <w:pPr>
              <w:pStyle w:val="1654"/>
              <w:rPr>
                <w:rFonts w:hint="default" w:ascii="Times New Roman" w:hAnsi="Times New Roman" w:cs="Times New Roman"/>
                <w:color w:val="auto"/>
                <w:highlight w:val="none"/>
              </w:rPr>
            </w:pP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rPr>
              <w:t>2</w:t>
            </w:r>
          </w:p>
        </w:tc>
        <w:tc>
          <w:tcPr>
            <w:tcW w:w="2758" w:type="dxa"/>
            <w:vMerge w:val="continue"/>
            <w:noWrap w:val="0"/>
            <w:vAlign w:val="center"/>
          </w:tcPr>
          <w:p w14:paraId="25C439D5">
            <w:pPr>
              <w:pStyle w:val="1654"/>
              <w:rPr>
                <w:rFonts w:hint="default" w:ascii="Times New Roman" w:hAnsi="Times New Roman" w:cs="Times New Roman"/>
                <w:color w:val="auto"/>
                <w:highlight w:val="none"/>
              </w:rPr>
            </w:pPr>
          </w:p>
        </w:tc>
        <w:tc>
          <w:tcPr>
            <w:tcW w:w="1194" w:type="dxa"/>
            <w:noWrap w:val="0"/>
            <w:vAlign w:val="center"/>
          </w:tcPr>
          <w:p w14:paraId="6817CB86">
            <w:pPr>
              <w:pStyle w:val="1654"/>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291" w:type="dxa"/>
            <w:noWrap w:val="0"/>
            <w:vAlign w:val="center"/>
          </w:tcPr>
          <w:p w14:paraId="78D33AE9">
            <w:pPr>
              <w:widowControl/>
              <w:adjustRightInd w:val="0"/>
              <w:snapToGrid w:val="0"/>
              <w:contextualSpacing/>
              <w:jc w:val="center"/>
              <w:rPr>
                <w:rFonts w:hint="default" w:ascii="Times New Roman" w:hAnsi="Times New Roman" w:cs="Times New Roman"/>
                <w:color w:val="auto"/>
                <w:highlight w:val="none"/>
                <w:u w:val="single"/>
              </w:rPr>
            </w:pPr>
            <w:r>
              <w:rPr>
                <w:rFonts w:hint="eastAsia" w:ascii="Times New Roman" w:cs="Times New Roman"/>
                <w:color w:val="auto"/>
                <w:highlight w:val="none"/>
                <w:u w:val="single"/>
                <w:lang w:val="en-US" w:eastAsia="zh-CN"/>
              </w:rPr>
              <w:t>****</w:t>
            </w:r>
          </w:p>
        </w:tc>
        <w:tc>
          <w:tcPr>
            <w:tcW w:w="1287" w:type="dxa"/>
            <w:noWrap w:val="0"/>
            <w:vAlign w:val="center"/>
          </w:tcPr>
          <w:p w14:paraId="63AEE614">
            <w:pPr>
              <w:pStyle w:val="1654"/>
              <w:rPr>
                <w:rFonts w:hint="default" w:ascii="Times New Roman" w:hAnsi="Times New Roman" w:cs="Times New Roman"/>
                <w:color w:val="auto"/>
                <w:highlight w:val="none"/>
              </w:rPr>
            </w:pPr>
            <w:r>
              <w:rPr>
                <w:rFonts w:hint="default" w:ascii="Times New Roman" w:hAnsi="Times New Roman" w:cs="Times New Roman"/>
                <w:color w:val="auto"/>
                <w:highlight w:val="none"/>
              </w:rPr>
              <w:t>40</w:t>
            </w:r>
          </w:p>
        </w:tc>
        <w:tc>
          <w:tcPr>
            <w:tcW w:w="1292" w:type="dxa"/>
            <w:noWrap w:val="0"/>
            <w:vAlign w:val="center"/>
          </w:tcPr>
          <w:p w14:paraId="7B9690C8">
            <w:pPr>
              <w:widowControl/>
              <w:jc w:val="center"/>
              <w:textAlignment w:val="center"/>
              <w:rPr>
                <w:rFonts w:hint="default" w:ascii="Times New Roman" w:hAnsi="Times New Roman" w:cs="Times New Roman"/>
                <w:color w:val="auto"/>
                <w:highlight w:val="none"/>
                <w:u w:val="single"/>
              </w:rPr>
            </w:pPr>
            <w:r>
              <w:rPr>
                <w:rFonts w:hint="eastAsia" w:ascii="Times New Roman" w:cs="Times New Roman"/>
                <w:color w:val="auto"/>
                <w:highlight w:val="none"/>
                <w:u w:val="single"/>
                <w:lang w:val="en-US" w:eastAsia="zh-CN"/>
              </w:rPr>
              <w:t>****</w:t>
            </w:r>
          </w:p>
        </w:tc>
      </w:tr>
      <w:tr w14:paraId="0B58DD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7" w:type="dxa"/>
            <w:noWrap w:val="0"/>
            <w:vAlign w:val="center"/>
          </w:tcPr>
          <w:p w14:paraId="4E267C2D">
            <w:pPr>
              <w:pStyle w:val="1654"/>
              <w:rPr>
                <w:rFonts w:hint="default" w:ascii="Times New Roman" w:hAnsi="Times New Roman" w:cs="Times New Roman"/>
                <w:color w:val="auto"/>
                <w:highlight w:val="none"/>
              </w:rPr>
            </w:pP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2.5</w:t>
            </w:r>
          </w:p>
        </w:tc>
        <w:tc>
          <w:tcPr>
            <w:tcW w:w="2758" w:type="dxa"/>
            <w:vMerge w:val="continue"/>
            <w:noWrap w:val="0"/>
            <w:vAlign w:val="center"/>
          </w:tcPr>
          <w:p w14:paraId="42D832D5">
            <w:pPr>
              <w:pStyle w:val="1654"/>
              <w:rPr>
                <w:rFonts w:hint="default" w:ascii="Times New Roman" w:hAnsi="Times New Roman" w:cs="Times New Roman"/>
                <w:color w:val="auto"/>
                <w:highlight w:val="none"/>
              </w:rPr>
            </w:pPr>
          </w:p>
        </w:tc>
        <w:tc>
          <w:tcPr>
            <w:tcW w:w="1194" w:type="dxa"/>
            <w:noWrap w:val="0"/>
            <w:vAlign w:val="center"/>
          </w:tcPr>
          <w:p w14:paraId="087FD897">
            <w:pPr>
              <w:pStyle w:val="1654"/>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291" w:type="dxa"/>
            <w:noWrap w:val="0"/>
            <w:vAlign w:val="center"/>
          </w:tcPr>
          <w:p w14:paraId="40483984">
            <w:pPr>
              <w:widowControl/>
              <w:adjustRightInd w:val="0"/>
              <w:snapToGrid w:val="0"/>
              <w:contextualSpacing/>
              <w:jc w:val="center"/>
              <w:rPr>
                <w:rFonts w:hint="default" w:ascii="Times New Roman" w:hAnsi="Times New Roman" w:eastAsia="宋体" w:cs="Times New Roman"/>
                <w:color w:val="auto"/>
                <w:highlight w:val="none"/>
                <w:u w:val="single"/>
                <w:lang w:val="en-US" w:eastAsia="zh-CN"/>
              </w:rPr>
            </w:pPr>
            <w:r>
              <w:rPr>
                <w:rFonts w:hint="eastAsia" w:ascii="Times New Roman" w:cs="Times New Roman"/>
                <w:color w:val="auto"/>
                <w:highlight w:val="none"/>
                <w:u w:val="single"/>
                <w:lang w:val="en-US" w:eastAsia="zh-CN"/>
              </w:rPr>
              <w:t>****</w:t>
            </w:r>
          </w:p>
        </w:tc>
        <w:tc>
          <w:tcPr>
            <w:tcW w:w="1287" w:type="dxa"/>
            <w:noWrap w:val="0"/>
            <w:vAlign w:val="center"/>
          </w:tcPr>
          <w:p w14:paraId="0416ED6C">
            <w:pPr>
              <w:pStyle w:val="1654"/>
              <w:rPr>
                <w:rFonts w:hint="default" w:ascii="Times New Roman" w:hAnsi="Times New Roman" w:cs="Times New Roman"/>
                <w:color w:val="auto"/>
                <w:highlight w:val="none"/>
              </w:rPr>
            </w:pPr>
            <w:r>
              <w:rPr>
                <w:rFonts w:hint="default" w:ascii="Times New Roman" w:hAnsi="Times New Roman" w:cs="Times New Roman"/>
                <w:color w:val="auto"/>
                <w:highlight w:val="none"/>
                <w:u w:val="none"/>
              </w:rPr>
              <w:t>35</w:t>
            </w:r>
          </w:p>
        </w:tc>
        <w:tc>
          <w:tcPr>
            <w:tcW w:w="1292" w:type="dxa"/>
            <w:noWrap w:val="0"/>
            <w:vAlign w:val="center"/>
          </w:tcPr>
          <w:p w14:paraId="46DA7A23">
            <w:pPr>
              <w:widowControl/>
              <w:jc w:val="center"/>
              <w:textAlignment w:val="center"/>
              <w:rPr>
                <w:rFonts w:hint="default" w:ascii="Times New Roman" w:hAnsi="Times New Roman" w:cs="Times New Roman"/>
                <w:color w:val="auto"/>
                <w:highlight w:val="none"/>
                <w:u w:val="single"/>
                <w:lang w:val="en-US"/>
              </w:rPr>
            </w:pPr>
            <w:r>
              <w:rPr>
                <w:rFonts w:hint="eastAsia" w:ascii="Times New Roman" w:cs="Times New Roman"/>
                <w:color w:val="auto"/>
                <w:highlight w:val="none"/>
                <w:u w:val="single"/>
                <w:lang w:val="en-US" w:eastAsia="zh-CN"/>
              </w:rPr>
              <w:t>****</w:t>
            </w:r>
          </w:p>
        </w:tc>
      </w:tr>
      <w:tr w14:paraId="2ADFAC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7" w:type="dxa"/>
            <w:noWrap w:val="0"/>
            <w:vAlign w:val="center"/>
          </w:tcPr>
          <w:p w14:paraId="33B1C910">
            <w:pPr>
              <w:pStyle w:val="1654"/>
              <w:rPr>
                <w:rFonts w:hint="default" w:ascii="Times New Roman" w:hAnsi="Times New Roman" w:cs="Times New Roman"/>
                <w:color w:val="auto"/>
                <w:position w:val="1"/>
                <w:highlight w:val="none"/>
              </w:rPr>
            </w:pP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10</w:t>
            </w:r>
          </w:p>
        </w:tc>
        <w:tc>
          <w:tcPr>
            <w:tcW w:w="2758" w:type="dxa"/>
            <w:vMerge w:val="continue"/>
            <w:noWrap w:val="0"/>
            <w:vAlign w:val="center"/>
          </w:tcPr>
          <w:p w14:paraId="3F677067">
            <w:pPr>
              <w:pStyle w:val="1654"/>
              <w:rPr>
                <w:rFonts w:hint="default" w:ascii="Times New Roman" w:hAnsi="Times New Roman" w:cs="Times New Roman"/>
                <w:color w:val="auto"/>
                <w:spacing w:val="-1"/>
                <w:highlight w:val="none"/>
              </w:rPr>
            </w:pPr>
          </w:p>
        </w:tc>
        <w:tc>
          <w:tcPr>
            <w:tcW w:w="1194" w:type="dxa"/>
            <w:noWrap w:val="0"/>
            <w:vAlign w:val="center"/>
          </w:tcPr>
          <w:p w14:paraId="73214586">
            <w:pPr>
              <w:pStyle w:val="1654"/>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291" w:type="dxa"/>
            <w:noWrap w:val="0"/>
            <w:vAlign w:val="center"/>
          </w:tcPr>
          <w:p w14:paraId="620818ED">
            <w:pPr>
              <w:widowControl/>
              <w:adjustRightInd w:val="0"/>
              <w:snapToGrid w:val="0"/>
              <w:contextualSpacing/>
              <w:jc w:val="center"/>
              <w:rPr>
                <w:rFonts w:hint="default" w:ascii="Times New Roman" w:hAnsi="Times New Roman" w:eastAsia="宋体" w:cs="Times New Roman"/>
                <w:color w:val="auto"/>
                <w:highlight w:val="none"/>
                <w:u w:val="single"/>
                <w:lang w:val="en-US" w:eastAsia="zh-CN"/>
              </w:rPr>
            </w:pPr>
            <w:r>
              <w:rPr>
                <w:rFonts w:hint="eastAsia" w:ascii="Times New Roman" w:cs="Times New Roman"/>
                <w:color w:val="auto"/>
                <w:highlight w:val="none"/>
                <w:u w:val="single"/>
                <w:lang w:val="en-US" w:eastAsia="zh-CN"/>
              </w:rPr>
              <w:t>****</w:t>
            </w:r>
          </w:p>
        </w:tc>
        <w:tc>
          <w:tcPr>
            <w:tcW w:w="1287" w:type="dxa"/>
            <w:noWrap w:val="0"/>
            <w:vAlign w:val="center"/>
          </w:tcPr>
          <w:p w14:paraId="31D102CC">
            <w:pPr>
              <w:pStyle w:val="1654"/>
              <w:rPr>
                <w:rFonts w:hint="default" w:ascii="Times New Roman" w:hAnsi="Times New Roman" w:cs="Times New Roman"/>
                <w:color w:val="auto"/>
                <w:highlight w:val="none"/>
              </w:rPr>
            </w:pPr>
            <w:r>
              <w:rPr>
                <w:rFonts w:hint="default" w:ascii="Times New Roman" w:hAnsi="Times New Roman" w:cs="Times New Roman"/>
                <w:color w:val="auto"/>
                <w:highlight w:val="none"/>
                <w:u w:val="none"/>
              </w:rPr>
              <w:t>70</w:t>
            </w:r>
          </w:p>
        </w:tc>
        <w:tc>
          <w:tcPr>
            <w:tcW w:w="1292" w:type="dxa"/>
            <w:noWrap w:val="0"/>
            <w:vAlign w:val="center"/>
          </w:tcPr>
          <w:p w14:paraId="1F3716BC">
            <w:pPr>
              <w:widowControl/>
              <w:jc w:val="center"/>
              <w:textAlignment w:val="center"/>
              <w:rPr>
                <w:rFonts w:hint="default" w:ascii="Times New Roman" w:hAnsi="Times New Roman" w:cs="Times New Roman"/>
                <w:color w:val="auto"/>
                <w:highlight w:val="none"/>
                <w:u w:val="single"/>
                <w:lang w:val="en-US"/>
              </w:rPr>
            </w:pPr>
            <w:r>
              <w:rPr>
                <w:rFonts w:hint="eastAsia" w:ascii="Times New Roman" w:cs="Times New Roman"/>
                <w:color w:val="auto"/>
                <w:highlight w:val="none"/>
                <w:u w:val="single"/>
                <w:lang w:val="en-US" w:eastAsia="zh-CN"/>
              </w:rPr>
              <w:t>****</w:t>
            </w:r>
          </w:p>
        </w:tc>
      </w:tr>
      <w:tr w14:paraId="15B9FE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7" w:type="dxa"/>
            <w:noWrap w:val="0"/>
            <w:vAlign w:val="center"/>
          </w:tcPr>
          <w:p w14:paraId="3B9A9D76">
            <w:pPr>
              <w:pStyle w:val="1654"/>
              <w:rPr>
                <w:rFonts w:hint="default" w:ascii="Times New Roman" w:hAnsi="Times New Roman" w:cs="Times New Roman"/>
                <w:color w:val="auto"/>
                <w:highlight w:val="none"/>
              </w:rPr>
            </w:pPr>
            <w:r>
              <w:rPr>
                <w:rFonts w:hint="default" w:ascii="Times New Roman" w:hAnsi="Times New Roman" w:cs="Times New Roman"/>
                <w:color w:val="auto"/>
                <w:highlight w:val="none"/>
              </w:rPr>
              <w:t>CO</w:t>
            </w:r>
          </w:p>
        </w:tc>
        <w:tc>
          <w:tcPr>
            <w:tcW w:w="2758" w:type="dxa"/>
            <w:noWrap w:val="0"/>
            <w:vAlign w:val="center"/>
          </w:tcPr>
          <w:p w14:paraId="20DE8770">
            <w:pPr>
              <w:pStyle w:val="1654"/>
              <w:rPr>
                <w:rFonts w:hint="default" w:ascii="Times New Roman" w:hAnsi="Times New Roman" w:cs="Times New Roman"/>
                <w:color w:val="auto"/>
                <w:highlight w:val="none"/>
              </w:rPr>
            </w:pPr>
            <w:r>
              <w:rPr>
                <w:rFonts w:hint="default" w:ascii="Times New Roman" w:hAnsi="Times New Roman" w:cs="Times New Roman"/>
                <w:color w:val="auto"/>
                <w:highlight w:val="none"/>
              </w:rPr>
              <w:t>24h平均</w:t>
            </w:r>
          </w:p>
        </w:tc>
        <w:tc>
          <w:tcPr>
            <w:tcW w:w="1194" w:type="dxa"/>
            <w:noWrap w:val="0"/>
            <w:vAlign w:val="center"/>
          </w:tcPr>
          <w:p w14:paraId="2824F467">
            <w:pPr>
              <w:pStyle w:val="1654"/>
              <w:rPr>
                <w:rFonts w:hint="default" w:ascii="Times New Roman" w:hAnsi="Times New Roman" w:cs="Times New Roman"/>
                <w:color w:val="auto"/>
                <w:highlight w:val="none"/>
              </w:rPr>
            </w:pPr>
            <w:r>
              <w:rPr>
                <w:rFonts w:hint="default" w:ascii="Times New Roman" w:hAnsi="Times New Roman" w:cs="Times New Roman"/>
                <w:color w:val="auto"/>
                <w:highlight w:val="none"/>
              </w:rPr>
              <w:t>95</w:t>
            </w:r>
          </w:p>
        </w:tc>
        <w:tc>
          <w:tcPr>
            <w:tcW w:w="1291" w:type="dxa"/>
            <w:noWrap w:val="0"/>
            <w:vAlign w:val="center"/>
          </w:tcPr>
          <w:p w14:paraId="29F8E7E4">
            <w:pPr>
              <w:jc w:val="center"/>
              <w:rPr>
                <w:rFonts w:hint="default" w:ascii="Times New Roman" w:hAnsi="Times New Roman" w:cs="Times New Roman"/>
                <w:color w:val="auto"/>
                <w:highlight w:val="none"/>
                <w:u w:val="single"/>
              </w:rPr>
            </w:pPr>
            <w:r>
              <w:rPr>
                <w:rFonts w:hint="eastAsia" w:ascii="Times New Roman" w:cs="Times New Roman"/>
                <w:color w:val="auto"/>
                <w:highlight w:val="none"/>
                <w:u w:val="single"/>
                <w:lang w:val="en-US" w:eastAsia="zh-CN"/>
              </w:rPr>
              <w:t>****</w:t>
            </w:r>
          </w:p>
        </w:tc>
        <w:tc>
          <w:tcPr>
            <w:tcW w:w="1287" w:type="dxa"/>
            <w:noWrap w:val="0"/>
            <w:vAlign w:val="center"/>
          </w:tcPr>
          <w:p w14:paraId="03C509E9">
            <w:pPr>
              <w:pStyle w:val="1654"/>
              <w:rPr>
                <w:rFonts w:hint="default" w:ascii="Times New Roman" w:hAnsi="Times New Roman" w:cs="Times New Roman"/>
                <w:color w:val="auto"/>
                <w:highlight w:val="none"/>
              </w:rPr>
            </w:pPr>
            <w:r>
              <w:rPr>
                <w:rFonts w:hint="default" w:ascii="Times New Roman" w:hAnsi="Times New Roman" w:cs="Times New Roman"/>
                <w:color w:val="auto"/>
                <w:highlight w:val="none"/>
              </w:rPr>
              <w:t>4mg/m</w:t>
            </w:r>
            <w:r>
              <w:rPr>
                <w:rFonts w:hint="default" w:ascii="Times New Roman" w:hAnsi="Times New Roman" w:cs="Times New Roman"/>
                <w:color w:val="auto"/>
                <w:highlight w:val="none"/>
                <w:vertAlign w:val="superscript"/>
              </w:rPr>
              <w:t>3</w:t>
            </w:r>
          </w:p>
        </w:tc>
        <w:tc>
          <w:tcPr>
            <w:tcW w:w="1292" w:type="dxa"/>
            <w:noWrap w:val="0"/>
            <w:vAlign w:val="center"/>
          </w:tcPr>
          <w:p w14:paraId="28BF12B2">
            <w:pPr>
              <w:widowControl/>
              <w:jc w:val="center"/>
              <w:textAlignment w:val="center"/>
              <w:rPr>
                <w:rFonts w:hint="default" w:ascii="Times New Roman" w:hAnsi="Times New Roman" w:cs="Times New Roman"/>
                <w:color w:val="auto"/>
                <w:highlight w:val="none"/>
                <w:u w:val="single"/>
              </w:rPr>
            </w:pPr>
            <w:r>
              <w:rPr>
                <w:rFonts w:hint="eastAsia" w:ascii="Times New Roman" w:cs="Times New Roman"/>
                <w:color w:val="auto"/>
                <w:highlight w:val="none"/>
                <w:u w:val="single"/>
                <w:lang w:val="en-US" w:eastAsia="zh-CN"/>
              </w:rPr>
              <w:t>****</w:t>
            </w:r>
          </w:p>
        </w:tc>
      </w:tr>
      <w:tr w14:paraId="6AEF4A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77" w:type="dxa"/>
            <w:noWrap w:val="0"/>
            <w:vAlign w:val="center"/>
          </w:tcPr>
          <w:p w14:paraId="55DFC4B2">
            <w:pPr>
              <w:pStyle w:val="1654"/>
              <w:rPr>
                <w:rFonts w:hint="default" w:ascii="Times New Roman" w:hAnsi="Times New Roman" w:cs="Times New Roman"/>
                <w:color w:val="auto"/>
                <w:highlight w:val="none"/>
              </w:rPr>
            </w:pPr>
            <w:r>
              <w:rPr>
                <w:rFonts w:hint="default" w:ascii="Times New Roman" w:hAnsi="Times New Roman" w:cs="Times New Roman"/>
                <w:color w:val="auto"/>
                <w:highlight w:val="none"/>
              </w:rPr>
              <w:t>O</w:t>
            </w:r>
            <w:r>
              <w:rPr>
                <w:rFonts w:hint="default" w:ascii="Times New Roman" w:hAnsi="Times New Roman" w:cs="Times New Roman"/>
                <w:color w:val="auto"/>
                <w:highlight w:val="none"/>
                <w:vertAlign w:val="subscript"/>
              </w:rPr>
              <w:t>3</w:t>
            </w:r>
          </w:p>
        </w:tc>
        <w:tc>
          <w:tcPr>
            <w:tcW w:w="2758" w:type="dxa"/>
            <w:noWrap w:val="0"/>
            <w:vAlign w:val="center"/>
          </w:tcPr>
          <w:p w14:paraId="1DC2E0B5">
            <w:pPr>
              <w:pStyle w:val="1654"/>
              <w:rPr>
                <w:rFonts w:hint="default" w:ascii="Times New Roman" w:hAnsi="Times New Roman" w:cs="Times New Roman"/>
                <w:color w:val="auto"/>
                <w:highlight w:val="none"/>
              </w:rPr>
            </w:pPr>
            <w:r>
              <w:rPr>
                <w:rFonts w:hint="default" w:ascii="Times New Roman" w:hAnsi="Times New Roman" w:cs="Times New Roman"/>
                <w:color w:val="auto"/>
                <w:highlight w:val="none"/>
              </w:rPr>
              <w:t>8h平均</w:t>
            </w:r>
          </w:p>
        </w:tc>
        <w:tc>
          <w:tcPr>
            <w:tcW w:w="1194" w:type="dxa"/>
            <w:noWrap w:val="0"/>
            <w:vAlign w:val="center"/>
          </w:tcPr>
          <w:p w14:paraId="24E9D053">
            <w:pPr>
              <w:pStyle w:val="1654"/>
              <w:rPr>
                <w:rFonts w:hint="default" w:ascii="Times New Roman" w:hAnsi="Times New Roman" w:cs="Times New Roman"/>
                <w:color w:val="auto"/>
                <w:highlight w:val="none"/>
              </w:rPr>
            </w:pPr>
            <w:r>
              <w:rPr>
                <w:rFonts w:hint="default" w:ascii="Times New Roman" w:hAnsi="Times New Roman" w:cs="Times New Roman"/>
                <w:color w:val="auto"/>
                <w:highlight w:val="none"/>
              </w:rPr>
              <w:t>90</w:t>
            </w:r>
          </w:p>
        </w:tc>
        <w:tc>
          <w:tcPr>
            <w:tcW w:w="1291" w:type="dxa"/>
            <w:noWrap w:val="0"/>
            <w:vAlign w:val="center"/>
          </w:tcPr>
          <w:p w14:paraId="6137A53A">
            <w:pPr>
              <w:jc w:val="center"/>
              <w:rPr>
                <w:rFonts w:hint="default" w:ascii="Times New Roman" w:hAnsi="Times New Roman" w:eastAsia="宋体" w:cs="Times New Roman"/>
                <w:color w:val="auto"/>
                <w:highlight w:val="none"/>
                <w:u w:val="single"/>
                <w:lang w:val="en-US" w:eastAsia="zh-CN"/>
              </w:rPr>
            </w:pPr>
            <w:r>
              <w:rPr>
                <w:rFonts w:hint="eastAsia" w:ascii="Times New Roman" w:cs="Times New Roman"/>
                <w:color w:val="auto"/>
                <w:highlight w:val="none"/>
                <w:u w:val="single"/>
                <w:lang w:val="en-US" w:eastAsia="zh-CN"/>
              </w:rPr>
              <w:t>****</w:t>
            </w:r>
          </w:p>
        </w:tc>
        <w:tc>
          <w:tcPr>
            <w:tcW w:w="1287" w:type="dxa"/>
            <w:noWrap w:val="0"/>
            <w:vAlign w:val="center"/>
          </w:tcPr>
          <w:p w14:paraId="7FD02B96">
            <w:pPr>
              <w:pStyle w:val="1654"/>
              <w:rPr>
                <w:rFonts w:hint="default" w:ascii="Times New Roman" w:hAnsi="Times New Roman" w:cs="Times New Roman"/>
                <w:color w:val="auto"/>
                <w:highlight w:val="none"/>
              </w:rPr>
            </w:pPr>
            <w:r>
              <w:rPr>
                <w:rFonts w:hint="default" w:ascii="Times New Roman" w:hAnsi="Times New Roman" w:cs="Times New Roman"/>
                <w:color w:val="auto"/>
                <w:highlight w:val="none"/>
              </w:rPr>
              <w:t>160</w:t>
            </w:r>
          </w:p>
        </w:tc>
        <w:tc>
          <w:tcPr>
            <w:tcW w:w="1292" w:type="dxa"/>
            <w:noWrap w:val="0"/>
            <w:vAlign w:val="center"/>
          </w:tcPr>
          <w:p w14:paraId="7C96C7BA">
            <w:pPr>
              <w:widowControl/>
              <w:jc w:val="center"/>
              <w:textAlignment w:val="center"/>
              <w:rPr>
                <w:rFonts w:hint="default" w:ascii="Times New Roman" w:hAnsi="Times New Roman" w:eastAsia="宋体" w:cs="Times New Roman"/>
                <w:color w:val="auto"/>
                <w:highlight w:val="none"/>
                <w:u w:val="single"/>
                <w:lang w:val="en-US" w:eastAsia="zh-CN"/>
              </w:rPr>
            </w:pPr>
            <w:r>
              <w:rPr>
                <w:rFonts w:hint="eastAsia" w:ascii="Times New Roman" w:cs="Times New Roman"/>
                <w:color w:val="auto"/>
                <w:highlight w:val="none"/>
                <w:u w:val="single"/>
                <w:lang w:val="en-US" w:eastAsia="zh-CN"/>
              </w:rPr>
              <w:t>****</w:t>
            </w:r>
          </w:p>
        </w:tc>
      </w:tr>
    </w:tbl>
    <w:p w14:paraId="095931D1">
      <w:pPr>
        <w:pStyle w:val="4"/>
        <w:numPr>
          <w:ilvl w:val="1"/>
          <w:numId w:val="40"/>
        </w:numPr>
        <w:bidi w:val="0"/>
        <w:ind w:left="678" w:leftChars="0" w:firstLine="0" w:firstLineChars="0"/>
        <w:rPr>
          <w:rFonts w:hint="default"/>
          <w:color w:val="auto"/>
          <w:highlight w:val="none"/>
        </w:rPr>
      </w:pPr>
      <w:bookmarkStart w:id="77" w:name="_Toc28254"/>
      <w:bookmarkStart w:id="78" w:name="_Toc149836152"/>
      <w:r>
        <w:rPr>
          <w:rFonts w:hint="eastAsia"/>
          <w:color w:val="auto"/>
          <w:highlight w:val="none"/>
          <w:lang w:val="en-US" w:eastAsia="zh-CN"/>
        </w:rPr>
        <w:t>海洋环境质量现状调查与评价</w:t>
      </w:r>
      <w:bookmarkEnd w:id="77"/>
    </w:p>
    <w:p w14:paraId="2BA5EF2E">
      <w:pPr>
        <w:pStyle w:val="410"/>
        <w:rPr>
          <w:rFonts w:hint="eastAsia" w:ascii="Times New Roman" w:hAnsi="Times New Roman" w:eastAsia="宋体" w:cs="Times New Roman"/>
          <w:color w:val="auto"/>
          <w:sz w:val="24"/>
          <w:szCs w:val="20"/>
          <w:highlight w:val="none"/>
          <w:u w:val="single"/>
          <w:lang w:val="en-US" w:eastAsia="zh-CN" w:bidi="ar-SA"/>
        </w:rPr>
      </w:pPr>
      <w:r>
        <w:rPr>
          <w:rFonts w:hint="eastAsia" w:ascii="Times New Roman" w:hAnsi="Times New Roman" w:eastAsia="宋体" w:cs="Times New Roman"/>
          <w:color w:val="auto"/>
          <w:sz w:val="24"/>
          <w:szCs w:val="20"/>
          <w:highlight w:val="none"/>
          <w:u w:val="single"/>
          <w:lang w:val="en-US" w:eastAsia="zh-CN" w:bidi="ar-SA"/>
        </w:rPr>
        <w:t>根据广西生态环境厅官网发布的《2025年2月广西近岸海域自动监测水质状况》，2月广西近岸海域17个自动监测站中，水质优良（第一、二类水质）站位共14个，同比下降3个；无第三类水质站位，同比持平；第四类水质站位共3个，同比上升3个；无劣四类水质站位，同比持平；水质优良天数比例为87.61%，同比下降11.78个百分点。</w:t>
      </w:r>
    </w:p>
    <w:p w14:paraId="66C334E7">
      <w:pPr>
        <w:pStyle w:val="410"/>
        <w:rPr>
          <w:rFonts w:hint="default" w:ascii="Times New Roman" w:hAnsi="Times New Roman" w:eastAsia="宋体" w:cs="Times New Roman"/>
          <w:color w:val="auto"/>
          <w:sz w:val="24"/>
          <w:szCs w:val="20"/>
          <w:highlight w:val="none"/>
          <w:u w:val="single"/>
          <w:lang w:val="en-US" w:eastAsia="zh-CN" w:bidi="ar-SA"/>
        </w:rPr>
      </w:pPr>
      <w:r>
        <w:rPr>
          <w:rFonts w:hint="eastAsia" w:ascii="Times New Roman" w:hAnsi="Times New Roman" w:eastAsia="宋体" w:cs="Times New Roman"/>
          <w:color w:val="auto"/>
          <w:sz w:val="24"/>
          <w:szCs w:val="20"/>
          <w:highlight w:val="none"/>
          <w:u w:val="single"/>
          <w:lang w:val="en-US" w:eastAsia="zh-CN" w:bidi="ar-SA"/>
        </w:rPr>
        <w:t>本项目营运期无废水排放，距离项目最近的海域自动监测站为GX08号站，同2024年2月相比，钦州市GX08站位（钦州港海域）水质由第一类下降为第二类，区域海水达到《海水水质标准》（GB3097-1997）第四类标准。</w:t>
      </w:r>
    </w:p>
    <w:p w14:paraId="236F4855">
      <w:pPr>
        <w:pStyle w:val="4"/>
        <w:numPr>
          <w:ilvl w:val="1"/>
          <w:numId w:val="40"/>
        </w:numPr>
        <w:bidi w:val="0"/>
        <w:ind w:left="678" w:leftChars="0" w:firstLine="0" w:firstLineChars="0"/>
        <w:rPr>
          <w:rFonts w:hint="default"/>
          <w:color w:val="auto"/>
          <w:highlight w:val="none"/>
        </w:rPr>
      </w:pPr>
      <w:bookmarkStart w:id="79" w:name="_Toc13068"/>
      <w:r>
        <w:rPr>
          <w:rFonts w:hint="default"/>
          <w:color w:val="auto"/>
          <w:highlight w:val="none"/>
        </w:rPr>
        <w:t>地表水环境质量现状调查与评价</w:t>
      </w:r>
      <w:bookmarkEnd w:id="79"/>
    </w:p>
    <w:p w14:paraId="1550F3D0">
      <w:pPr>
        <w:pStyle w:val="5"/>
        <w:numPr>
          <w:ilvl w:val="2"/>
          <w:numId w:val="40"/>
        </w:numPr>
        <w:bidi w:val="0"/>
        <w:ind w:left="452" w:leftChars="0" w:firstLine="0" w:firstLineChars="0"/>
        <w:rPr>
          <w:rFonts w:hint="default"/>
          <w:color w:val="auto"/>
          <w:highlight w:val="none"/>
        </w:rPr>
      </w:pPr>
      <w:r>
        <w:rPr>
          <w:rFonts w:hint="eastAsia"/>
          <w:color w:val="auto"/>
          <w:highlight w:val="none"/>
          <w:lang w:val="en-US" w:eastAsia="zh-CN"/>
        </w:rPr>
        <w:t>环境主管部门发布的地表水环境质量状况</w:t>
      </w:r>
    </w:p>
    <w:p w14:paraId="0ED2F407">
      <w:pPr>
        <w:pStyle w:val="410"/>
        <w:rPr>
          <w:rFonts w:hint="default" w:ascii="Times New Roman" w:cs="Times New Roman"/>
          <w:color w:val="auto"/>
          <w:highlight w:val="none"/>
          <w:u w:val="none"/>
          <w:lang w:val="en-US" w:eastAsia="zh-CN"/>
        </w:rPr>
      </w:pPr>
      <w:r>
        <w:rPr>
          <w:rFonts w:hint="eastAsia" w:ascii="Times New Roman" w:hAnsi="Times New Roman" w:eastAsia="宋体" w:cs="Times New Roman"/>
          <w:color w:val="auto"/>
          <w:sz w:val="24"/>
          <w:szCs w:val="20"/>
          <w:highlight w:val="none"/>
          <w:u w:val="single"/>
          <w:lang w:val="en-US" w:eastAsia="zh-CN" w:bidi="ar-SA"/>
        </w:rPr>
        <w:t>根据钦州市生态环境局发布的《2024年12月钦州市地表水环境质量月报》，2024年2024年，钦江东断面平均水质类别有所下降（由Ⅱ类下降为Ⅲ类），主要影响因子为总磷（0.108毫克/升），平均浓度较去年上升了38.5%。7个国控考核断面中，有6个断面达到“十四五”国家考核目标，水质达标率为85.7%。武利江的东边埇断面水质类别为Ⅲ类，未达到国家考核的Ⅱ类水质目标要求，超过Ⅱ类标准的因子为总磷，全年总磷平均浓度为0.162毫克/升（Ⅱ类标准限值0.1毫克/升），总磷超标率为91.7%，最大超标1.45倍。东边埇未达到Ⅱ类考核目标的主要原因一是镇级污水处理厂配套管网建设不完善，收集处理不到位，未能充分发挥污水处理效益；二是武利江属南流江支流，水流量小、水环境容量小。</w:t>
      </w:r>
    </w:p>
    <w:p w14:paraId="02440F11">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r>
        <w:rPr>
          <w:rFonts w:hint="eastAsia"/>
          <w:color w:val="auto"/>
          <w:highlight w:val="none"/>
          <w:lang w:val="en-US" w:eastAsia="zh-CN"/>
        </w:rPr>
        <w:t xml:space="preserve"> 2024年钦州市国控地表水断面水质评价结果</w:t>
      </w:r>
    </w:p>
    <w:tbl>
      <w:tblPr>
        <w:tblStyle w:val="87"/>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56"/>
        <w:gridCol w:w="2385"/>
        <w:gridCol w:w="1032"/>
        <w:gridCol w:w="555"/>
        <w:gridCol w:w="560"/>
        <w:gridCol w:w="1113"/>
        <w:gridCol w:w="1118"/>
        <w:gridCol w:w="1118"/>
      </w:tblGrid>
      <w:tr w14:paraId="0C64FA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756" w:type="dxa"/>
            <w:vMerge w:val="restart"/>
            <w:noWrap w:val="0"/>
            <w:vAlign w:val="center"/>
          </w:tcPr>
          <w:p w14:paraId="1A24EC2E">
            <w:pPr>
              <w:pStyle w:val="1647"/>
              <w:keepNext w:val="0"/>
              <w:keepLines w:val="0"/>
              <w:pageBreakBefore w:val="0"/>
              <w:widowControl w:val="0"/>
              <w:kinsoku/>
              <w:wordWrap/>
              <w:overflowPunct/>
              <w:topLinePunct w:val="0"/>
              <w:autoSpaceDE/>
              <w:autoSpaceDN/>
              <w:bidi w:val="0"/>
              <w:adjustRightInd/>
              <w:snapToGrid/>
              <w:spacing w:before="69" w:line="234"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河流/湖库</w:t>
            </w:r>
          </w:p>
        </w:tc>
        <w:tc>
          <w:tcPr>
            <w:tcW w:w="2385" w:type="dxa"/>
            <w:vMerge w:val="restart"/>
            <w:noWrap w:val="0"/>
            <w:vAlign w:val="center"/>
          </w:tcPr>
          <w:p w14:paraId="341B11C4">
            <w:pPr>
              <w:pStyle w:val="1647"/>
              <w:keepNext w:val="0"/>
              <w:keepLines w:val="0"/>
              <w:pageBreakBefore w:val="0"/>
              <w:widowControl w:val="0"/>
              <w:kinsoku/>
              <w:wordWrap/>
              <w:overflowPunct/>
              <w:topLinePunct w:val="0"/>
              <w:autoSpaceDE/>
              <w:autoSpaceDN/>
              <w:bidi w:val="0"/>
              <w:adjustRightInd/>
              <w:snapToGrid/>
              <w:spacing w:before="69" w:line="221"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断面名称</w:t>
            </w:r>
          </w:p>
        </w:tc>
        <w:tc>
          <w:tcPr>
            <w:tcW w:w="1032" w:type="dxa"/>
            <w:vMerge w:val="restart"/>
            <w:noWrap w:val="0"/>
            <w:vAlign w:val="center"/>
          </w:tcPr>
          <w:p w14:paraId="09753A5C">
            <w:pPr>
              <w:pStyle w:val="1647"/>
              <w:keepNext w:val="0"/>
              <w:keepLines w:val="0"/>
              <w:pageBreakBefore w:val="0"/>
              <w:widowControl w:val="0"/>
              <w:kinsoku/>
              <w:wordWrap/>
              <w:overflowPunct/>
              <w:topLinePunct w:val="0"/>
              <w:autoSpaceDE/>
              <w:autoSpaceDN/>
              <w:bidi w:val="0"/>
              <w:adjustRightInd/>
              <w:snapToGrid/>
              <w:spacing w:before="69" w:line="221"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考核目标</w:t>
            </w:r>
          </w:p>
        </w:tc>
        <w:tc>
          <w:tcPr>
            <w:tcW w:w="1115" w:type="dxa"/>
            <w:gridSpan w:val="2"/>
            <w:noWrap w:val="0"/>
            <w:vAlign w:val="center"/>
          </w:tcPr>
          <w:p w14:paraId="45AC7998">
            <w:pPr>
              <w:pStyle w:val="1647"/>
              <w:keepNext w:val="0"/>
              <w:keepLines w:val="0"/>
              <w:pageBreakBefore w:val="0"/>
              <w:widowControl w:val="0"/>
              <w:kinsoku/>
              <w:wordWrap/>
              <w:overflowPunct/>
              <w:topLinePunct w:val="0"/>
              <w:autoSpaceDE/>
              <w:autoSpaceDN/>
              <w:bidi w:val="0"/>
              <w:adjustRightInd/>
              <w:snapToGrid/>
              <w:spacing w:before="23" w:line="200"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eastAsia" w:ascii="Times New Roman" w:hAnsi="Times New Roman" w:cs="Times New Roman"/>
                <w:color w:val="auto"/>
                <w:spacing w:val="-1"/>
                <w:kern w:val="2"/>
                <w:sz w:val="21"/>
                <w:szCs w:val="21"/>
                <w:highlight w:val="none"/>
                <w:u w:val="single"/>
                <w:lang w:val="en-US" w:eastAsia="zh-CN" w:bidi="ar-SA"/>
              </w:rPr>
              <w:t>全年水质</w:t>
            </w:r>
          </w:p>
        </w:tc>
        <w:tc>
          <w:tcPr>
            <w:tcW w:w="1113" w:type="dxa"/>
            <w:vMerge w:val="restart"/>
            <w:noWrap w:val="0"/>
            <w:vAlign w:val="center"/>
          </w:tcPr>
          <w:p w14:paraId="625CEE62">
            <w:pPr>
              <w:pStyle w:val="1647"/>
              <w:keepNext w:val="0"/>
              <w:keepLines w:val="0"/>
              <w:pageBreakBefore w:val="0"/>
              <w:widowControl w:val="0"/>
              <w:kinsoku/>
              <w:wordWrap/>
              <w:overflowPunct/>
              <w:topLinePunct w:val="0"/>
              <w:autoSpaceDE/>
              <w:autoSpaceDN/>
              <w:bidi w:val="0"/>
              <w:adjustRightInd/>
              <w:snapToGrid/>
              <w:spacing w:before="206" w:line="221" w:lineRule="auto"/>
              <w:ind w:left="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主要超标因子（超标倍数）</w:t>
            </w:r>
          </w:p>
        </w:tc>
        <w:tc>
          <w:tcPr>
            <w:tcW w:w="1118" w:type="dxa"/>
            <w:vMerge w:val="restart"/>
            <w:noWrap w:val="0"/>
            <w:vAlign w:val="center"/>
          </w:tcPr>
          <w:p w14:paraId="161F297E">
            <w:pPr>
              <w:pStyle w:val="1647"/>
              <w:keepNext w:val="0"/>
              <w:keepLines w:val="0"/>
              <w:pageBreakBefore w:val="0"/>
              <w:widowControl w:val="0"/>
              <w:kinsoku/>
              <w:wordWrap/>
              <w:overflowPunct/>
              <w:topLinePunct w:val="0"/>
              <w:autoSpaceDE/>
              <w:autoSpaceDN/>
              <w:bidi w:val="0"/>
              <w:adjustRightInd/>
              <w:snapToGrid/>
              <w:spacing w:before="69" w:line="221"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去年同期水质类别</w:t>
            </w:r>
          </w:p>
        </w:tc>
        <w:tc>
          <w:tcPr>
            <w:tcW w:w="1118" w:type="dxa"/>
            <w:vMerge w:val="restart"/>
            <w:noWrap w:val="0"/>
            <w:vAlign w:val="center"/>
          </w:tcPr>
          <w:p w14:paraId="08D1775A">
            <w:pPr>
              <w:pStyle w:val="1647"/>
              <w:keepNext w:val="0"/>
              <w:keepLines w:val="0"/>
              <w:pageBreakBefore w:val="0"/>
              <w:widowControl w:val="0"/>
              <w:kinsoku/>
              <w:wordWrap/>
              <w:overflowPunct/>
              <w:topLinePunct w:val="0"/>
              <w:autoSpaceDE/>
              <w:autoSpaceDN/>
              <w:bidi w:val="0"/>
              <w:adjustRightInd/>
              <w:snapToGrid/>
              <w:spacing w:before="69" w:line="221"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水质变化情况</w:t>
            </w:r>
          </w:p>
        </w:tc>
      </w:tr>
      <w:tr w14:paraId="3893F5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756" w:type="dxa"/>
            <w:vMerge w:val="continue"/>
            <w:noWrap w:val="0"/>
            <w:vAlign w:val="center"/>
          </w:tcPr>
          <w:p w14:paraId="21D61644">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p>
        </w:tc>
        <w:tc>
          <w:tcPr>
            <w:tcW w:w="2385" w:type="dxa"/>
            <w:vMerge w:val="continue"/>
            <w:noWrap w:val="0"/>
            <w:vAlign w:val="center"/>
          </w:tcPr>
          <w:p w14:paraId="073DE6B7">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p>
        </w:tc>
        <w:tc>
          <w:tcPr>
            <w:tcW w:w="1032" w:type="dxa"/>
            <w:vMerge w:val="continue"/>
            <w:noWrap w:val="0"/>
            <w:vAlign w:val="center"/>
          </w:tcPr>
          <w:p w14:paraId="6296FFDD">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p>
        </w:tc>
        <w:tc>
          <w:tcPr>
            <w:tcW w:w="555" w:type="dxa"/>
            <w:noWrap w:val="0"/>
            <w:vAlign w:val="center"/>
          </w:tcPr>
          <w:p w14:paraId="367FA341">
            <w:pPr>
              <w:pStyle w:val="1647"/>
              <w:keepNext w:val="0"/>
              <w:keepLines w:val="0"/>
              <w:pageBreakBefore w:val="0"/>
              <w:widowControl w:val="0"/>
              <w:kinsoku/>
              <w:wordWrap/>
              <w:overflowPunct/>
              <w:topLinePunct w:val="0"/>
              <w:autoSpaceDE/>
              <w:autoSpaceDN/>
              <w:bidi w:val="0"/>
              <w:adjustRightInd/>
              <w:snapToGrid/>
              <w:spacing w:before="73" w:line="216"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类别</w:t>
            </w:r>
          </w:p>
        </w:tc>
        <w:tc>
          <w:tcPr>
            <w:tcW w:w="560" w:type="dxa"/>
            <w:noWrap w:val="0"/>
            <w:vAlign w:val="center"/>
          </w:tcPr>
          <w:p w14:paraId="4F8FE8D2">
            <w:pPr>
              <w:pStyle w:val="1647"/>
              <w:keepNext w:val="0"/>
              <w:keepLines w:val="0"/>
              <w:pageBreakBefore w:val="0"/>
              <w:widowControl w:val="0"/>
              <w:kinsoku/>
              <w:wordWrap/>
              <w:overflowPunct/>
              <w:topLinePunct w:val="0"/>
              <w:autoSpaceDE/>
              <w:autoSpaceDN/>
              <w:bidi w:val="0"/>
              <w:adjustRightInd/>
              <w:snapToGrid/>
              <w:spacing w:before="73" w:line="216"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评价</w:t>
            </w:r>
          </w:p>
        </w:tc>
        <w:tc>
          <w:tcPr>
            <w:tcW w:w="1113" w:type="dxa"/>
            <w:vMerge w:val="continue"/>
            <w:noWrap w:val="0"/>
            <w:vAlign w:val="center"/>
          </w:tcPr>
          <w:p w14:paraId="366E71A0">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p>
        </w:tc>
        <w:tc>
          <w:tcPr>
            <w:tcW w:w="1118" w:type="dxa"/>
            <w:vMerge w:val="continue"/>
            <w:noWrap w:val="0"/>
            <w:vAlign w:val="center"/>
          </w:tcPr>
          <w:p w14:paraId="4FC81A76">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p>
        </w:tc>
        <w:tc>
          <w:tcPr>
            <w:tcW w:w="1118" w:type="dxa"/>
            <w:vMerge w:val="continue"/>
            <w:noWrap w:val="0"/>
            <w:vAlign w:val="center"/>
          </w:tcPr>
          <w:p w14:paraId="5E1EE464">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p>
        </w:tc>
      </w:tr>
      <w:tr w14:paraId="263B85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756" w:type="dxa"/>
            <w:vMerge w:val="restart"/>
            <w:noWrap w:val="0"/>
            <w:vAlign w:val="center"/>
          </w:tcPr>
          <w:p w14:paraId="31AFA2AE">
            <w:pPr>
              <w:pStyle w:val="1647"/>
              <w:keepNext w:val="0"/>
              <w:keepLines w:val="0"/>
              <w:pageBreakBefore w:val="0"/>
              <w:widowControl w:val="0"/>
              <w:kinsoku/>
              <w:wordWrap/>
              <w:overflowPunct/>
              <w:topLinePunct w:val="0"/>
              <w:autoSpaceDE/>
              <w:autoSpaceDN/>
              <w:bidi w:val="0"/>
              <w:adjustRightInd/>
              <w:snapToGrid/>
              <w:spacing w:before="68" w:line="222"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钦江</w:t>
            </w:r>
          </w:p>
        </w:tc>
        <w:tc>
          <w:tcPr>
            <w:tcW w:w="2385" w:type="dxa"/>
            <w:noWrap w:val="0"/>
            <w:vAlign w:val="center"/>
          </w:tcPr>
          <w:p w14:paraId="540F738C">
            <w:pPr>
              <w:pStyle w:val="1647"/>
              <w:keepNext w:val="0"/>
              <w:keepLines w:val="0"/>
              <w:pageBreakBefore w:val="0"/>
              <w:widowControl w:val="0"/>
              <w:kinsoku/>
              <w:wordWrap/>
              <w:overflowPunct/>
              <w:topLinePunct w:val="0"/>
              <w:autoSpaceDE/>
              <w:autoSpaceDN/>
              <w:bidi w:val="0"/>
              <w:adjustRightInd/>
              <w:snapToGrid/>
              <w:spacing w:before="156" w:line="221"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钦江东</w:t>
            </w:r>
          </w:p>
        </w:tc>
        <w:tc>
          <w:tcPr>
            <w:tcW w:w="1032" w:type="dxa"/>
            <w:noWrap w:val="0"/>
            <w:vAlign w:val="center"/>
          </w:tcPr>
          <w:p w14:paraId="13DB7CA5">
            <w:pPr>
              <w:pStyle w:val="1647"/>
              <w:keepNext w:val="0"/>
              <w:keepLines w:val="0"/>
              <w:pageBreakBefore w:val="0"/>
              <w:widowControl w:val="0"/>
              <w:kinsoku/>
              <w:wordWrap/>
              <w:overflowPunct/>
              <w:topLinePunct w:val="0"/>
              <w:autoSpaceDE/>
              <w:autoSpaceDN/>
              <w:bidi w:val="0"/>
              <w:adjustRightInd/>
              <w:snapToGrid/>
              <w:spacing w:before="157" w:line="236"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Ⅲ</w:t>
            </w:r>
          </w:p>
        </w:tc>
        <w:tc>
          <w:tcPr>
            <w:tcW w:w="555" w:type="dxa"/>
            <w:noWrap w:val="0"/>
            <w:vAlign w:val="center"/>
          </w:tcPr>
          <w:p w14:paraId="1F0E31A9">
            <w:pPr>
              <w:pStyle w:val="1647"/>
              <w:keepNext w:val="0"/>
              <w:keepLines w:val="0"/>
              <w:pageBreakBefore w:val="0"/>
              <w:widowControl w:val="0"/>
              <w:kinsoku/>
              <w:wordWrap/>
              <w:overflowPunct/>
              <w:topLinePunct w:val="0"/>
              <w:autoSpaceDE/>
              <w:autoSpaceDN/>
              <w:bidi w:val="0"/>
              <w:adjustRightInd/>
              <w:snapToGrid/>
              <w:spacing w:before="157" w:line="236"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Ⅲ</w:t>
            </w:r>
          </w:p>
        </w:tc>
        <w:tc>
          <w:tcPr>
            <w:tcW w:w="560" w:type="dxa"/>
            <w:noWrap w:val="0"/>
            <w:vAlign w:val="center"/>
          </w:tcPr>
          <w:p w14:paraId="760101D7">
            <w:pPr>
              <w:pStyle w:val="1647"/>
              <w:keepNext w:val="0"/>
              <w:keepLines w:val="0"/>
              <w:pageBreakBefore w:val="0"/>
              <w:widowControl w:val="0"/>
              <w:kinsoku/>
              <w:wordWrap/>
              <w:overflowPunct/>
              <w:topLinePunct w:val="0"/>
              <w:autoSpaceDE/>
              <w:autoSpaceDN/>
              <w:bidi w:val="0"/>
              <w:adjustRightInd/>
              <w:snapToGrid/>
              <w:spacing w:before="156" w:line="221"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良好</w:t>
            </w:r>
          </w:p>
        </w:tc>
        <w:tc>
          <w:tcPr>
            <w:tcW w:w="1113" w:type="dxa"/>
            <w:noWrap w:val="0"/>
            <w:vAlign w:val="center"/>
          </w:tcPr>
          <w:p w14:paraId="06F8ABC4">
            <w:pPr>
              <w:pStyle w:val="1647"/>
              <w:keepNext w:val="0"/>
              <w:keepLines w:val="0"/>
              <w:pageBreakBefore w:val="0"/>
              <w:widowControl w:val="0"/>
              <w:kinsoku/>
              <w:wordWrap/>
              <w:overflowPunct/>
              <w:topLinePunct w:val="0"/>
              <w:autoSpaceDE/>
              <w:autoSpaceDN/>
              <w:bidi w:val="0"/>
              <w:adjustRightInd/>
              <w:snapToGrid/>
              <w:spacing w:before="256" w:line="142" w:lineRule="exact"/>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w:t>
            </w:r>
          </w:p>
        </w:tc>
        <w:tc>
          <w:tcPr>
            <w:tcW w:w="1118" w:type="dxa"/>
            <w:noWrap w:val="0"/>
            <w:vAlign w:val="center"/>
          </w:tcPr>
          <w:p w14:paraId="07974B0F">
            <w:pPr>
              <w:pStyle w:val="1647"/>
              <w:keepNext w:val="0"/>
              <w:keepLines w:val="0"/>
              <w:pageBreakBefore w:val="0"/>
              <w:widowControl w:val="0"/>
              <w:kinsoku/>
              <w:wordWrap/>
              <w:overflowPunct/>
              <w:topLinePunct w:val="0"/>
              <w:autoSpaceDE/>
              <w:autoSpaceDN/>
              <w:bidi w:val="0"/>
              <w:adjustRightInd/>
              <w:snapToGrid/>
              <w:spacing w:before="157" w:line="236" w:lineRule="auto"/>
              <w:ind w:left="0" w:leftChars="0"/>
              <w:jc w:val="center"/>
              <w:textAlignment w:val="auto"/>
              <w:rPr>
                <w:rFonts w:hint="default" w:ascii="Times New Roman" w:hAnsi="Times New Roman" w:eastAsia="宋体" w:cs="Times New Roman"/>
                <w:color w:val="auto"/>
                <w:spacing w:val="-1"/>
                <w:kern w:val="2"/>
                <w:sz w:val="21"/>
                <w:szCs w:val="21"/>
                <w:highlight w:val="none"/>
                <w:u w:val="single"/>
                <w:lang w:val="en-US" w:eastAsia="zh-CN" w:bidi="ar-SA"/>
              </w:rPr>
            </w:pPr>
            <w:r>
              <w:rPr>
                <w:rFonts w:hint="default" w:ascii="Times New Roman" w:hAnsi="Times New Roman" w:eastAsia="宋体" w:cs="Times New Roman"/>
                <w:color w:val="auto"/>
                <w:spacing w:val="-1"/>
                <w:kern w:val="2"/>
                <w:sz w:val="21"/>
                <w:szCs w:val="21"/>
                <w:highlight w:val="none"/>
                <w:u w:val="single"/>
                <w:lang w:val="en-US" w:eastAsia="zh-CN" w:bidi="ar-SA"/>
              </w:rPr>
              <w:t>Ⅱ</w:t>
            </w:r>
          </w:p>
        </w:tc>
        <w:tc>
          <w:tcPr>
            <w:tcW w:w="1118" w:type="dxa"/>
            <w:noWrap w:val="0"/>
            <w:vAlign w:val="center"/>
          </w:tcPr>
          <w:p w14:paraId="3B97705C">
            <w:pPr>
              <w:pStyle w:val="1647"/>
              <w:keepNext w:val="0"/>
              <w:keepLines w:val="0"/>
              <w:pageBreakBefore w:val="0"/>
              <w:widowControl w:val="0"/>
              <w:kinsoku/>
              <w:wordWrap/>
              <w:overflowPunct/>
              <w:topLinePunct w:val="0"/>
              <w:autoSpaceDE/>
              <w:autoSpaceDN/>
              <w:bidi w:val="0"/>
              <w:adjustRightInd/>
              <w:snapToGrid/>
              <w:spacing w:before="172" w:line="236" w:lineRule="auto"/>
              <w:ind w:left="0" w:leftChars="0"/>
              <w:jc w:val="center"/>
              <w:textAlignment w:val="auto"/>
              <w:rPr>
                <w:rFonts w:hint="default" w:ascii="Times New Roman" w:hAnsi="Times New Roman" w:eastAsia="宋体" w:cs="Times New Roman"/>
                <w:color w:val="auto"/>
                <w:spacing w:val="-1"/>
                <w:kern w:val="2"/>
                <w:sz w:val="21"/>
                <w:szCs w:val="21"/>
                <w:highlight w:val="none"/>
                <w:u w:val="single"/>
                <w:lang w:val="en-US" w:eastAsia="zh-CN" w:bidi="ar-SA"/>
              </w:rPr>
            </w:pPr>
            <w:r>
              <w:rPr>
                <w:rFonts w:hint="default" w:ascii="Times New Roman" w:hAnsi="Times New Roman" w:eastAsia="宋体" w:cs="Times New Roman"/>
                <w:color w:val="auto"/>
                <w:spacing w:val="-1"/>
                <w:kern w:val="2"/>
                <w:sz w:val="21"/>
                <w:szCs w:val="21"/>
                <w:highlight w:val="none"/>
                <w:u w:val="single"/>
                <w:lang w:val="en-US" w:eastAsia="zh-CN" w:bidi="ar-SA"/>
              </w:rPr>
              <w:t>有所下降</w:t>
            </w:r>
          </w:p>
        </w:tc>
      </w:tr>
      <w:tr w14:paraId="7C595B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756" w:type="dxa"/>
            <w:vMerge w:val="continue"/>
            <w:noWrap w:val="0"/>
            <w:vAlign w:val="center"/>
          </w:tcPr>
          <w:p w14:paraId="113038DB">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p>
        </w:tc>
        <w:tc>
          <w:tcPr>
            <w:tcW w:w="2385" w:type="dxa"/>
            <w:noWrap w:val="0"/>
            <w:vAlign w:val="center"/>
          </w:tcPr>
          <w:p w14:paraId="0290FB9A">
            <w:pPr>
              <w:pStyle w:val="1647"/>
              <w:keepNext w:val="0"/>
              <w:keepLines w:val="0"/>
              <w:pageBreakBefore w:val="0"/>
              <w:widowControl w:val="0"/>
              <w:kinsoku/>
              <w:wordWrap/>
              <w:overflowPunct/>
              <w:topLinePunct w:val="0"/>
              <w:autoSpaceDE/>
              <w:autoSpaceDN/>
              <w:bidi w:val="0"/>
              <w:adjustRightInd/>
              <w:snapToGrid/>
              <w:spacing w:before="171" w:line="221"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高速公路西桥</w:t>
            </w:r>
          </w:p>
        </w:tc>
        <w:tc>
          <w:tcPr>
            <w:tcW w:w="1032" w:type="dxa"/>
            <w:noWrap w:val="0"/>
            <w:vAlign w:val="center"/>
          </w:tcPr>
          <w:p w14:paraId="7755071A">
            <w:pPr>
              <w:pStyle w:val="1647"/>
              <w:keepNext w:val="0"/>
              <w:keepLines w:val="0"/>
              <w:pageBreakBefore w:val="0"/>
              <w:widowControl w:val="0"/>
              <w:kinsoku/>
              <w:wordWrap/>
              <w:overflowPunct/>
              <w:topLinePunct w:val="0"/>
              <w:autoSpaceDE/>
              <w:autoSpaceDN/>
              <w:bidi w:val="0"/>
              <w:adjustRightInd/>
              <w:snapToGrid/>
              <w:spacing w:before="172" w:line="236"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Ⅳ</w:t>
            </w:r>
          </w:p>
        </w:tc>
        <w:tc>
          <w:tcPr>
            <w:tcW w:w="555" w:type="dxa"/>
            <w:noWrap w:val="0"/>
            <w:vAlign w:val="center"/>
          </w:tcPr>
          <w:p w14:paraId="0567C768">
            <w:pPr>
              <w:pStyle w:val="1647"/>
              <w:keepNext w:val="0"/>
              <w:keepLines w:val="0"/>
              <w:pageBreakBefore w:val="0"/>
              <w:widowControl w:val="0"/>
              <w:kinsoku/>
              <w:wordWrap/>
              <w:overflowPunct/>
              <w:topLinePunct w:val="0"/>
              <w:autoSpaceDE/>
              <w:autoSpaceDN/>
              <w:bidi w:val="0"/>
              <w:adjustRightInd/>
              <w:snapToGrid/>
              <w:spacing w:before="172" w:line="236"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Ⅳ</w:t>
            </w:r>
          </w:p>
        </w:tc>
        <w:tc>
          <w:tcPr>
            <w:tcW w:w="560" w:type="dxa"/>
            <w:noWrap w:val="0"/>
            <w:vAlign w:val="center"/>
          </w:tcPr>
          <w:p w14:paraId="013CEFC3">
            <w:pPr>
              <w:pStyle w:val="1647"/>
              <w:keepNext w:val="0"/>
              <w:keepLines w:val="0"/>
              <w:pageBreakBefore w:val="0"/>
              <w:widowControl w:val="0"/>
              <w:kinsoku/>
              <w:wordWrap/>
              <w:overflowPunct/>
              <w:topLinePunct w:val="0"/>
              <w:autoSpaceDE/>
              <w:autoSpaceDN/>
              <w:bidi w:val="0"/>
              <w:adjustRightInd/>
              <w:snapToGrid/>
              <w:spacing w:before="37" w:line="221" w:lineRule="auto"/>
              <w:ind w:left="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轻度</w:t>
            </w:r>
          </w:p>
          <w:p w14:paraId="54720757">
            <w:pPr>
              <w:pStyle w:val="1647"/>
              <w:keepNext w:val="0"/>
              <w:keepLines w:val="0"/>
              <w:pageBreakBefore w:val="0"/>
              <w:widowControl w:val="0"/>
              <w:kinsoku/>
              <w:wordWrap/>
              <w:overflowPunct/>
              <w:topLinePunct w:val="0"/>
              <w:autoSpaceDE/>
              <w:autoSpaceDN/>
              <w:bidi w:val="0"/>
              <w:adjustRightInd/>
              <w:snapToGrid/>
              <w:spacing w:before="20" w:line="197"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污染</w:t>
            </w:r>
          </w:p>
        </w:tc>
        <w:tc>
          <w:tcPr>
            <w:tcW w:w="1113" w:type="dxa"/>
            <w:noWrap w:val="0"/>
            <w:vAlign w:val="center"/>
          </w:tcPr>
          <w:p w14:paraId="6C2C86C8">
            <w:pPr>
              <w:pStyle w:val="1647"/>
              <w:keepNext w:val="0"/>
              <w:keepLines w:val="0"/>
              <w:pageBreakBefore w:val="0"/>
              <w:widowControl w:val="0"/>
              <w:kinsoku/>
              <w:wordWrap/>
              <w:overflowPunct/>
              <w:topLinePunct w:val="0"/>
              <w:autoSpaceDE/>
              <w:autoSpaceDN/>
              <w:bidi w:val="0"/>
              <w:adjustRightInd/>
              <w:snapToGrid/>
              <w:spacing w:before="171" w:line="234"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eastAsia" w:ascii="Times New Roman" w:hAnsi="Times New Roman" w:cs="Times New Roman"/>
                <w:color w:val="auto"/>
                <w:spacing w:val="-1"/>
                <w:kern w:val="2"/>
                <w:sz w:val="21"/>
                <w:szCs w:val="21"/>
                <w:highlight w:val="none"/>
                <w:lang w:val="en-US" w:eastAsia="zh-CN" w:bidi="ar-SA"/>
              </w:rPr>
              <w:t>总磷</w:t>
            </w:r>
            <w:r>
              <w:rPr>
                <w:rFonts w:hint="default" w:ascii="Times New Roman" w:hAnsi="Times New Roman" w:eastAsia="宋体" w:cs="Times New Roman"/>
                <w:color w:val="auto"/>
                <w:spacing w:val="-1"/>
                <w:kern w:val="2"/>
                <w:sz w:val="21"/>
                <w:szCs w:val="21"/>
                <w:highlight w:val="none"/>
                <w:lang w:val="en-US" w:eastAsia="zh-CN" w:bidi="ar-SA"/>
              </w:rPr>
              <w:t>（</w:t>
            </w:r>
            <w:r>
              <w:rPr>
                <w:rFonts w:hint="eastAsia" w:ascii="Times New Roman" w:hAnsi="Times New Roman" w:cs="Times New Roman"/>
                <w:color w:val="auto"/>
                <w:spacing w:val="-1"/>
                <w:kern w:val="2"/>
                <w:sz w:val="21"/>
                <w:szCs w:val="21"/>
                <w:highlight w:val="none"/>
                <w:lang w:val="en-US" w:eastAsia="zh-CN" w:bidi="ar-SA"/>
              </w:rPr>
              <w:t>0.02</w:t>
            </w:r>
            <w:r>
              <w:rPr>
                <w:rFonts w:hint="default" w:ascii="Times New Roman" w:hAnsi="Times New Roman" w:eastAsia="宋体" w:cs="Times New Roman"/>
                <w:color w:val="auto"/>
                <w:spacing w:val="-1"/>
                <w:kern w:val="2"/>
                <w:sz w:val="21"/>
                <w:szCs w:val="21"/>
                <w:highlight w:val="none"/>
                <w:lang w:val="en-US" w:eastAsia="zh-CN" w:bidi="ar-SA"/>
              </w:rPr>
              <w:t>倍）</w:t>
            </w:r>
          </w:p>
        </w:tc>
        <w:tc>
          <w:tcPr>
            <w:tcW w:w="1118" w:type="dxa"/>
            <w:noWrap w:val="0"/>
            <w:vAlign w:val="center"/>
          </w:tcPr>
          <w:p w14:paraId="63A8D91C">
            <w:pPr>
              <w:pStyle w:val="1647"/>
              <w:keepNext w:val="0"/>
              <w:keepLines w:val="0"/>
              <w:pageBreakBefore w:val="0"/>
              <w:widowControl w:val="0"/>
              <w:kinsoku/>
              <w:wordWrap/>
              <w:overflowPunct/>
              <w:topLinePunct w:val="0"/>
              <w:autoSpaceDE/>
              <w:autoSpaceDN/>
              <w:bidi w:val="0"/>
              <w:adjustRightInd/>
              <w:snapToGrid/>
              <w:spacing w:before="172" w:line="236" w:lineRule="auto"/>
              <w:ind w:left="0" w:leftChars="0"/>
              <w:jc w:val="center"/>
              <w:textAlignment w:val="auto"/>
              <w:rPr>
                <w:rFonts w:hint="default" w:ascii="Times New Roman" w:hAnsi="Times New Roman" w:eastAsia="宋体" w:cs="Times New Roman"/>
                <w:color w:val="auto"/>
                <w:spacing w:val="-1"/>
                <w:kern w:val="2"/>
                <w:sz w:val="21"/>
                <w:szCs w:val="21"/>
                <w:highlight w:val="none"/>
                <w:u w:val="single"/>
                <w:lang w:val="en-US" w:eastAsia="zh-CN" w:bidi="ar-SA"/>
              </w:rPr>
            </w:pPr>
            <w:r>
              <w:rPr>
                <w:rFonts w:hint="default" w:ascii="Times New Roman" w:hAnsi="Times New Roman" w:eastAsia="宋体" w:cs="Times New Roman"/>
                <w:color w:val="auto"/>
                <w:spacing w:val="-1"/>
                <w:kern w:val="2"/>
                <w:sz w:val="21"/>
                <w:szCs w:val="21"/>
                <w:highlight w:val="none"/>
                <w:u w:val="single"/>
                <w:lang w:val="en-US" w:eastAsia="zh-CN" w:bidi="ar-SA"/>
              </w:rPr>
              <w:t>Ⅳ</w:t>
            </w:r>
          </w:p>
        </w:tc>
        <w:tc>
          <w:tcPr>
            <w:tcW w:w="1118" w:type="dxa"/>
            <w:noWrap w:val="0"/>
            <w:vAlign w:val="center"/>
          </w:tcPr>
          <w:p w14:paraId="3689F2A0">
            <w:pPr>
              <w:pStyle w:val="1647"/>
              <w:keepNext w:val="0"/>
              <w:keepLines w:val="0"/>
              <w:pageBreakBefore w:val="0"/>
              <w:widowControl w:val="0"/>
              <w:kinsoku/>
              <w:wordWrap/>
              <w:overflowPunct/>
              <w:topLinePunct w:val="0"/>
              <w:autoSpaceDE/>
              <w:autoSpaceDN/>
              <w:bidi w:val="0"/>
              <w:adjustRightInd/>
              <w:snapToGrid/>
              <w:spacing w:before="172" w:line="236" w:lineRule="auto"/>
              <w:ind w:left="0" w:leftChars="0"/>
              <w:jc w:val="center"/>
              <w:textAlignment w:val="auto"/>
              <w:rPr>
                <w:rFonts w:hint="default" w:ascii="Times New Roman" w:hAnsi="Times New Roman" w:eastAsia="宋体" w:cs="Times New Roman"/>
                <w:color w:val="auto"/>
                <w:spacing w:val="-1"/>
                <w:kern w:val="2"/>
                <w:sz w:val="21"/>
                <w:szCs w:val="21"/>
                <w:highlight w:val="none"/>
                <w:u w:val="single"/>
                <w:lang w:val="en-US" w:eastAsia="zh-CN" w:bidi="ar-SA"/>
              </w:rPr>
            </w:pPr>
            <w:r>
              <w:rPr>
                <w:rFonts w:hint="default" w:ascii="Times New Roman" w:hAnsi="Times New Roman" w:eastAsia="宋体" w:cs="Times New Roman"/>
                <w:color w:val="auto"/>
                <w:spacing w:val="-1"/>
                <w:kern w:val="2"/>
                <w:sz w:val="21"/>
                <w:szCs w:val="21"/>
                <w:highlight w:val="none"/>
                <w:u w:val="single"/>
                <w:lang w:val="en-US" w:eastAsia="zh-CN" w:bidi="ar-SA"/>
              </w:rPr>
              <w:t>持平</w:t>
            </w:r>
          </w:p>
        </w:tc>
      </w:tr>
      <w:tr w14:paraId="47B913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756" w:type="dxa"/>
            <w:noWrap w:val="0"/>
            <w:vAlign w:val="center"/>
          </w:tcPr>
          <w:p w14:paraId="139C15BF">
            <w:pPr>
              <w:pStyle w:val="1647"/>
              <w:keepNext w:val="0"/>
              <w:keepLines w:val="0"/>
              <w:pageBreakBefore w:val="0"/>
              <w:widowControl w:val="0"/>
              <w:kinsoku/>
              <w:wordWrap/>
              <w:overflowPunct/>
              <w:topLinePunct w:val="0"/>
              <w:autoSpaceDE/>
              <w:autoSpaceDN/>
              <w:bidi w:val="0"/>
              <w:adjustRightInd/>
              <w:snapToGrid/>
              <w:spacing w:before="30" w:line="212" w:lineRule="auto"/>
              <w:ind w:left="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大风江</w:t>
            </w:r>
          </w:p>
        </w:tc>
        <w:tc>
          <w:tcPr>
            <w:tcW w:w="2385" w:type="dxa"/>
            <w:noWrap w:val="0"/>
            <w:vAlign w:val="center"/>
          </w:tcPr>
          <w:p w14:paraId="45DEE05E">
            <w:pPr>
              <w:pStyle w:val="1647"/>
              <w:keepNext w:val="0"/>
              <w:keepLines w:val="0"/>
              <w:pageBreakBefore w:val="0"/>
              <w:widowControl w:val="0"/>
              <w:kinsoku/>
              <w:wordWrap/>
              <w:overflowPunct/>
              <w:topLinePunct w:val="0"/>
              <w:autoSpaceDE/>
              <w:autoSpaceDN/>
              <w:bidi w:val="0"/>
              <w:adjustRightInd/>
              <w:snapToGrid/>
              <w:spacing w:before="30" w:line="212" w:lineRule="auto"/>
              <w:ind w:left="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高塘</w:t>
            </w:r>
          </w:p>
        </w:tc>
        <w:tc>
          <w:tcPr>
            <w:tcW w:w="1032" w:type="dxa"/>
            <w:noWrap w:val="0"/>
            <w:vAlign w:val="center"/>
          </w:tcPr>
          <w:p w14:paraId="6C0EF813">
            <w:pPr>
              <w:pStyle w:val="1647"/>
              <w:keepNext w:val="0"/>
              <w:keepLines w:val="0"/>
              <w:pageBreakBefore w:val="0"/>
              <w:widowControl w:val="0"/>
              <w:kinsoku/>
              <w:wordWrap/>
              <w:overflowPunct/>
              <w:topLinePunct w:val="0"/>
              <w:autoSpaceDE/>
              <w:autoSpaceDN/>
              <w:bidi w:val="0"/>
              <w:adjustRightInd/>
              <w:snapToGrid/>
              <w:spacing w:before="133" w:line="236"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Ⅲ</w:t>
            </w:r>
          </w:p>
        </w:tc>
        <w:tc>
          <w:tcPr>
            <w:tcW w:w="555" w:type="dxa"/>
            <w:noWrap w:val="0"/>
            <w:vAlign w:val="center"/>
          </w:tcPr>
          <w:p w14:paraId="2B322E6C">
            <w:pPr>
              <w:pStyle w:val="1647"/>
              <w:keepNext w:val="0"/>
              <w:keepLines w:val="0"/>
              <w:pageBreakBefore w:val="0"/>
              <w:widowControl w:val="0"/>
              <w:kinsoku/>
              <w:wordWrap/>
              <w:overflowPunct/>
              <w:topLinePunct w:val="0"/>
              <w:autoSpaceDE/>
              <w:autoSpaceDN/>
              <w:bidi w:val="0"/>
              <w:adjustRightInd/>
              <w:snapToGrid/>
              <w:spacing w:before="133" w:line="236"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Ⅱ</w:t>
            </w:r>
          </w:p>
        </w:tc>
        <w:tc>
          <w:tcPr>
            <w:tcW w:w="560" w:type="dxa"/>
            <w:noWrap w:val="0"/>
            <w:vAlign w:val="center"/>
          </w:tcPr>
          <w:p w14:paraId="755FA4D5">
            <w:pPr>
              <w:pStyle w:val="1647"/>
              <w:keepNext w:val="0"/>
              <w:keepLines w:val="0"/>
              <w:pageBreakBefore w:val="0"/>
              <w:widowControl w:val="0"/>
              <w:kinsoku/>
              <w:wordWrap/>
              <w:overflowPunct/>
              <w:topLinePunct w:val="0"/>
              <w:autoSpaceDE/>
              <w:autoSpaceDN/>
              <w:bidi w:val="0"/>
              <w:adjustRightInd/>
              <w:snapToGrid/>
              <w:spacing w:before="132" w:line="221"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优</w:t>
            </w:r>
          </w:p>
        </w:tc>
        <w:tc>
          <w:tcPr>
            <w:tcW w:w="1113" w:type="dxa"/>
            <w:noWrap w:val="0"/>
            <w:vAlign w:val="center"/>
          </w:tcPr>
          <w:p w14:paraId="0843377A">
            <w:pPr>
              <w:pStyle w:val="1647"/>
              <w:keepNext w:val="0"/>
              <w:keepLines w:val="0"/>
              <w:pageBreakBefore w:val="0"/>
              <w:widowControl w:val="0"/>
              <w:kinsoku/>
              <w:wordWrap/>
              <w:overflowPunct/>
              <w:topLinePunct w:val="0"/>
              <w:autoSpaceDE/>
              <w:autoSpaceDN/>
              <w:bidi w:val="0"/>
              <w:adjustRightInd/>
              <w:snapToGrid/>
              <w:spacing w:before="129" w:line="142" w:lineRule="exact"/>
              <w:ind w:left="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w:t>
            </w:r>
          </w:p>
        </w:tc>
        <w:tc>
          <w:tcPr>
            <w:tcW w:w="1118" w:type="dxa"/>
            <w:noWrap w:val="0"/>
            <w:vAlign w:val="center"/>
          </w:tcPr>
          <w:p w14:paraId="626ACBD6">
            <w:pPr>
              <w:pStyle w:val="1647"/>
              <w:keepNext w:val="0"/>
              <w:keepLines w:val="0"/>
              <w:pageBreakBefore w:val="0"/>
              <w:widowControl w:val="0"/>
              <w:kinsoku/>
              <w:wordWrap/>
              <w:overflowPunct/>
              <w:topLinePunct w:val="0"/>
              <w:autoSpaceDE/>
              <w:autoSpaceDN/>
              <w:bidi w:val="0"/>
              <w:adjustRightInd/>
              <w:snapToGrid/>
              <w:spacing w:before="30" w:line="212" w:lineRule="auto"/>
              <w:ind w:left="0"/>
              <w:jc w:val="center"/>
              <w:textAlignment w:val="auto"/>
              <w:rPr>
                <w:rFonts w:hint="default" w:ascii="Times New Roman" w:hAnsi="Times New Roman" w:eastAsia="宋体" w:cs="Times New Roman"/>
                <w:color w:val="auto"/>
                <w:spacing w:val="-1"/>
                <w:kern w:val="2"/>
                <w:sz w:val="21"/>
                <w:szCs w:val="21"/>
                <w:highlight w:val="none"/>
                <w:u w:val="single"/>
                <w:lang w:val="en-US" w:eastAsia="zh-CN" w:bidi="ar-SA"/>
              </w:rPr>
            </w:pPr>
            <w:r>
              <w:rPr>
                <w:rFonts w:hint="default" w:ascii="Times New Roman" w:hAnsi="Times New Roman" w:eastAsia="宋体" w:cs="Times New Roman"/>
                <w:color w:val="auto"/>
                <w:spacing w:val="-1"/>
                <w:kern w:val="2"/>
                <w:sz w:val="21"/>
                <w:szCs w:val="21"/>
                <w:highlight w:val="none"/>
                <w:u w:val="single"/>
                <w:lang w:val="en-US" w:eastAsia="zh-CN" w:bidi="ar-SA"/>
              </w:rPr>
              <w:t>Ⅱ</w:t>
            </w:r>
          </w:p>
        </w:tc>
        <w:tc>
          <w:tcPr>
            <w:tcW w:w="1118" w:type="dxa"/>
            <w:noWrap w:val="0"/>
            <w:vAlign w:val="center"/>
          </w:tcPr>
          <w:p w14:paraId="7EDFC48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1"/>
                <w:kern w:val="2"/>
                <w:sz w:val="21"/>
                <w:szCs w:val="21"/>
                <w:highlight w:val="none"/>
                <w:u w:val="single"/>
                <w:lang w:val="en-US" w:eastAsia="zh-CN" w:bidi="ar-SA"/>
              </w:rPr>
            </w:pPr>
            <w:r>
              <w:rPr>
                <w:rFonts w:hint="default" w:ascii="Times New Roman" w:hAnsi="Times New Roman" w:eastAsia="宋体" w:cs="Times New Roman"/>
                <w:color w:val="auto"/>
                <w:spacing w:val="-1"/>
                <w:kern w:val="2"/>
                <w:sz w:val="21"/>
                <w:szCs w:val="21"/>
                <w:highlight w:val="none"/>
                <w:u w:val="single"/>
                <w:lang w:val="en-US" w:eastAsia="zh-CN" w:bidi="ar-SA"/>
              </w:rPr>
              <w:t>持平</w:t>
            </w:r>
          </w:p>
        </w:tc>
      </w:tr>
      <w:tr w14:paraId="1213BB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756" w:type="dxa"/>
            <w:noWrap w:val="0"/>
            <w:vAlign w:val="center"/>
          </w:tcPr>
          <w:p w14:paraId="67D15251">
            <w:pPr>
              <w:pStyle w:val="1647"/>
              <w:keepNext w:val="0"/>
              <w:keepLines w:val="0"/>
              <w:pageBreakBefore w:val="0"/>
              <w:widowControl w:val="0"/>
              <w:kinsoku/>
              <w:wordWrap/>
              <w:overflowPunct/>
              <w:topLinePunct w:val="0"/>
              <w:autoSpaceDE/>
              <w:autoSpaceDN/>
              <w:bidi w:val="0"/>
              <w:adjustRightInd/>
              <w:snapToGrid/>
              <w:spacing w:before="158" w:line="222"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茅岭江</w:t>
            </w:r>
          </w:p>
        </w:tc>
        <w:tc>
          <w:tcPr>
            <w:tcW w:w="2385" w:type="dxa"/>
            <w:noWrap w:val="0"/>
            <w:vAlign w:val="center"/>
          </w:tcPr>
          <w:p w14:paraId="5295360E">
            <w:pPr>
              <w:pStyle w:val="1647"/>
              <w:keepNext w:val="0"/>
              <w:keepLines w:val="0"/>
              <w:pageBreakBefore w:val="0"/>
              <w:widowControl w:val="0"/>
              <w:kinsoku/>
              <w:wordWrap/>
              <w:overflowPunct/>
              <w:topLinePunct w:val="0"/>
              <w:autoSpaceDE/>
              <w:autoSpaceDN/>
              <w:bidi w:val="0"/>
              <w:adjustRightInd/>
              <w:snapToGrid/>
              <w:spacing w:before="159" w:line="221"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茅岭大桥</w:t>
            </w:r>
          </w:p>
        </w:tc>
        <w:tc>
          <w:tcPr>
            <w:tcW w:w="1032" w:type="dxa"/>
            <w:noWrap w:val="0"/>
            <w:vAlign w:val="center"/>
          </w:tcPr>
          <w:p w14:paraId="37076687">
            <w:pPr>
              <w:pStyle w:val="1647"/>
              <w:keepNext w:val="0"/>
              <w:keepLines w:val="0"/>
              <w:pageBreakBefore w:val="0"/>
              <w:widowControl w:val="0"/>
              <w:kinsoku/>
              <w:wordWrap/>
              <w:overflowPunct/>
              <w:topLinePunct w:val="0"/>
              <w:autoSpaceDE/>
              <w:autoSpaceDN/>
              <w:bidi w:val="0"/>
              <w:adjustRightInd/>
              <w:snapToGrid/>
              <w:spacing w:before="159" w:line="236"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Ⅲ</w:t>
            </w:r>
          </w:p>
        </w:tc>
        <w:tc>
          <w:tcPr>
            <w:tcW w:w="555" w:type="dxa"/>
            <w:noWrap w:val="0"/>
            <w:vAlign w:val="center"/>
          </w:tcPr>
          <w:p w14:paraId="62A77817">
            <w:pPr>
              <w:pStyle w:val="1647"/>
              <w:keepNext w:val="0"/>
              <w:keepLines w:val="0"/>
              <w:pageBreakBefore w:val="0"/>
              <w:widowControl w:val="0"/>
              <w:kinsoku/>
              <w:wordWrap/>
              <w:overflowPunct/>
              <w:topLinePunct w:val="0"/>
              <w:autoSpaceDE/>
              <w:autoSpaceDN/>
              <w:bidi w:val="0"/>
              <w:adjustRightInd/>
              <w:snapToGrid/>
              <w:spacing w:before="159" w:line="236"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Ⅲ</w:t>
            </w:r>
          </w:p>
        </w:tc>
        <w:tc>
          <w:tcPr>
            <w:tcW w:w="560" w:type="dxa"/>
            <w:noWrap w:val="0"/>
            <w:vAlign w:val="center"/>
          </w:tcPr>
          <w:p w14:paraId="5A48B31F">
            <w:pPr>
              <w:pStyle w:val="1647"/>
              <w:keepNext w:val="0"/>
              <w:keepLines w:val="0"/>
              <w:pageBreakBefore w:val="0"/>
              <w:widowControl w:val="0"/>
              <w:kinsoku/>
              <w:wordWrap/>
              <w:overflowPunct/>
              <w:topLinePunct w:val="0"/>
              <w:autoSpaceDE/>
              <w:autoSpaceDN/>
              <w:bidi w:val="0"/>
              <w:adjustRightInd/>
              <w:snapToGrid/>
              <w:spacing w:before="158" w:line="221"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良好</w:t>
            </w:r>
          </w:p>
        </w:tc>
        <w:tc>
          <w:tcPr>
            <w:tcW w:w="1113" w:type="dxa"/>
            <w:noWrap w:val="0"/>
            <w:vAlign w:val="center"/>
          </w:tcPr>
          <w:p w14:paraId="6D5B5615">
            <w:pPr>
              <w:pStyle w:val="1647"/>
              <w:keepNext w:val="0"/>
              <w:keepLines w:val="0"/>
              <w:pageBreakBefore w:val="0"/>
              <w:widowControl w:val="0"/>
              <w:kinsoku/>
              <w:wordWrap/>
              <w:overflowPunct/>
              <w:topLinePunct w:val="0"/>
              <w:autoSpaceDE/>
              <w:autoSpaceDN/>
              <w:bidi w:val="0"/>
              <w:adjustRightInd/>
              <w:snapToGrid/>
              <w:spacing w:before="258" w:line="142" w:lineRule="exact"/>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w:t>
            </w:r>
          </w:p>
        </w:tc>
        <w:tc>
          <w:tcPr>
            <w:tcW w:w="1118" w:type="dxa"/>
            <w:noWrap w:val="0"/>
            <w:vAlign w:val="center"/>
          </w:tcPr>
          <w:p w14:paraId="72737701">
            <w:pPr>
              <w:pStyle w:val="1647"/>
              <w:keepNext w:val="0"/>
              <w:keepLines w:val="0"/>
              <w:pageBreakBefore w:val="0"/>
              <w:widowControl w:val="0"/>
              <w:kinsoku/>
              <w:wordWrap/>
              <w:overflowPunct/>
              <w:topLinePunct w:val="0"/>
              <w:autoSpaceDE/>
              <w:autoSpaceDN/>
              <w:bidi w:val="0"/>
              <w:adjustRightInd/>
              <w:snapToGrid/>
              <w:spacing w:before="159" w:line="236" w:lineRule="auto"/>
              <w:ind w:left="0" w:leftChars="0"/>
              <w:jc w:val="center"/>
              <w:textAlignment w:val="auto"/>
              <w:rPr>
                <w:rFonts w:hint="default" w:ascii="Times New Roman" w:hAnsi="Times New Roman" w:eastAsia="宋体" w:cs="Times New Roman"/>
                <w:color w:val="auto"/>
                <w:spacing w:val="-1"/>
                <w:kern w:val="2"/>
                <w:sz w:val="21"/>
                <w:szCs w:val="21"/>
                <w:highlight w:val="none"/>
                <w:u w:val="single"/>
                <w:lang w:val="en-US" w:eastAsia="zh-CN" w:bidi="ar-SA"/>
              </w:rPr>
            </w:pPr>
            <w:r>
              <w:rPr>
                <w:rFonts w:hint="default" w:ascii="Times New Roman" w:hAnsi="Times New Roman" w:eastAsia="宋体" w:cs="Times New Roman"/>
                <w:color w:val="auto"/>
                <w:spacing w:val="-1"/>
                <w:kern w:val="2"/>
                <w:sz w:val="21"/>
                <w:szCs w:val="21"/>
                <w:highlight w:val="none"/>
                <w:u w:val="single"/>
                <w:lang w:val="en-US" w:eastAsia="zh-CN" w:bidi="ar-SA"/>
              </w:rPr>
              <w:t>Ⅲ</w:t>
            </w:r>
          </w:p>
        </w:tc>
        <w:tc>
          <w:tcPr>
            <w:tcW w:w="1118" w:type="dxa"/>
            <w:noWrap w:val="0"/>
            <w:vAlign w:val="center"/>
          </w:tcPr>
          <w:p w14:paraId="0A8F1F37">
            <w:pPr>
              <w:pStyle w:val="1647"/>
              <w:keepNext w:val="0"/>
              <w:keepLines w:val="0"/>
              <w:pageBreakBefore w:val="0"/>
              <w:widowControl w:val="0"/>
              <w:kinsoku/>
              <w:wordWrap/>
              <w:overflowPunct/>
              <w:topLinePunct w:val="0"/>
              <w:autoSpaceDE/>
              <w:autoSpaceDN/>
              <w:bidi w:val="0"/>
              <w:adjustRightInd/>
              <w:snapToGrid/>
              <w:spacing w:before="172" w:line="236" w:lineRule="auto"/>
              <w:ind w:left="0" w:leftChars="0"/>
              <w:jc w:val="center"/>
              <w:textAlignment w:val="auto"/>
              <w:rPr>
                <w:rFonts w:hint="default" w:ascii="Times New Roman" w:hAnsi="Times New Roman" w:eastAsia="宋体" w:cs="Times New Roman"/>
                <w:color w:val="auto"/>
                <w:spacing w:val="-1"/>
                <w:kern w:val="2"/>
                <w:sz w:val="21"/>
                <w:szCs w:val="21"/>
                <w:highlight w:val="none"/>
                <w:u w:val="single"/>
                <w:lang w:val="en-US" w:eastAsia="zh-CN" w:bidi="ar-SA"/>
              </w:rPr>
            </w:pPr>
            <w:r>
              <w:rPr>
                <w:rFonts w:hint="default" w:ascii="Times New Roman" w:hAnsi="Times New Roman" w:eastAsia="宋体" w:cs="Times New Roman"/>
                <w:color w:val="auto"/>
                <w:spacing w:val="-1"/>
                <w:kern w:val="2"/>
                <w:sz w:val="21"/>
                <w:szCs w:val="21"/>
                <w:highlight w:val="none"/>
                <w:u w:val="single"/>
                <w:lang w:val="en-US" w:eastAsia="zh-CN" w:bidi="ar-SA"/>
              </w:rPr>
              <w:t>持平</w:t>
            </w:r>
          </w:p>
        </w:tc>
      </w:tr>
      <w:tr w14:paraId="70A4A4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3" w:hRule="atLeast"/>
          <w:jc w:val="center"/>
        </w:trPr>
        <w:tc>
          <w:tcPr>
            <w:tcW w:w="756" w:type="dxa"/>
            <w:noWrap w:val="0"/>
            <w:vAlign w:val="center"/>
          </w:tcPr>
          <w:p w14:paraId="159EAF8F">
            <w:pPr>
              <w:pStyle w:val="1647"/>
              <w:keepNext w:val="0"/>
              <w:keepLines w:val="0"/>
              <w:pageBreakBefore w:val="0"/>
              <w:widowControl w:val="0"/>
              <w:kinsoku/>
              <w:wordWrap/>
              <w:overflowPunct/>
              <w:topLinePunct w:val="0"/>
              <w:autoSpaceDE/>
              <w:autoSpaceDN/>
              <w:bidi w:val="0"/>
              <w:adjustRightInd/>
              <w:snapToGrid/>
              <w:spacing w:before="160" w:line="222"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武利江</w:t>
            </w:r>
          </w:p>
        </w:tc>
        <w:tc>
          <w:tcPr>
            <w:tcW w:w="2385" w:type="dxa"/>
            <w:noWrap w:val="0"/>
            <w:vAlign w:val="center"/>
          </w:tcPr>
          <w:p w14:paraId="44FAF2AB">
            <w:pPr>
              <w:pStyle w:val="1647"/>
              <w:keepNext w:val="0"/>
              <w:keepLines w:val="0"/>
              <w:pageBreakBefore w:val="0"/>
              <w:widowControl w:val="0"/>
              <w:kinsoku/>
              <w:wordWrap/>
              <w:overflowPunct/>
              <w:topLinePunct w:val="0"/>
              <w:autoSpaceDE/>
              <w:autoSpaceDN/>
              <w:bidi w:val="0"/>
              <w:adjustRightInd/>
              <w:snapToGrid/>
              <w:spacing w:before="160" w:line="221"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东边埇</w:t>
            </w:r>
          </w:p>
        </w:tc>
        <w:tc>
          <w:tcPr>
            <w:tcW w:w="1032" w:type="dxa"/>
            <w:noWrap w:val="0"/>
            <w:vAlign w:val="center"/>
          </w:tcPr>
          <w:p w14:paraId="1D592F75">
            <w:pPr>
              <w:pStyle w:val="1647"/>
              <w:keepNext w:val="0"/>
              <w:keepLines w:val="0"/>
              <w:pageBreakBefore w:val="0"/>
              <w:widowControl w:val="0"/>
              <w:kinsoku/>
              <w:wordWrap/>
              <w:overflowPunct/>
              <w:topLinePunct w:val="0"/>
              <w:autoSpaceDE/>
              <w:autoSpaceDN/>
              <w:bidi w:val="0"/>
              <w:adjustRightInd/>
              <w:snapToGrid/>
              <w:spacing w:before="161" w:line="236"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Ⅱ</w:t>
            </w:r>
          </w:p>
        </w:tc>
        <w:tc>
          <w:tcPr>
            <w:tcW w:w="555" w:type="dxa"/>
            <w:noWrap w:val="0"/>
            <w:vAlign w:val="center"/>
          </w:tcPr>
          <w:p w14:paraId="5732B826">
            <w:pPr>
              <w:pStyle w:val="1647"/>
              <w:keepNext w:val="0"/>
              <w:keepLines w:val="0"/>
              <w:pageBreakBefore w:val="0"/>
              <w:widowControl w:val="0"/>
              <w:kinsoku/>
              <w:wordWrap/>
              <w:overflowPunct/>
              <w:topLinePunct w:val="0"/>
              <w:autoSpaceDE/>
              <w:autoSpaceDN/>
              <w:bidi w:val="0"/>
              <w:adjustRightInd/>
              <w:snapToGrid/>
              <w:spacing w:before="161" w:line="236"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Ⅲ</w:t>
            </w:r>
          </w:p>
        </w:tc>
        <w:tc>
          <w:tcPr>
            <w:tcW w:w="560" w:type="dxa"/>
            <w:noWrap w:val="0"/>
            <w:vAlign w:val="center"/>
          </w:tcPr>
          <w:p w14:paraId="0FB09DA4">
            <w:pPr>
              <w:keepNext w:val="0"/>
              <w:keepLines w:val="0"/>
              <w:pageBreakBefore w:val="0"/>
              <w:widowControl w:val="0"/>
              <w:kinsoku/>
              <w:wordWrap/>
              <w:overflowPunct/>
              <w:topLinePunct w:val="0"/>
              <w:autoSpaceDE/>
              <w:autoSpaceDN/>
              <w:bidi w:val="0"/>
              <w:adjustRightInd/>
              <w:snapToGrid/>
              <w:spacing w:before="160" w:line="221"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eastAsia" w:ascii="Times New Roman" w:cs="Times New Roman"/>
                <w:color w:val="auto"/>
                <w:spacing w:val="-1"/>
                <w:kern w:val="2"/>
                <w:sz w:val="21"/>
                <w:szCs w:val="21"/>
                <w:highlight w:val="none"/>
                <w:lang w:val="en-US" w:eastAsia="zh-CN" w:bidi="ar-SA"/>
              </w:rPr>
              <w:t>良好</w:t>
            </w:r>
          </w:p>
        </w:tc>
        <w:tc>
          <w:tcPr>
            <w:tcW w:w="1113" w:type="dxa"/>
            <w:noWrap w:val="0"/>
            <w:vAlign w:val="center"/>
          </w:tcPr>
          <w:p w14:paraId="7EC5E45A">
            <w:pPr>
              <w:pStyle w:val="1647"/>
              <w:keepNext w:val="0"/>
              <w:keepLines w:val="0"/>
              <w:pageBreakBefore w:val="0"/>
              <w:widowControl w:val="0"/>
              <w:kinsoku/>
              <w:wordWrap/>
              <w:overflowPunct/>
              <w:topLinePunct w:val="0"/>
              <w:autoSpaceDE/>
              <w:autoSpaceDN/>
              <w:bidi w:val="0"/>
              <w:adjustRightInd/>
              <w:snapToGrid/>
              <w:spacing w:before="260" w:line="142" w:lineRule="exact"/>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w:t>
            </w:r>
          </w:p>
        </w:tc>
        <w:tc>
          <w:tcPr>
            <w:tcW w:w="1118" w:type="dxa"/>
            <w:noWrap w:val="0"/>
            <w:vAlign w:val="center"/>
          </w:tcPr>
          <w:p w14:paraId="25584C57">
            <w:pPr>
              <w:pStyle w:val="1647"/>
              <w:keepNext w:val="0"/>
              <w:keepLines w:val="0"/>
              <w:pageBreakBefore w:val="0"/>
              <w:widowControl w:val="0"/>
              <w:kinsoku/>
              <w:wordWrap/>
              <w:overflowPunct/>
              <w:topLinePunct w:val="0"/>
              <w:autoSpaceDE/>
              <w:autoSpaceDN/>
              <w:bidi w:val="0"/>
              <w:adjustRightInd/>
              <w:snapToGrid/>
              <w:spacing w:before="161" w:line="236" w:lineRule="auto"/>
              <w:ind w:left="0" w:leftChars="0"/>
              <w:jc w:val="center"/>
              <w:textAlignment w:val="auto"/>
              <w:rPr>
                <w:rFonts w:hint="default" w:ascii="Times New Roman" w:hAnsi="Times New Roman" w:eastAsia="宋体" w:cs="Times New Roman"/>
                <w:color w:val="auto"/>
                <w:spacing w:val="-1"/>
                <w:kern w:val="2"/>
                <w:sz w:val="21"/>
                <w:szCs w:val="21"/>
                <w:highlight w:val="none"/>
                <w:u w:val="single"/>
                <w:lang w:val="en-US" w:eastAsia="zh-CN" w:bidi="ar-SA"/>
              </w:rPr>
            </w:pPr>
            <w:r>
              <w:rPr>
                <w:rFonts w:hint="default" w:ascii="Times New Roman" w:hAnsi="Times New Roman" w:eastAsia="宋体" w:cs="Times New Roman"/>
                <w:color w:val="auto"/>
                <w:spacing w:val="-1"/>
                <w:kern w:val="2"/>
                <w:sz w:val="21"/>
                <w:szCs w:val="21"/>
                <w:highlight w:val="none"/>
                <w:u w:val="single"/>
                <w:lang w:val="en-US" w:eastAsia="zh-CN" w:bidi="ar-SA"/>
              </w:rPr>
              <w:t>Ⅲ</w:t>
            </w:r>
          </w:p>
        </w:tc>
        <w:tc>
          <w:tcPr>
            <w:tcW w:w="1118" w:type="dxa"/>
            <w:noWrap w:val="0"/>
            <w:vAlign w:val="center"/>
          </w:tcPr>
          <w:p w14:paraId="683DF5C2">
            <w:pPr>
              <w:pStyle w:val="1647"/>
              <w:keepNext w:val="0"/>
              <w:keepLines w:val="0"/>
              <w:pageBreakBefore w:val="0"/>
              <w:widowControl w:val="0"/>
              <w:kinsoku/>
              <w:wordWrap/>
              <w:overflowPunct/>
              <w:topLinePunct w:val="0"/>
              <w:autoSpaceDE/>
              <w:autoSpaceDN/>
              <w:bidi w:val="0"/>
              <w:adjustRightInd/>
              <w:snapToGrid/>
              <w:spacing w:before="172" w:line="236" w:lineRule="auto"/>
              <w:ind w:left="0" w:leftChars="0"/>
              <w:jc w:val="center"/>
              <w:textAlignment w:val="auto"/>
              <w:rPr>
                <w:rFonts w:hint="default" w:ascii="Times New Roman" w:hAnsi="Times New Roman" w:eastAsia="宋体" w:cs="Times New Roman"/>
                <w:color w:val="auto"/>
                <w:spacing w:val="-1"/>
                <w:kern w:val="2"/>
                <w:sz w:val="21"/>
                <w:szCs w:val="21"/>
                <w:highlight w:val="none"/>
                <w:u w:val="single"/>
                <w:lang w:val="en-US" w:eastAsia="zh-CN" w:bidi="ar-SA"/>
              </w:rPr>
            </w:pPr>
            <w:r>
              <w:rPr>
                <w:rFonts w:hint="default" w:ascii="Times New Roman" w:hAnsi="Times New Roman" w:eastAsia="宋体" w:cs="Times New Roman"/>
                <w:color w:val="auto"/>
                <w:spacing w:val="-1"/>
                <w:kern w:val="2"/>
                <w:sz w:val="21"/>
                <w:szCs w:val="21"/>
                <w:highlight w:val="none"/>
                <w:u w:val="single"/>
                <w:lang w:val="en-US" w:eastAsia="zh-CN" w:bidi="ar-SA"/>
              </w:rPr>
              <w:t>持平</w:t>
            </w:r>
          </w:p>
        </w:tc>
      </w:tr>
      <w:tr w14:paraId="6079D0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756" w:type="dxa"/>
            <w:noWrap w:val="0"/>
            <w:vAlign w:val="center"/>
          </w:tcPr>
          <w:p w14:paraId="5FE0C707">
            <w:pPr>
              <w:pStyle w:val="1647"/>
              <w:keepNext w:val="0"/>
              <w:keepLines w:val="0"/>
              <w:pageBreakBefore w:val="0"/>
              <w:widowControl w:val="0"/>
              <w:kinsoku/>
              <w:wordWrap/>
              <w:overflowPunct/>
              <w:topLinePunct w:val="0"/>
              <w:autoSpaceDE/>
              <w:autoSpaceDN/>
              <w:bidi w:val="0"/>
              <w:adjustRightInd/>
              <w:snapToGrid/>
              <w:spacing w:before="52" w:line="189"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武思江</w:t>
            </w:r>
          </w:p>
        </w:tc>
        <w:tc>
          <w:tcPr>
            <w:tcW w:w="2385" w:type="dxa"/>
            <w:noWrap w:val="0"/>
            <w:vAlign w:val="center"/>
          </w:tcPr>
          <w:p w14:paraId="36791F96">
            <w:pPr>
              <w:pStyle w:val="1647"/>
              <w:keepNext w:val="0"/>
              <w:keepLines w:val="0"/>
              <w:pageBreakBefore w:val="0"/>
              <w:widowControl w:val="0"/>
              <w:kinsoku/>
              <w:wordWrap/>
              <w:overflowPunct/>
              <w:topLinePunct w:val="0"/>
              <w:autoSpaceDE/>
              <w:autoSpaceDN/>
              <w:bidi w:val="0"/>
              <w:adjustRightInd/>
              <w:snapToGrid/>
              <w:spacing w:before="52" w:line="189"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甘村大桥</w:t>
            </w:r>
          </w:p>
        </w:tc>
        <w:tc>
          <w:tcPr>
            <w:tcW w:w="1032" w:type="dxa"/>
            <w:noWrap w:val="0"/>
            <w:vAlign w:val="center"/>
          </w:tcPr>
          <w:p w14:paraId="1B9CE1D4">
            <w:pPr>
              <w:pStyle w:val="1647"/>
              <w:keepNext w:val="0"/>
              <w:keepLines w:val="0"/>
              <w:pageBreakBefore w:val="0"/>
              <w:widowControl w:val="0"/>
              <w:kinsoku/>
              <w:wordWrap/>
              <w:overflowPunct/>
              <w:topLinePunct w:val="0"/>
              <w:autoSpaceDE/>
              <w:autoSpaceDN/>
              <w:bidi w:val="0"/>
              <w:adjustRightInd/>
              <w:snapToGrid/>
              <w:spacing w:before="52" w:line="189"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Ⅲ</w:t>
            </w:r>
          </w:p>
        </w:tc>
        <w:tc>
          <w:tcPr>
            <w:tcW w:w="555" w:type="dxa"/>
            <w:noWrap w:val="0"/>
            <w:vAlign w:val="center"/>
          </w:tcPr>
          <w:p w14:paraId="253A0E7D">
            <w:pPr>
              <w:pStyle w:val="1647"/>
              <w:keepNext w:val="0"/>
              <w:keepLines w:val="0"/>
              <w:pageBreakBefore w:val="0"/>
              <w:widowControl w:val="0"/>
              <w:kinsoku/>
              <w:wordWrap/>
              <w:overflowPunct/>
              <w:topLinePunct w:val="0"/>
              <w:autoSpaceDE/>
              <w:autoSpaceDN/>
              <w:bidi w:val="0"/>
              <w:adjustRightInd/>
              <w:snapToGrid/>
              <w:spacing w:before="52" w:line="189"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Ⅱ</w:t>
            </w:r>
          </w:p>
        </w:tc>
        <w:tc>
          <w:tcPr>
            <w:tcW w:w="560" w:type="dxa"/>
            <w:noWrap w:val="0"/>
            <w:vAlign w:val="center"/>
          </w:tcPr>
          <w:p w14:paraId="0431D3F1">
            <w:pPr>
              <w:keepNext w:val="0"/>
              <w:keepLines w:val="0"/>
              <w:pageBreakBefore w:val="0"/>
              <w:widowControl w:val="0"/>
              <w:kinsoku/>
              <w:wordWrap/>
              <w:overflowPunct/>
              <w:topLinePunct w:val="0"/>
              <w:autoSpaceDE/>
              <w:autoSpaceDN/>
              <w:bidi w:val="0"/>
              <w:adjustRightInd/>
              <w:snapToGrid/>
              <w:spacing w:before="52" w:line="189"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优</w:t>
            </w:r>
          </w:p>
        </w:tc>
        <w:tc>
          <w:tcPr>
            <w:tcW w:w="1113" w:type="dxa"/>
            <w:noWrap w:val="0"/>
            <w:vAlign w:val="center"/>
          </w:tcPr>
          <w:p w14:paraId="61F86FE6">
            <w:pPr>
              <w:pStyle w:val="1647"/>
              <w:keepNext w:val="0"/>
              <w:keepLines w:val="0"/>
              <w:pageBreakBefore w:val="0"/>
              <w:widowControl w:val="0"/>
              <w:kinsoku/>
              <w:wordWrap/>
              <w:overflowPunct/>
              <w:topLinePunct w:val="0"/>
              <w:autoSpaceDE/>
              <w:autoSpaceDN/>
              <w:bidi w:val="0"/>
              <w:adjustRightInd/>
              <w:snapToGrid/>
              <w:spacing w:before="151" w:line="115" w:lineRule="exact"/>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w:t>
            </w:r>
          </w:p>
        </w:tc>
        <w:tc>
          <w:tcPr>
            <w:tcW w:w="1118" w:type="dxa"/>
            <w:noWrap w:val="0"/>
            <w:vAlign w:val="center"/>
          </w:tcPr>
          <w:p w14:paraId="108F527E">
            <w:pPr>
              <w:pStyle w:val="1647"/>
              <w:keepNext w:val="0"/>
              <w:keepLines w:val="0"/>
              <w:pageBreakBefore w:val="0"/>
              <w:widowControl w:val="0"/>
              <w:kinsoku/>
              <w:wordWrap/>
              <w:overflowPunct/>
              <w:topLinePunct w:val="0"/>
              <w:autoSpaceDE/>
              <w:autoSpaceDN/>
              <w:bidi w:val="0"/>
              <w:adjustRightInd/>
              <w:snapToGrid/>
              <w:spacing w:before="52" w:line="189" w:lineRule="auto"/>
              <w:ind w:left="0" w:leftChars="0"/>
              <w:jc w:val="center"/>
              <w:textAlignment w:val="auto"/>
              <w:rPr>
                <w:rFonts w:hint="default" w:ascii="Times New Roman" w:hAnsi="Times New Roman" w:eastAsia="宋体" w:cs="Times New Roman"/>
                <w:color w:val="auto"/>
                <w:spacing w:val="-1"/>
                <w:kern w:val="2"/>
                <w:sz w:val="21"/>
                <w:szCs w:val="21"/>
                <w:highlight w:val="none"/>
                <w:u w:val="single"/>
                <w:lang w:val="en-US" w:eastAsia="zh-CN" w:bidi="ar-SA"/>
              </w:rPr>
            </w:pPr>
            <w:r>
              <w:rPr>
                <w:rFonts w:hint="default" w:ascii="Times New Roman" w:hAnsi="Times New Roman" w:eastAsia="宋体" w:cs="Times New Roman"/>
                <w:color w:val="auto"/>
                <w:spacing w:val="-1"/>
                <w:kern w:val="2"/>
                <w:sz w:val="21"/>
                <w:szCs w:val="21"/>
                <w:highlight w:val="none"/>
                <w:u w:val="single"/>
                <w:lang w:val="en-US" w:eastAsia="zh-CN" w:bidi="ar-SA"/>
              </w:rPr>
              <w:t>Ⅱ</w:t>
            </w:r>
          </w:p>
        </w:tc>
        <w:tc>
          <w:tcPr>
            <w:tcW w:w="1118" w:type="dxa"/>
            <w:noWrap w:val="0"/>
            <w:vAlign w:val="center"/>
          </w:tcPr>
          <w:p w14:paraId="776D269F">
            <w:pPr>
              <w:pStyle w:val="1647"/>
              <w:keepNext w:val="0"/>
              <w:keepLines w:val="0"/>
              <w:pageBreakBefore w:val="0"/>
              <w:widowControl w:val="0"/>
              <w:kinsoku/>
              <w:wordWrap/>
              <w:overflowPunct/>
              <w:topLinePunct w:val="0"/>
              <w:autoSpaceDE/>
              <w:autoSpaceDN/>
              <w:bidi w:val="0"/>
              <w:adjustRightInd/>
              <w:snapToGrid/>
              <w:spacing w:before="172" w:line="236" w:lineRule="auto"/>
              <w:ind w:left="0" w:leftChars="0"/>
              <w:jc w:val="center"/>
              <w:textAlignment w:val="auto"/>
              <w:rPr>
                <w:rFonts w:hint="default" w:ascii="Times New Roman" w:hAnsi="Times New Roman" w:eastAsia="宋体" w:cs="Times New Roman"/>
                <w:color w:val="auto"/>
                <w:spacing w:val="-1"/>
                <w:kern w:val="2"/>
                <w:sz w:val="21"/>
                <w:szCs w:val="21"/>
                <w:highlight w:val="none"/>
                <w:u w:val="single"/>
                <w:lang w:val="en-US" w:eastAsia="zh-CN" w:bidi="ar-SA"/>
              </w:rPr>
            </w:pPr>
            <w:r>
              <w:rPr>
                <w:rFonts w:hint="default" w:ascii="Times New Roman" w:hAnsi="Times New Roman" w:eastAsia="宋体" w:cs="Times New Roman"/>
                <w:color w:val="auto"/>
                <w:spacing w:val="-1"/>
                <w:kern w:val="2"/>
                <w:sz w:val="21"/>
                <w:szCs w:val="21"/>
                <w:highlight w:val="none"/>
                <w:u w:val="single"/>
                <w:lang w:val="en-US" w:eastAsia="zh-CN" w:bidi="ar-SA"/>
              </w:rPr>
              <w:t>持平</w:t>
            </w:r>
          </w:p>
        </w:tc>
      </w:tr>
      <w:tr w14:paraId="61C080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756" w:type="dxa"/>
            <w:noWrap w:val="0"/>
            <w:vAlign w:val="center"/>
          </w:tcPr>
          <w:p w14:paraId="2FF338FE">
            <w:pPr>
              <w:pStyle w:val="1647"/>
              <w:keepNext w:val="0"/>
              <w:keepLines w:val="0"/>
              <w:pageBreakBefore w:val="0"/>
              <w:widowControl w:val="0"/>
              <w:kinsoku/>
              <w:wordWrap/>
              <w:overflowPunct/>
              <w:topLinePunct w:val="0"/>
              <w:autoSpaceDE/>
              <w:autoSpaceDN/>
              <w:bidi w:val="0"/>
              <w:adjustRightInd/>
              <w:snapToGrid/>
              <w:spacing w:before="177" w:line="221"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洪潮江水库</w:t>
            </w:r>
          </w:p>
        </w:tc>
        <w:tc>
          <w:tcPr>
            <w:tcW w:w="2385" w:type="dxa"/>
            <w:noWrap w:val="0"/>
            <w:vAlign w:val="center"/>
          </w:tcPr>
          <w:p w14:paraId="123B05BF">
            <w:pPr>
              <w:pStyle w:val="1647"/>
              <w:keepNext w:val="0"/>
              <w:keepLines w:val="0"/>
              <w:pageBreakBefore w:val="0"/>
              <w:widowControl w:val="0"/>
              <w:kinsoku/>
              <w:wordWrap/>
              <w:overflowPunct/>
              <w:topLinePunct w:val="0"/>
              <w:autoSpaceDE/>
              <w:autoSpaceDN/>
              <w:bidi w:val="0"/>
              <w:adjustRightInd/>
              <w:snapToGrid/>
              <w:spacing w:before="177" w:line="220" w:lineRule="auto"/>
              <w:ind w:left="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洪潮江水库（钦州）</w:t>
            </w:r>
          </w:p>
        </w:tc>
        <w:tc>
          <w:tcPr>
            <w:tcW w:w="1032" w:type="dxa"/>
            <w:noWrap w:val="0"/>
            <w:vAlign w:val="center"/>
          </w:tcPr>
          <w:p w14:paraId="7DCF75AB">
            <w:pPr>
              <w:pStyle w:val="1647"/>
              <w:keepNext w:val="0"/>
              <w:keepLines w:val="0"/>
              <w:pageBreakBefore w:val="0"/>
              <w:widowControl w:val="0"/>
              <w:kinsoku/>
              <w:wordWrap/>
              <w:overflowPunct/>
              <w:topLinePunct w:val="0"/>
              <w:autoSpaceDE/>
              <w:autoSpaceDN/>
              <w:bidi w:val="0"/>
              <w:adjustRightInd/>
              <w:snapToGrid/>
              <w:spacing w:before="178" w:line="236"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Ⅲ</w:t>
            </w:r>
          </w:p>
        </w:tc>
        <w:tc>
          <w:tcPr>
            <w:tcW w:w="555" w:type="dxa"/>
            <w:noWrap w:val="0"/>
            <w:vAlign w:val="center"/>
          </w:tcPr>
          <w:p w14:paraId="4D1326BC">
            <w:pPr>
              <w:pStyle w:val="1647"/>
              <w:keepNext w:val="0"/>
              <w:keepLines w:val="0"/>
              <w:pageBreakBefore w:val="0"/>
              <w:widowControl w:val="0"/>
              <w:kinsoku/>
              <w:wordWrap/>
              <w:overflowPunct/>
              <w:topLinePunct w:val="0"/>
              <w:autoSpaceDE/>
              <w:autoSpaceDN/>
              <w:bidi w:val="0"/>
              <w:adjustRightInd/>
              <w:snapToGrid/>
              <w:spacing w:before="178" w:line="236"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Ⅱ</w:t>
            </w:r>
          </w:p>
        </w:tc>
        <w:tc>
          <w:tcPr>
            <w:tcW w:w="560" w:type="dxa"/>
            <w:noWrap w:val="0"/>
            <w:vAlign w:val="center"/>
          </w:tcPr>
          <w:p w14:paraId="37C78D32">
            <w:pPr>
              <w:pStyle w:val="1647"/>
              <w:keepNext w:val="0"/>
              <w:keepLines w:val="0"/>
              <w:pageBreakBefore w:val="0"/>
              <w:widowControl w:val="0"/>
              <w:kinsoku/>
              <w:wordWrap/>
              <w:overflowPunct/>
              <w:topLinePunct w:val="0"/>
              <w:autoSpaceDE/>
              <w:autoSpaceDN/>
              <w:bidi w:val="0"/>
              <w:adjustRightInd/>
              <w:snapToGrid/>
              <w:spacing w:before="177" w:line="221" w:lineRule="auto"/>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优</w:t>
            </w:r>
          </w:p>
        </w:tc>
        <w:tc>
          <w:tcPr>
            <w:tcW w:w="1113" w:type="dxa"/>
            <w:noWrap w:val="0"/>
            <w:vAlign w:val="center"/>
          </w:tcPr>
          <w:p w14:paraId="0127A086">
            <w:pPr>
              <w:pStyle w:val="1647"/>
              <w:keepNext w:val="0"/>
              <w:keepLines w:val="0"/>
              <w:pageBreakBefore w:val="0"/>
              <w:widowControl w:val="0"/>
              <w:kinsoku/>
              <w:wordWrap/>
              <w:overflowPunct/>
              <w:topLinePunct w:val="0"/>
              <w:autoSpaceDE/>
              <w:autoSpaceDN/>
              <w:bidi w:val="0"/>
              <w:adjustRightInd/>
              <w:snapToGrid/>
              <w:spacing w:before="277" w:line="143" w:lineRule="exact"/>
              <w:ind w:left="0" w:leftChars="0"/>
              <w:jc w:val="center"/>
              <w:textAlignment w:val="auto"/>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eastAsia="宋体" w:cs="Times New Roman"/>
                <w:color w:val="auto"/>
                <w:spacing w:val="-1"/>
                <w:kern w:val="2"/>
                <w:sz w:val="21"/>
                <w:szCs w:val="21"/>
                <w:highlight w:val="none"/>
                <w:lang w:val="en-US" w:eastAsia="zh-CN" w:bidi="ar-SA"/>
              </w:rPr>
              <w:t>——</w:t>
            </w:r>
          </w:p>
        </w:tc>
        <w:tc>
          <w:tcPr>
            <w:tcW w:w="1118" w:type="dxa"/>
            <w:noWrap w:val="0"/>
            <w:vAlign w:val="center"/>
          </w:tcPr>
          <w:p w14:paraId="2754A9B8">
            <w:pPr>
              <w:pStyle w:val="1647"/>
              <w:keepNext w:val="0"/>
              <w:keepLines w:val="0"/>
              <w:pageBreakBefore w:val="0"/>
              <w:widowControl w:val="0"/>
              <w:kinsoku/>
              <w:wordWrap/>
              <w:overflowPunct/>
              <w:topLinePunct w:val="0"/>
              <w:autoSpaceDE/>
              <w:autoSpaceDN/>
              <w:bidi w:val="0"/>
              <w:adjustRightInd/>
              <w:snapToGrid/>
              <w:spacing w:before="178" w:line="236" w:lineRule="auto"/>
              <w:ind w:left="0" w:leftChars="0"/>
              <w:jc w:val="center"/>
              <w:textAlignment w:val="auto"/>
              <w:rPr>
                <w:rFonts w:hint="default" w:ascii="Times New Roman" w:hAnsi="Times New Roman" w:eastAsia="宋体" w:cs="Times New Roman"/>
                <w:color w:val="auto"/>
                <w:spacing w:val="-1"/>
                <w:kern w:val="2"/>
                <w:sz w:val="21"/>
                <w:szCs w:val="21"/>
                <w:highlight w:val="none"/>
                <w:u w:val="single"/>
                <w:lang w:val="en-US" w:eastAsia="zh-CN" w:bidi="ar-SA"/>
              </w:rPr>
            </w:pPr>
            <w:r>
              <w:rPr>
                <w:rFonts w:hint="default" w:ascii="Times New Roman" w:hAnsi="Times New Roman" w:eastAsia="宋体" w:cs="Times New Roman"/>
                <w:color w:val="auto"/>
                <w:spacing w:val="-1"/>
                <w:kern w:val="2"/>
                <w:sz w:val="21"/>
                <w:szCs w:val="21"/>
                <w:highlight w:val="none"/>
                <w:u w:val="single"/>
                <w:lang w:val="en-US" w:eastAsia="zh-CN" w:bidi="ar-SA"/>
              </w:rPr>
              <w:t>Ⅱ</w:t>
            </w:r>
          </w:p>
        </w:tc>
        <w:tc>
          <w:tcPr>
            <w:tcW w:w="1118" w:type="dxa"/>
            <w:noWrap w:val="0"/>
            <w:vAlign w:val="center"/>
          </w:tcPr>
          <w:p w14:paraId="379FA431">
            <w:pPr>
              <w:pStyle w:val="1647"/>
              <w:keepNext w:val="0"/>
              <w:keepLines w:val="0"/>
              <w:pageBreakBefore w:val="0"/>
              <w:widowControl w:val="0"/>
              <w:kinsoku/>
              <w:wordWrap/>
              <w:overflowPunct/>
              <w:topLinePunct w:val="0"/>
              <w:autoSpaceDE/>
              <w:autoSpaceDN/>
              <w:bidi w:val="0"/>
              <w:adjustRightInd/>
              <w:snapToGrid/>
              <w:spacing w:before="172" w:line="236" w:lineRule="auto"/>
              <w:ind w:left="0" w:leftChars="0"/>
              <w:jc w:val="center"/>
              <w:textAlignment w:val="auto"/>
              <w:rPr>
                <w:rFonts w:hint="default" w:ascii="Times New Roman" w:hAnsi="Times New Roman" w:eastAsia="宋体" w:cs="Times New Roman"/>
                <w:color w:val="auto"/>
                <w:spacing w:val="-1"/>
                <w:kern w:val="2"/>
                <w:sz w:val="21"/>
                <w:szCs w:val="21"/>
                <w:highlight w:val="none"/>
                <w:u w:val="single"/>
                <w:lang w:val="en-US" w:eastAsia="zh-CN" w:bidi="ar-SA"/>
              </w:rPr>
            </w:pPr>
            <w:r>
              <w:rPr>
                <w:rFonts w:hint="default" w:ascii="Times New Roman" w:hAnsi="Times New Roman" w:eastAsia="宋体" w:cs="Times New Roman"/>
                <w:color w:val="auto"/>
                <w:spacing w:val="-1"/>
                <w:kern w:val="2"/>
                <w:sz w:val="21"/>
                <w:szCs w:val="21"/>
                <w:highlight w:val="none"/>
                <w:u w:val="single"/>
                <w:lang w:val="en-US" w:eastAsia="zh-CN" w:bidi="ar-SA"/>
              </w:rPr>
              <w:t>持平</w:t>
            </w:r>
          </w:p>
        </w:tc>
      </w:tr>
    </w:tbl>
    <w:p w14:paraId="7173DCA9">
      <w:pPr>
        <w:pStyle w:val="5"/>
        <w:numPr>
          <w:ilvl w:val="2"/>
          <w:numId w:val="40"/>
        </w:numPr>
        <w:bidi w:val="0"/>
        <w:ind w:left="452" w:leftChars="0" w:firstLine="0" w:firstLineChars="0"/>
        <w:rPr>
          <w:rFonts w:hint="default"/>
          <w:color w:val="auto"/>
          <w:highlight w:val="none"/>
        </w:rPr>
      </w:pPr>
      <w:r>
        <w:rPr>
          <w:rFonts w:hint="default"/>
          <w:color w:val="auto"/>
          <w:highlight w:val="none"/>
        </w:rPr>
        <w:t>水质补充监测</w:t>
      </w:r>
    </w:p>
    <w:p w14:paraId="582B453B">
      <w:pPr>
        <w:pStyle w:val="20"/>
        <w:spacing w:line="500" w:lineRule="exact"/>
        <w:ind w:firstLine="442" w:firstLineChars="2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为了解项目所在区域地表水环境质量状况，建设单位委托广西恒沁检测科技有限公司于2024年12月7日至12月9日对项目所在地的地表水进行监测。</w:t>
      </w:r>
    </w:p>
    <w:p w14:paraId="237356CA">
      <w:pPr>
        <w:pStyle w:val="6"/>
        <w:numPr>
          <w:ilvl w:val="3"/>
          <w:numId w:val="40"/>
        </w:numPr>
        <w:bidi w:val="0"/>
        <w:ind w:left="0" w:leftChars="0" w:firstLine="0" w:firstLineChars="0"/>
        <w:rPr>
          <w:rFonts w:hint="default"/>
          <w:color w:val="auto"/>
          <w:highlight w:val="none"/>
        </w:rPr>
      </w:pPr>
      <w:r>
        <w:rPr>
          <w:rFonts w:hint="default"/>
          <w:color w:val="auto"/>
          <w:highlight w:val="none"/>
        </w:rPr>
        <w:t>监测断面</w:t>
      </w:r>
    </w:p>
    <w:p w14:paraId="7AA2F756">
      <w:pPr>
        <w:pStyle w:val="20"/>
        <w:spacing w:line="500" w:lineRule="exact"/>
        <w:ind w:firstLine="44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本次评价共设3个地表水监测断面，监测断面基本情况见下表。</w:t>
      </w:r>
    </w:p>
    <w:p w14:paraId="72E32A1B">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r>
        <w:rPr>
          <w:rFonts w:hint="default"/>
          <w:color w:val="auto"/>
          <w:highlight w:val="none"/>
        </w:rPr>
        <w:t>地表水环境质量现状监测点位基本情况</w:t>
      </w:r>
    </w:p>
    <w:tbl>
      <w:tblPr>
        <w:tblStyle w:val="87"/>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23"/>
        <w:gridCol w:w="1417"/>
        <w:gridCol w:w="2850"/>
        <w:gridCol w:w="1726"/>
        <w:gridCol w:w="1678"/>
      </w:tblGrid>
      <w:tr w14:paraId="50269A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23" w:type="dxa"/>
            <w:noWrap w:val="0"/>
            <w:vAlign w:val="center"/>
          </w:tcPr>
          <w:p w14:paraId="2C5482CC">
            <w:pPr>
              <w:pStyle w:val="698"/>
              <w:widowControl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编号</w:t>
            </w:r>
          </w:p>
        </w:tc>
        <w:tc>
          <w:tcPr>
            <w:tcW w:w="1417" w:type="dxa"/>
            <w:noWrap w:val="0"/>
            <w:vAlign w:val="center"/>
          </w:tcPr>
          <w:p w14:paraId="6FB1865F">
            <w:pPr>
              <w:pStyle w:val="698"/>
              <w:widowControl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河流</w:t>
            </w:r>
          </w:p>
        </w:tc>
        <w:tc>
          <w:tcPr>
            <w:tcW w:w="2850" w:type="dxa"/>
            <w:noWrap w:val="0"/>
            <w:vAlign w:val="center"/>
          </w:tcPr>
          <w:p w14:paraId="50F8039E">
            <w:pPr>
              <w:pStyle w:val="698"/>
              <w:widowControl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断面位置</w:t>
            </w:r>
          </w:p>
        </w:tc>
        <w:tc>
          <w:tcPr>
            <w:tcW w:w="1726" w:type="dxa"/>
            <w:noWrap w:val="0"/>
            <w:vAlign w:val="center"/>
          </w:tcPr>
          <w:p w14:paraId="611FEE2D">
            <w:pPr>
              <w:pStyle w:val="698"/>
              <w:widowControl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设置目的</w:t>
            </w:r>
          </w:p>
        </w:tc>
        <w:tc>
          <w:tcPr>
            <w:tcW w:w="1678" w:type="dxa"/>
            <w:noWrap w:val="0"/>
            <w:vAlign w:val="center"/>
          </w:tcPr>
          <w:p w14:paraId="02F01301">
            <w:pPr>
              <w:pStyle w:val="698"/>
              <w:widowControl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监测类型</w:t>
            </w:r>
          </w:p>
        </w:tc>
      </w:tr>
      <w:tr w14:paraId="5360C7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23" w:type="dxa"/>
            <w:noWrap w:val="0"/>
            <w:vAlign w:val="center"/>
          </w:tcPr>
          <w:p w14:paraId="0C265D68">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bCs/>
                <w:color w:val="auto"/>
                <w:sz w:val="21"/>
                <w:szCs w:val="21"/>
                <w:highlight w:val="none"/>
              </w:rPr>
              <w:t>W1</w:t>
            </w:r>
          </w:p>
        </w:tc>
        <w:tc>
          <w:tcPr>
            <w:tcW w:w="1417" w:type="dxa"/>
            <w:vMerge w:val="restart"/>
            <w:noWrap w:val="0"/>
            <w:vAlign w:val="center"/>
          </w:tcPr>
          <w:p w14:paraId="7FD02E58">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bCs/>
                <w:color w:val="auto"/>
                <w:sz w:val="21"/>
                <w:szCs w:val="21"/>
                <w:highlight w:val="none"/>
                <w:lang w:val="en-US" w:eastAsia="zh-CN"/>
              </w:rPr>
              <w:t>淡水湾江</w:t>
            </w:r>
          </w:p>
        </w:tc>
        <w:tc>
          <w:tcPr>
            <w:tcW w:w="2850" w:type="dxa"/>
            <w:noWrap w:val="0"/>
            <w:vAlign w:val="center"/>
          </w:tcPr>
          <w:p w14:paraId="7A5D93EF">
            <w:pPr>
              <w:pStyle w:val="20"/>
              <w:ind w:firstLine="0" w:firstLineChars="0"/>
              <w:jc w:val="center"/>
              <w:rPr>
                <w:rFonts w:hint="default" w:ascii="Times New Roman" w:hAnsi="Times New Roman" w:cs="Times New Roman"/>
                <w:color w:val="auto"/>
                <w:highlight w:val="none"/>
              </w:rPr>
            </w:pPr>
            <w:r>
              <w:rPr>
                <w:rFonts w:hint="default" w:ascii="Times New Roman" w:hAnsi="Times New Roman" w:eastAsia="宋体" w:cs="Times New Roman"/>
                <w:color w:val="auto"/>
                <w:sz w:val="21"/>
                <w:szCs w:val="21"/>
                <w:highlight w:val="none"/>
                <w:lang w:val="en-US" w:eastAsia="zh-CN"/>
              </w:rPr>
              <w:t>项目上游500m</w:t>
            </w:r>
          </w:p>
        </w:tc>
        <w:tc>
          <w:tcPr>
            <w:tcW w:w="1726" w:type="dxa"/>
            <w:noWrap w:val="0"/>
            <w:vAlign w:val="center"/>
          </w:tcPr>
          <w:p w14:paraId="0EAA82AF">
            <w:pPr>
              <w:pStyle w:val="698"/>
              <w:widowControl w:val="0"/>
              <w:rPr>
                <w:rFonts w:hint="default" w:ascii="Times New Roman" w:hAnsi="Times New Roman" w:cs="Times New Roman"/>
                <w:color w:val="auto"/>
                <w:highlight w:val="none"/>
              </w:rPr>
            </w:pPr>
            <w:r>
              <w:rPr>
                <w:rFonts w:hint="default" w:ascii="Times New Roman" w:hAnsi="Times New Roman" w:cs="Times New Roman"/>
                <w:color w:val="auto"/>
                <w:highlight w:val="none"/>
              </w:rPr>
              <w:t>对照断面</w:t>
            </w:r>
          </w:p>
        </w:tc>
        <w:tc>
          <w:tcPr>
            <w:tcW w:w="1678" w:type="dxa"/>
            <w:noWrap w:val="0"/>
            <w:vAlign w:val="center"/>
          </w:tcPr>
          <w:p w14:paraId="2E60D278">
            <w:pPr>
              <w:pStyle w:val="698"/>
              <w:widowControl w:val="0"/>
              <w:rPr>
                <w:rFonts w:hint="default" w:ascii="Times New Roman" w:hAnsi="Times New Roman" w:cs="Times New Roman"/>
                <w:color w:val="auto"/>
                <w:highlight w:val="none"/>
              </w:rPr>
            </w:pPr>
            <w:r>
              <w:rPr>
                <w:rFonts w:hint="default" w:ascii="Times New Roman" w:hAnsi="Times New Roman" w:cs="Times New Roman"/>
                <w:color w:val="auto"/>
                <w:highlight w:val="none"/>
              </w:rPr>
              <w:t>水质监测</w:t>
            </w:r>
          </w:p>
        </w:tc>
      </w:tr>
      <w:tr w14:paraId="6E55AC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23" w:type="dxa"/>
            <w:noWrap w:val="0"/>
            <w:vAlign w:val="center"/>
          </w:tcPr>
          <w:p w14:paraId="4F32CB26">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bCs/>
                <w:color w:val="auto"/>
                <w:sz w:val="21"/>
                <w:szCs w:val="21"/>
                <w:highlight w:val="none"/>
              </w:rPr>
              <w:t>W2</w:t>
            </w:r>
          </w:p>
        </w:tc>
        <w:tc>
          <w:tcPr>
            <w:tcW w:w="1417" w:type="dxa"/>
            <w:vMerge w:val="continue"/>
            <w:noWrap w:val="0"/>
            <w:vAlign w:val="center"/>
          </w:tcPr>
          <w:p w14:paraId="16765080">
            <w:pPr>
              <w:adjustRightInd w:val="0"/>
              <w:snapToGrid w:val="0"/>
              <w:jc w:val="center"/>
              <w:rPr>
                <w:rFonts w:hint="default" w:ascii="Times New Roman" w:hAnsi="Times New Roman" w:cs="Times New Roman"/>
                <w:color w:val="auto"/>
                <w:highlight w:val="none"/>
              </w:rPr>
            </w:pPr>
          </w:p>
        </w:tc>
        <w:tc>
          <w:tcPr>
            <w:tcW w:w="2850" w:type="dxa"/>
            <w:noWrap w:val="0"/>
            <w:vAlign w:val="center"/>
          </w:tcPr>
          <w:p w14:paraId="327DBE5E">
            <w:pPr>
              <w:adjustRightInd w:val="0"/>
              <w:snapToGrid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sz w:val="21"/>
                <w:szCs w:val="21"/>
                <w:highlight w:val="none"/>
                <w:lang w:val="en-US" w:eastAsia="zh-CN"/>
              </w:rPr>
              <w:t>项目所在位置</w:t>
            </w:r>
          </w:p>
        </w:tc>
        <w:tc>
          <w:tcPr>
            <w:tcW w:w="1726" w:type="dxa"/>
            <w:noWrap w:val="0"/>
            <w:vAlign w:val="center"/>
          </w:tcPr>
          <w:p w14:paraId="56C5DC9A">
            <w:pPr>
              <w:pStyle w:val="698"/>
              <w:widowControl w:val="0"/>
              <w:rPr>
                <w:rFonts w:hint="default" w:ascii="Times New Roman" w:hAnsi="Times New Roman" w:cs="Times New Roman"/>
                <w:color w:val="auto"/>
                <w:highlight w:val="none"/>
              </w:rPr>
            </w:pPr>
            <w:r>
              <w:rPr>
                <w:rFonts w:hint="default" w:ascii="Times New Roman" w:hAnsi="Times New Roman" w:cs="Times New Roman"/>
                <w:color w:val="auto"/>
                <w:highlight w:val="none"/>
              </w:rPr>
              <w:t>控制断面</w:t>
            </w:r>
          </w:p>
        </w:tc>
        <w:tc>
          <w:tcPr>
            <w:tcW w:w="1678" w:type="dxa"/>
            <w:noWrap w:val="0"/>
            <w:vAlign w:val="center"/>
          </w:tcPr>
          <w:p w14:paraId="07C6E93E">
            <w:pPr>
              <w:pStyle w:val="698"/>
              <w:widowControl w:val="0"/>
              <w:rPr>
                <w:rFonts w:hint="default" w:ascii="Times New Roman" w:hAnsi="Times New Roman" w:cs="Times New Roman"/>
                <w:color w:val="auto"/>
                <w:highlight w:val="none"/>
              </w:rPr>
            </w:pPr>
            <w:r>
              <w:rPr>
                <w:rFonts w:hint="default" w:ascii="Times New Roman" w:hAnsi="Times New Roman" w:cs="Times New Roman"/>
                <w:color w:val="auto"/>
                <w:highlight w:val="none"/>
              </w:rPr>
              <w:t>水质监测</w:t>
            </w:r>
          </w:p>
        </w:tc>
      </w:tr>
      <w:tr w14:paraId="30AC93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23" w:type="dxa"/>
            <w:noWrap w:val="0"/>
            <w:vAlign w:val="center"/>
          </w:tcPr>
          <w:p w14:paraId="4ACBF46F">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bCs/>
                <w:color w:val="auto"/>
                <w:sz w:val="21"/>
                <w:szCs w:val="21"/>
                <w:highlight w:val="none"/>
              </w:rPr>
              <w:t>W3</w:t>
            </w:r>
          </w:p>
        </w:tc>
        <w:tc>
          <w:tcPr>
            <w:tcW w:w="1417" w:type="dxa"/>
            <w:vMerge w:val="continue"/>
            <w:noWrap w:val="0"/>
            <w:vAlign w:val="center"/>
          </w:tcPr>
          <w:p w14:paraId="7ED707D4">
            <w:pPr>
              <w:adjustRightInd w:val="0"/>
              <w:snapToGrid w:val="0"/>
              <w:jc w:val="center"/>
              <w:rPr>
                <w:rFonts w:hint="default" w:ascii="Times New Roman" w:hAnsi="Times New Roman" w:cs="Times New Roman"/>
                <w:color w:val="auto"/>
                <w:highlight w:val="none"/>
              </w:rPr>
            </w:pPr>
          </w:p>
        </w:tc>
        <w:tc>
          <w:tcPr>
            <w:tcW w:w="2850" w:type="dxa"/>
            <w:noWrap w:val="0"/>
            <w:vAlign w:val="center"/>
          </w:tcPr>
          <w:p w14:paraId="15954E14">
            <w:pPr>
              <w:adjustRightInd w:val="0"/>
              <w:snapToGrid w:val="0"/>
              <w:jc w:val="center"/>
              <w:rPr>
                <w:rFonts w:hint="default" w:ascii="Times New Roman" w:hAnsi="Times New Roman" w:cs="Times New Roman"/>
                <w:color w:val="auto"/>
                <w:highlight w:val="none"/>
              </w:rPr>
            </w:pPr>
            <w:r>
              <w:rPr>
                <w:rFonts w:hint="default" w:ascii="Times New Roman" w:hAnsi="Times New Roman" w:eastAsia="宋体" w:cs="Times New Roman"/>
                <w:color w:val="auto"/>
                <w:sz w:val="21"/>
                <w:szCs w:val="21"/>
                <w:highlight w:val="none"/>
                <w:lang w:val="en-US" w:eastAsia="zh-CN"/>
              </w:rPr>
              <w:t>项目下游交汇处</w:t>
            </w:r>
          </w:p>
        </w:tc>
        <w:tc>
          <w:tcPr>
            <w:tcW w:w="1726" w:type="dxa"/>
            <w:noWrap w:val="0"/>
            <w:vAlign w:val="center"/>
          </w:tcPr>
          <w:p w14:paraId="02142801">
            <w:pPr>
              <w:pStyle w:val="698"/>
              <w:widowControl w:val="0"/>
              <w:rPr>
                <w:rFonts w:hint="default" w:ascii="Times New Roman" w:hAnsi="Times New Roman" w:cs="Times New Roman"/>
                <w:color w:val="auto"/>
                <w:highlight w:val="none"/>
              </w:rPr>
            </w:pPr>
            <w:r>
              <w:rPr>
                <w:rFonts w:hint="default" w:ascii="Times New Roman" w:hAnsi="Times New Roman" w:cs="Times New Roman"/>
                <w:color w:val="auto"/>
                <w:highlight w:val="none"/>
              </w:rPr>
              <w:t>削减断面</w:t>
            </w:r>
          </w:p>
        </w:tc>
        <w:tc>
          <w:tcPr>
            <w:tcW w:w="1678" w:type="dxa"/>
            <w:noWrap w:val="0"/>
            <w:vAlign w:val="center"/>
          </w:tcPr>
          <w:p w14:paraId="606D6E82">
            <w:pPr>
              <w:pStyle w:val="698"/>
              <w:widowControl w:val="0"/>
              <w:rPr>
                <w:rFonts w:hint="default" w:ascii="Times New Roman" w:hAnsi="Times New Roman" w:cs="Times New Roman"/>
                <w:color w:val="auto"/>
                <w:highlight w:val="none"/>
              </w:rPr>
            </w:pPr>
            <w:r>
              <w:rPr>
                <w:rFonts w:hint="default" w:ascii="Times New Roman" w:hAnsi="Times New Roman" w:cs="Times New Roman"/>
                <w:color w:val="auto"/>
                <w:highlight w:val="none"/>
              </w:rPr>
              <w:t>水质监测</w:t>
            </w:r>
          </w:p>
        </w:tc>
      </w:tr>
    </w:tbl>
    <w:p w14:paraId="38EE09E4">
      <w:pPr>
        <w:pStyle w:val="6"/>
        <w:numPr>
          <w:ilvl w:val="3"/>
          <w:numId w:val="40"/>
        </w:numPr>
        <w:bidi w:val="0"/>
        <w:ind w:left="0" w:leftChars="0" w:firstLine="0" w:firstLineChars="0"/>
        <w:rPr>
          <w:rFonts w:hint="default"/>
          <w:color w:val="auto"/>
          <w:highlight w:val="none"/>
        </w:rPr>
      </w:pPr>
      <w:r>
        <w:rPr>
          <w:rFonts w:hint="default"/>
          <w:color w:val="auto"/>
          <w:highlight w:val="none"/>
        </w:rPr>
        <w:t>监测因子</w:t>
      </w:r>
    </w:p>
    <w:p w14:paraId="6F61D6DC">
      <w:pPr>
        <w:pStyle w:val="20"/>
        <w:spacing w:line="500" w:lineRule="exact"/>
        <w:ind w:firstLine="44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地表水现状监测因子选择：水温、pH、高锰酸盐指数、COD</w:t>
      </w:r>
      <w:r>
        <w:rPr>
          <w:rFonts w:hint="default" w:ascii="Times New Roman" w:hAnsi="Times New Roman" w:cs="Times New Roman"/>
          <w:color w:val="auto"/>
          <w:highlight w:val="none"/>
          <w:vertAlign w:val="subscript"/>
        </w:rPr>
        <w:t>Cr</w:t>
      </w:r>
      <w:r>
        <w:rPr>
          <w:rFonts w:hint="default" w:ascii="Times New Roman" w:hAnsi="Times New Roman" w:cs="Times New Roman"/>
          <w:color w:val="auto"/>
          <w:highlight w:val="none"/>
        </w:rPr>
        <w:t>、DO、BOD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、氨氮、总磷、SS、阴离子表面活性剂</w:t>
      </w:r>
      <w:r>
        <w:rPr>
          <w:rFonts w:hint="eastAsia" w:ascii="Times New Roman" w:cs="Times New Roman"/>
          <w:color w:val="auto"/>
          <w:highlight w:val="none"/>
          <w:lang w:eastAsia="zh-CN"/>
        </w:rPr>
        <w:t>、</w:t>
      </w:r>
      <w:r>
        <w:rPr>
          <w:rFonts w:hint="eastAsia" w:ascii="Times New Roman" w:cs="Times New Roman"/>
          <w:color w:val="auto"/>
          <w:highlight w:val="none"/>
          <w:lang w:val="en-US" w:eastAsia="zh-CN"/>
        </w:rPr>
        <w:t>粪大肠菌群</w:t>
      </w:r>
      <w:r>
        <w:rPr>
          <w:rFonts w:hint="default" w:ascii="Times New Roman" w:hAnsi="Times New Roman" w:cs="Times New Roman"/>
          <w:color w:val="auto"/>
          <w:highlight w:val="none"/>
        </w:rPr>
        <w:t>等共1</w:t>
      </w:r>
      <w:r>
        <w:rPr>
          <w:rFonts w:hint="eastAsia" w:ascii="Times New Roman" w:cs="Times New Roman"/>
          <w:color w:val="auto"/>
          <w:highlight w:val="none"/>
          <w:lang w:val="en-US" w:eastAsia="zh-CN"/>
        </w:rPr>
        <w:t>1</w:t>
      </w:r>
      <w:r>
        <w:rPr>
          <w:rFonts w:hint="default" w:ascii="Times New Roman" w:hAnsi="Times New Roman" w:cs="Times New Roman"/>
          <w:color w:val="auto"/>
          <w:highlight w:val="none"/>
        </w:rPr>
        <w:t>项。</w:t>
      </w:r>
    </w:p>
    <w:p w14:paraId="3C86DF39">
      <w:pPr>
        <w:pStyle w:val="6"/>
        <w:numPr>
          <w:ilvl w:val="3"/>
          <w:numId w:val="40"/>
        </w:numPr>
        <w:bidi w:val="0"/>
        <w:ind w:left="0" w:leftChars="0" w:firstLine="0" w:firstLineChars="0"/>
        <w:rPr>
          <w:rFonts w:hint="default"/>
          <w:color w:val="auto"/>
          <w:highlight w:val="none"/>
        </w:rPr>
      </w:pPr>
      <w:r>
        <w:rPr>
          <w:rFonts w:hint="default"/>
          <w:color w:val="auto"/>
          <w:highlight w:val="none"/>
        </w:rPr>
        <w:t>监测频次和监测时间</w:t>
      </w:r>
    </w:p>
    <w:p w14:paraId="71E9F89F">
      <w:pPr>
        <w:pStyle w:val="20"/>
        <w:spacing w:line="500" w:lineRule="exact"/>
        <w:ind w:firstLine="442" w:firstLineChars="2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地表水监测频次为：连续监测3天，每天采样1次。监测时间为2024年12月7日至12月9日</w:t>
      </w:r>
      <w:r>
        <w:rPr>
          <w:rFonts w:hint="default" w:ascii="Times New Roman" w:hAnsi="Times New Roman" w:eastAsia="仿宋" w:cs="Times New Roman"/>
          <w:color w:val="auto"/>
          <w:highlight w:val="none"/>
          <w:u w:val="none"/>
        </w:rPr>
        <w:t>。</w:t>
      </w:r>
    </w:p>
    <w:p w14:paraId="65C29F51">
      <w:pPr>
        <w:pStyle w:val="6"/>
        <w:numPr>
          <w:ilvl w:val="3"/>
          <w:numId w:val="40"/>
        </w:numPr>
        <w:bidi w:val="0"/>
        <w:ind w:left="0" w:leftChars="0" w:firstLine="0" w:firstLineChars="0"/>
        <w:rPr>
          <w:rFonts w:hint="default"/>
          <w:color w:val="auto"/>
          <w:highlight w:val="none"/>
        </w:rPr>
      </w:pPr>
      <w:r>
        <w:rPr>
          <w:rFonts w:hint="default"/>
          <w:color w:val="auto"/>
          <w:highlight w:val="none"/>
        </w:rPr>
        <w:t>分析方法</w:t>
      </w:r>
    </w:p>
    <w:p w14:paraId="2DAA5708">
      <w:pPr>
        <w:pStyle w:val="20"/>
        <w:spacing w:line="500" w:lineRule="exact"/>
        <w:ind w:firstLine="442" w:firstLineChars="2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监测分析方法按国家</w:t>
      </w:r>
      <w:r>
        <w:rPr>
          <w:rFonts w:hint="eastAsia" w:ascii="Times New Roman" w:cs="Times New Roman"/>
          <w:color w:val="auto"/>
          <w:highlight w:val="none"/>
          <w:u w:val="none"/>
          <w:lang w:val="en-US" w:eastAsia="zh-CN"/>
        </w:rPr>
        <w:t>生态</w:t>
      </w:r>
      <w:r>
        <w:rPr>
          <w:rFonts w:hint="default" w:ascii="Times New Roman" w:hAnsi="Times New Roman" w:cs="Times New Roman"/>
          <w:color w:val="auto"/>
          <w:highlight w:val="none"/>
          <w:u w:val="none"/>
        </w:rPr>
        <w:t>环境局发布的《地表水环境质量监测技术规范》（HJ91.2-2022）和《水和废水监测分析方法》中的有关规定进行。地表水及底泥监测因子的分析方法和最低检出限见下表。</w:t>
      </w:r>
    </w:p>
    <w:p w14:paraId="22849C3E">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r>
        <w:rPr>
          <w:rFonts w:hint="default"/>
          <w:color w:val="auto"/>
          <w:highlight w:val="none"/>
        </w:rPr>
        <w:t>分析方法及检出限</w:t>
      </w:r>
    </w:p>
    <w:tbl>
      <w:tblPr>
        <w:tblStyle w:val="87"/>
        <w:tblW w:w="873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44"/>
        <w:gridCol w:w="931"/>
        <w:gridCol w:w="3503"/>
        <w:gridCol w:w="965"/>
        <w:gridCol w:w="2023"/>
        <w:gridCol w:w="969"/>
      </w:tblGrid>
      <w:tr w14:paraId="7C54D9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80" w:hRule="atLeast"/>
          <w:jc w:val="center"/>
        </w:trPr>
        <w:tc>
          <w:tcPr>
            <w:tcW w:w="344" w:type="dxa"/>
            <w:vMerge w:val="restart"/>
            <w:noWrap w:val="0"/>
            <w:tcMar>
              <w:left w:w="0" w:type="dxa"/>
              <w:right w:w="0" w:type="dxa"/>
            </w:tcMar>
            <w:vAlign w:val="center"/>
          </w:tcPr>
          <w:p w14:paraId="12AF7D16">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931" w:type="dxa"/>
            <w:vMerge w:val="restart"/>
            <w:noWrap w:val="0"/>
            <w:vAlign w:val="center"/>
          </w:tcPr>
          <w:p w14:paraId="5E39372E">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监测项目</w:t>
            </w:r>
          </w:p>
        </w:tc>
        <w:tc>
          <w:tcPr>
            <w:tcW w:w="4468" w:type="dxa"/>
            <w:gridSpan w:val="2"/>
            <w:noWrap w:val="0"/>
            <w:tcMar>
              <w:left w:w="0" w:type="dxa"/>
              <w:right w:w="0" w:type="dxa"/>
            </w:tcMar>
            <w:vAlign w:val="center"/>
          </w:tcPr>
          <w:p w14:paraId="77DDEDDB">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监测依据</w:t>
            </w:r>
          </w:p>
        </w:tc>
        <w:tc>
          <w:tcPr>
            <w:tcW w:w="2992" w:type="dxa"/>
            <w:gridSpan w:val="2"/>
            <w:noWrap w:val="0"/>
            <w:vAlign w:val="center"/>
          </w:tcPr>
          <w:p w14:paraId="51A5CDC9">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仪器设备</w:t>
            </w:r>
          </w:p>
        </w:tc>
      </w:tr>
      <w:tr w14:paraId="0DD309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5" w:hRule="atLeast"/>
          <w:jc w:val="center"/>
        </w:trPr>
        <w:tc>
          <w:tcPr>
            <w:tcW w:w="344" w:type="dxa"/>
            <w:vMerge w:val="continue"/>
            <w:noWrap w:val="0"/>
            <w:tcMar>
              <w:left w:w="0" w:type="dxa"/>
              <w:right w:w="0" w:type="dxa"/>
            </w:tcMar>
            <w:vAlign w:val="center"/>
          </w:tcPr>
          <w:p w14:paraId="6DCF312E">
            <w:pPr>
              <w:pStyle w:val="698"/>
              <w:rPr>
                <w:rFonts w:hint="default" w:ascii="Times New Roman" w:hAnsi="Times New Roman" w:cs="Times New Roman"/>
                <w:color w:val="auto"/>
                <w:highlight w:val="none"/>
              </w:rPr>
            </w:pPr>
          </w:p>
        </w:tc>
        <w:tc>
          <w:tcPr>
            <w:tcW w:w="931" w:type="dxa"/>
            <w:vMerge w:val="continue"/>
            <w:noWrap w:val="0"/>
            <w:tcMar>
              <w:left w:w="0" w:type="dxa"/>
              <w:right w:w="0" w:type="dxa"/>
            </w:tcMar>
            <w:vAlign w:val="center"/>
          </w:tcPr>
          <w:p w14:paraId="7752AA39">
            <w:pPr>
              <w:pStyle w:val="698"/>
              <w:rPr>
                <w:rFonts w:hint="default" w:ascii="Times New Roman" w:hAnsi="Times New Roman" w:cs="Times New Roman"/>
                <w:color w:val="auto"/>
                <w:highlight w:val="none"/>
              </w:rPr>
            </w:pPr>
          </w:p>
        </w:tc>
        <w:tc>
          <w:tcPr>
            <w:tcW w:w="3503" w:type="dxa"/>
            <w:noWrap w:val="0"/>
            <w:tcMar>
              <w:left w:w="0" w:type="dxa"/>
              <w:right w:w="0" w:type="dxa"/>
            </w:tcMar>
            <w:vAlign w:val="center"/>
          </w:tcPr>
          <w:p w14:paraId="3E6CB420">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方法来源</w:t>
            </w:r>
          </w:p>
        </w:tc>
        <w:tc>
          <w:tcPr>
            <w:tcW w:w="965" w:type="dxa"/>
            <w:noWrap w:val="0"/>
            <w:tcMar>
              <w:left w:w="0" w:type="dxa"/>
              <w:right w:w="0" w:type="dxa"/>
            </w:tcMar>
            <w:vAlign w:val="center"/>
          </w:tcPr>
          <w:p w14:paraId="07A11360">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检出限</w:t>
            </w:r>
          </w:p>
        </w:tc>
        <w:tc>
          <w:tcPr>
            <w:tcW w:w="2023" w:type="dxa"/>
            <w:noWrap w:val="0"/>
            <w:tcMar>
              <w:left w:w="0" w:type="dxa"/>
              <w:right w:w="0" w:type="dxa"/>
            </w:tcMar>
            <w:vAlign w:val="center"/>
          </w:tcPr>
          <w:p w14:paraId="19DB5321">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名称、型号/规格</w:t>
            </w:r>
          </w:p>
        </w:tc>
        <w:tc>
          <w:tcPr>
            <w:tcW w:w="969" w:type="dxa"/>
            <w:noWrap w:val="0"/>
            <w:tcMar>
              <w:left w:w="0" w:type="dxa"/>
              <w:right w:w="0" w:type="dxa"/>
            </w:tcMar>
            <w:vAlign w:val="center"/>
          </w:tcPr>
          <w:p w14:paraId="64A777AE">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管理编号</w:t>
            </w:r>
          </w:p>
        </w:tc>
      </w:tr>
      <w:tr w14:paraId="1CB8BE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5" w:hRule="atLeast"/>
          <w:jc w:val="center"/>
        </w:trPr>
        <w:tc>
          <w:tcPr>
            <w:tcW w:w="8735" w:type="dxa"/>
            <w:gridSpan w:val="6"/>
            <w:noWrap w:val="0"/>
            <w:tcMar>
              <w:left w:w="0" w:type="dxa"/>
              <w:right w:w="0" w:type="dxa"/>
            </w:tcMar>
            <w:vAlign w:val="center"/>
          </w:tcPr>
          <w:p w14:paraId="6B3A4996">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（一）地表水</w:t>
            </w:r>
          </w:p>
        </w:tc>
      </w:tr>
      <w:tr w14:paraId="0F7481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72" w:hRule="atLeast"/>
          <w:jc w:val="center"/>
        </w:trPr>
        <w:tc>
          <w:tcPr>
            <w:tcW w:w="344" w:type="dxa"/>
            <w:noWrap w:val="0"/>
            <w:tcMar>
              <w:left w:w="0" w:type="dxa"/>
              <w:right w:w="0" w:type="dxa"/>
            </w:tcMar>
            <w:vAlign w:val="center"/>
          </w:tcPr>
          <w:p w14:paraId="2B91C147">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931" w:type="dxa"/>
            <w:noWrap w:val="0"/>
            <w:tcMar>
              <w:left w:w="0" w:type="dxa"/>
              <w:right w:w="0" w:type="dxa"/>
            </w:tcMar>
            <w:vAlign w:val="center"/>
          </w:tcPr>
          <w:p w14:paraId="40DC27DB">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水温</w:t>
            </w:r>
          </w:p>
        </w:tc>
        <w:tc>
          <w:tcPr>
            <w:tcW w:w="3503" w:type="dxa"/>
            <w:noWrap w:val="0"/>
            <w:tcMar>
              <w:left w:w="0" w:type="dxa"/>
              <w:right w:w="0" w:type="dxa"/>
            </w:tcMar>
            <w:vAlign w:val="center"/>
          </w:tcPr>
          <w:p w14:paraId="02525FF0">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水质 水温的测定 温度计法或颠倒温度计测定法 （GB/T 13195-1991）</w:t>
            </w:r>
          </w:p>
          <w:p w14:paraId="606C2505">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温度计法</w:t>
            </w:r>
          </w:p>
        </w:tc>
        <w:tc>
          <w:tcPr>
            <w:tcW w:w="965" w:type="dxa"/>
            <w:noWrap w:val="0"/>
            <w:tcMar>
              <w:left w:w="0" w:type="dxa"/>
              <w:right w:w="0" w:type="dxa"/>
            </w:tcMar>
            <w:vAlign w:val="center"/>
          </w:tcPr>
          <w:p w14:paraId="51ECD799">
            <w:pPr>
              <w:pStyle w:val="698"/>
              <w:rPr>
                <w:rFonts w:hint="default" w:ascii="Times New Roman" w:hAnsi="Times New Roman" w:cs="Times New Roman"/>
                <w:bCs/>
                <w:color w:val="auto"/>
                <w:highlight w:val="none"/>
              </w:rPr>
            </w:pPr>
            <w:r>
              <w:rPr>
                <w:rFonts w:hint="default" w:ascii="Times New Roman" w:hAnsi="Times New Roman" w:cs="Times New Roman"/>
                <w:color w:val="auto"/>
                <w:highlight w:val="none"/>
              </w:rPr>
              <w:t>/</w:t>
            </w:r>
          </w:p>
        </w:tc>
        <w:tc>
          <w:tcPr>
            <w:tcW w:w="2023" w:type="dxa"/>
            <w:noWrap w:val="0"/>
            <w:tcMar>
              <w:left w:w="0" w:type="dxa"/>
              <w:right w:w="0" w:type="dxa"/>
            </w:tcMar>
            <w:vAlign w:val="center"/>
          </w:tcPr>
          <w:p w14:paraId="34AA85F7">
            <w:pPr>
              <w:pStyle w:val="698"/>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数字温度计</w:t>
            </w:r>
          </w:p>
        </w:tc>
        <w:tc>
          <w:tcPr>
            <w:tcW w:w="969" w:type="dxa"/>
            <w:noWrap w:val="0"/>
            <w:tcMar>
              <w:left w:w="0" w:type="dxa"/>
              <w:right w:w="0" w:type="dxa"/>
            </w:tcMar>
            <w:vAlign w:val="center"/>
          </w:tcPr>
          <w:p w14:paraId="4056E8D2">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JHZX-YQ-188</w:t>
            </w:r>
          </w:p>
        </w:tc>
      </w:tr>
      <w:tr w14:paraId="09A36C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72" w:hRule="atLeast"/>
          <w:jc w:val="center"/>
        </w:trPr>
        <w:tc>
          <w:tcPr>
            <w:tcW w:w="344" w:type="dxa"/>
            <w:noWrap w:val="0"/>
            <w:tcMar>
              <w:left w:w="0" w:type="dxa"/>
              <w:right w:w="0" w:type="dxa"/>
            </w:tcMar>
            <w:vAlign w:val="center"/>
          </w:tcPr>
          <w:p w14:paraId="14E68B76">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931" w:type="dxa"/>
            <w:noWrap w:val="0"/>
            <w:tcMar>
              <w:left w:w="0" w:type="dxa"/>
              <w:right w:w="0" w:type="dxa"/>
            </w:tcMar>
            <w:vAlign w:val="center"/>
          </w:tcPr>
          <w:p w14:paraId="18E5430B">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pH值</w:t>
            </w:r>
          </w:p>
        </w:tc>
        <w:tc>
          <w:tcPr>
            <w:tcW w:w="3503" w:type="dxa"/>
            <w:noWrap w:val="0"/>
            <w:tcMar>
              <w:left w:w="0" w:type="dxa"/>
              <w:right w:w="0" w:type="dxa"/>
            </w:tcMar>
            <w:vAlign w:val="center"/>
          </w:tcPr>
          <w:p w14:paraId="132047E3">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水质 pH值的测定 电极法 </w:t>
            </w:r>
          </w:p>
          <w:p w14:paraId="7CB3FDC8">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(HJ 1147-2020)</w:t>
            </w:r>
          </w:p>
        </w:tc>
        <w:tc>
          <w:tcPr>
            <w:tcW w:w="965" w:type="dxa"/>
            <w:noWrap w:val="0"/>
            <w:tcMar>
              <w:left w:w="0" w:type="dxa"/>
              <w:right w:w="0" w:type="dxa"/>
            </w:tcMar>
            <w:vAlign w:val="center"/>
          </w:tcPr>
          <w:p w14:paraId="2CEB415D">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2023" w:type="dxa"/>
            <w:noWrap w:val="0"/>
            <w:tcMar>
              <w:left w:w="0" w:type="dxa"/>
              <w:right w:w="0" w:type="dxa"/>
            </w:tcMar>
            <w:vAlign w:val="center"/>
          </w:tcPr>
          <w:p w14:paraId="33E562B5">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Multi 3620</w:t>
            </w:r>
          </w:p>
          <w:p w14:paraId="432E2D28">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便携式水质分析仪</w:t>
            </w:r>
          </w:p>
        </w:tc>
        <w:tc>
          <w:tcPr>
            <w:tcW w:w="969" w:type="dxa"/>
            <w:noWrap w:val="0"/>
            <w:tcMar>
              <w:left w:w="0" w:type="dxa"/>
              <w:right w:w="0" w:type="dxa"/>
            </w:tcMar>
            <w:vAlign w:val="center"/>
          </w:tcPr>
          <w:p w14:paraId="394F3F75">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JHZX-YQ-155</w:t>
            </w:r>
          </w:p>
        </w:tc>
      </w:tr>
      <w:tr w14:paraId="632C90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72" w:hRule="atLeast"/>
          <w:jc w:val="center"/>
        </w:trPr>
        <w:tc>
          <w:tcPr>
            <w:tcW w:w="344" w:type="dxa"/>
            <w:noWrap w:val="0"/>
            <w:tcMar>
              <w:left w:w="0" w:type="dxa"/>
              <w:right w:w="0" w:type="dxa"/>
            </w:tcMar>
            <w:vAlign w:val="center"/>
          </w:tcPr>
          <w:p w14:paraId="1FDD7092">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931" w:type="dxa"/>
            <w:noWrap w:val="0"/>
            <w:tcMar>
              <w:left w:w="0" w:type="dxa"/>
              <w:right w:w="0" w:type="dxa"/>
            </w:tcMar>
            <w:vAlign w:val="center"/>
          </w:tcPr>
          <w:p w14:paraId="3ECCDA3F">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氨氮</w:t>
            </w:r>
          </w:p>
        </w:tc>
        <w:tc>
          <w:tcPr>
            <w:tcW w:w="3503" w:type="dxa"/>
            <w:noWrap w:val="0"/>
            <w:tcMar>
              <w:left w:w="0" w:type="dxa"/>
              <w:right w:w="0" w:type="dxa"/>
            </w:tcMar>
            <w:vAlign w:val="center"/>
          </w:tcPr>
          <w:p w14:paraId="10654A5B">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水质 氨氮的测定 </w:t>
            </w:r>
          </w:p>
          <w:p w14:paraId="20C76B46">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纳氏试剂分光光度法</w:t>
            </w:r>
          </w:p>
          <w:p w14:paraId="2D796572">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（HJ 535-2009)</w:t>
            </w:r>
          </w:p>
        </w:tc>
        <w:tc>
          <w:tcPr>
            <w:tcW w:w="965" w:type="dxa"/>
            <w:noWrap w:val="0"/>
            <w:tcMar>
              <w:left w:w="0" w:type="dxa"/>
              <w:right w:w="0" w:type="dxa"/>
            </w:tcMar>
            <w:vAlign w:val="center"/>
          </w:tcPr>
          <w:p w14:paraId="58D23C64">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0.025 mg/L</w:t>
            </w:r>
          </w:p>
        </w:tc>
        <w:tc>
          <w:tcPr>
            <w:tcW w:w="2023" w:type="dxa"/>
            <w:noWrap w:val="0"/>
            <w:tcMar>
              <w:left w:w="0" w:type="dxa"/>
              <w:right w:w="0" w:type="dxa"/>
            </w:tcMar>
            <w:vAlign w:val="center"/>
          </w:tcPr>
          <w:p w14:paraId="68E45A36">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紫外可见分光</w:t>
            </w:r>
          </w:p>
          <w:p w14:paraId="02402397">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光度计UV-2700</w:t>
            </w:r>
          </w:p>
        </w:tc>
        <w:tc>
          <w:tcPr>
            <w:tcW w:w="969" w:type="dxa"/>
            <w:noWrap w:val="0"/>
            <w:tcMar>
              <w:left w:w="0" w:type="dxa"/>
              <w:right w:w="0" w:type="dxa"/>
            </w:tcMar>
            <w:vAlign w:val="center"/>
          </w:tcPr>
          <w:p w14:paraId="70E7FE4A">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JHZX-YQ-164</w:t>
            </w:r>
          </w:p>
        </w:tc>
      </w:tr>
      <w:tr w14:paraId="1FD96B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72" w:hRule="atLeast"/>
          <w:jc w:val="center"/>
        </w:trPr>
        <w:tc>
          <w:tcPr>
            <w:tcW w:w="344" w:type="dxa"/>
            <w:noWrap w:val="0"/>
            <w:tcMar>
              <w:left w:w="0" w:type="dxa"/>
              <w:right w:w="0" w:type="dxa"/>
            </w:tcMar>
            <w:vAlign w:val="center"/>
          </w:tcPr>
          <w:p w14:paraId="02C48399">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931" w:type="dxa"/>
            <w:noWrap w:val="0"/>
            <w:tcMar>
              <w:left w:w="0" w:type="dxa"/>
              <w:right w:w="0" w:type="dxa"/>
            </w:tcMar>
            <w:vAlign w:val="center"/>
          </w:tcPr>
          <w:p w14:paraId="0A26F133">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石油类</w:t>
            </w:r>
          </w:p>
        </w:tc>
        <w:tc>
          <w:tcPr>
            <w:tcW w:w="3503" w:type="dxa"/>
            <w:noWrap w:val="0"/>
            <w:tcMar>
              <w:left w:w="0" w:type="dxa"/>
              <w:right w:w="0" w:type="dxa"/>
            </w:tcMar>
            <w:vAlign w:val="center"/>
          </w:tcPr>
          <w:p w14:paraId="54B71156">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水质 石油类的测定 </w:t>
            </w:r>
          </w:p>
          <w:p w14:paraId="239963AC">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紫外分光光度法（试行）</w:t>
            </w:r>
          </w:p>
          <w:p w14:paraId="4F80AE46">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(HJ 970-2018)</w:t>
            </w:r>
          </w:p>
        </w:tc>
        <w:tc>
          <w:tcPr>
            <w:tcW w:w="965" w:type="dxa"/>
            <w:noWrap w:val="0"/>
            <w:tcMar>
              <w:left w:w="0" w:type="dxa"/>
              <w:right w:w="0" w:type="dxa"/>
            </w:tcMar>
            <w:vAlign w:val="center"/>
          </w:tcPr>
          <w:p w14:paraId="5F33F762">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0.01 mg/L</w:t>
            </w:r>
          </w:p>
        </w:tc>
        <w:tc>
          <w:tcPr>
            <w:tcW w:w="2023" w:type="dxa"/>
            <w:noWrap w:val="0"/>
            <w:tcMar>
              <w:left w:w="0" w:type="dxa"/>
              <w:right w:w="0" w:type="dxa"/>
            </w:tcMar>
            <w:vAlign w:val="center"/>
          </w:tcPr>
          <w:p w14:paraId="22B40A24">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UV-1900i</w:t>
            </w:r>
          </w:p>
          <w:p w14:paraId="30D3BD0E">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紫外可见分光</w:t>
            </w:r>
          </w:p>
          <w:p w14:paraId="542D14A6">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光度计</w:t>
            </w:r>
          </w:p>
        </w:tc>
        <w:tc>
          <w:tcPr>
            <w:tcW w:w="969" w:type="dxa"/>
            <w:noWrap w:val="0"/>
            <w:tcMar>
              <w:left w:w="0" w:type="dxa"/>
              <w:right w:w="0" w:type="dxa"/>
            </w:tcMar>
            <w:vAlign w:val="center"/>
          </w:tcPr>
          <w:p w14:paraId="108C8DA1">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JHZX-YQ-243</w:t>
            </w:r>
          </w:p>
        </w:tc>
      </w:tr>
      <w:tr w14:paraId="5EFCD9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72" w:hRule="atLeast"/>
          <w:jc w:val="center"/>
        </w:trPr>
        <w:tc>
          <w:tcPr>
            <w:tcW w:w="344" w:type="dxa"/>
            <w:noWrap w:val="0"/>
            <w:tcMar>
              <w:left w:w="0" w:type="dxa"/>
              <w:right w:w="0" w:type="dxa"/>
            </w:tcMar>
            <w:vAlign w:val="center"/>
          </w:tcPr>
          <w:p w14:paraId="2BF9F0A9">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931" w:type="dxa"/>
            <w:noWrap w:val="0"/>
            <w:tcMar>
              <w:left w:w="0" w:type="dxa"/>
              <w:right w:w="0" w:type="dxa"/>
            </w:tcMar>
            <w:vAlign w:val="center"/>
          </w:tcPr>
          <w:p w14:paraId="3B24C64C">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悬浮物</w:t>
            </w:r>
          </w:p>
        </w:tc>
        <w:tc>
          <w:tcPr>
            <w:tcW w:w="3503" w:type="dxa"/>
            <w:noWrap w:val="0"/>
            <w:tcMar>
              <w:left w:w="0" w:type="dxa"/>
              <w:right w:w="0" w:type="dxa"/>
            </w:tcMar>
            <w:vAlign w:val="center"/>
          </w:tcPr>
          <w:p w14:paraId="66C6582E">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水质 悬浮物的测定</w:t>
            </w:r>
          </w:p>
          <w:p w14:paraId="349B2657">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重量法</w:t>
            </w:r>
          </w:p>
          <w:p w14:paraId="22C2E7A0">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（GB/T 11901-1989）</w:t>
            </w:r>
          </w:p>
        </w:tc>
        <w:tc>
          <w:tcPr>
            <w:tcW w:w="965" w:type="dxa"/>
            <w:noWrap w:val="0"/>
            <w:tcMar>
              <w:left w:w="0" w:type="dxa"/>
              <w:right w:w="0" w:type="dxa"/>
            </w:tcMar>
            <w:vAlign w:val="center"/>
          </w:tcPr>
          <w:p w14:paraId="061C4228">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4 mg/L</w:t>
            </w:r>
          </w:p>
        </w:tc>
        <w:tc>
          <w:tcPr>
            <w:tcW w:w="2023" w:type="dxa"/>
            <w:tcBorders>
              <w:bottom w:val="single" w:color="auto" w:sz="4" w:space="0"/>
            </w:tcBorders>
            <w:noWrap w:val="0"/>
            <w:tcMar>
              <w:left w:w="0" w:type="dxa"/>
              <w:right w:w="0" w:type="dxa"/>
            </w:tcMar>
            <w:vAlign w:val="center"/>
          </w:tcPr>
          <w:p w14:paraId="3DFDECC5">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GH-200</w:t>
            </w:r>
          </w:p>
          <w:p w14:paraId="0CBF26E3">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电子天平</w:t>
            </w:r>
          </w:p>
        </w:tc>
        <w:tc>
          <w:tcPr>
            <w:tcW w:w="969" w:type="dxa"/>
            <w:tcBorders>
              <w:bottom w:val="single" w:color="auto" w:sz="4" w:space="0"/>
            </w:tcBorders>
            <w:noWrap w:val="0"/>
            <w:tcMar>
              <w:left w:w="0" w:type="dxa"/>
              <w:right w:w="0" w:type="dxa"/>
            </w:tcMar>
            <w:vAlign w:val="center"/>
          </w:tcPr>
          <w:p w14:paraId="19AF17F3">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JHZX-YQ-226</w:t>
            </w:r>
          </w:p>
        </w:tc>
      </w:tr>
      <w:tr w14:paraId="3BA560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72" w:hRule="atLeast"/>
          <w:jc w:val="center"/>
        </w:trPr>
        <w:tc>
          <w:tcPr>
            <w:tcW w:w="344" w:type="dxa"/>
            <w:noWrap w:val="0"/>
            <w:tcMar>
              <w:left w:w="0" w:type="dxa"/>
              <w:right w:w="0" w:type="dxa"/>
            </w:tcMar>
            <w:vAlign w:val="center"/>
          </w:tcPr>
          <w:p w14:paraId="2C451213">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6</w:t>
            </w:r>
          </w:p>
        </w:tc>
        <w:tc>
          <w:tcPr>
            <w:tcW w:w="931" w:type="dxa"/>
            <w:noWrap w:val="0"/>
            <w:tcMar>
              <w:left w:w="0" w:type="dxa"/>
              <w:right w:w="0" w:type="dxa"/>
            </w:tcMar>
            <w:vAlign w:val="center"/>
          </w:tcPr>
          <w:p w14:paraId="004B2C17">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化学需氧量</w:t>
            </w:r>
          </w:p>
        </w:tc>
        <w:tc>
          <w:tcPr>
            <w:tcW w:w="3503" w:type="dxa"/>
            <w:noWrap w:val="0"/>
            <w:tcMar>
              <w:left w:w="0" w:type="dxa"/>
              <w:right w:w="0" w:type="dxa"/>
            </w:tcMar>
            <w:vAlign w:val="center"/>
          </w:tcPr>
          <w:p w14:paraId="58F3A08E">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水质 化学需氧量的测定 </w:t>
            </w:r>
          </w:p>
          <w:p w14:paraId="5A106C20">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重铬酸盐法</w:t>
            </w:r>
          </w:p>
          <w:p w14:paraId="2E639B61">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（HJ 828-2017）</w:t>
            </w:r>
          </w:p>
        </w:tc>
        <w:tc>
          <w:tcPr>
            <w:tcW w:w="965" w:type="dxa"/>
            <w:noWrap w:val="0"/>
            <w:tcMar>
              <w:left w:w="0" w:type="dxa"/>
              <w:right w:w="0" w:type="dxa"/>
            </w:tcMar>
            <w:vAlign w:val="center"/>
          </w:tcPr>
          <w:p w14:paraId="102E4C81">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4 mg/L</w:t>
            </w:r>
          </w:p>
        </w:tc>
        <w:tc>
          <w:tcPr>
            <w:tcW w:w="2023" w:type="dxa"/>
            <w:noWrap w:val="0"/>
            <w:tcMar>
              <w:left w:w="0" w:type="dxa"/>
              <w:right w:w="0" w:type="dxa"/>
            </w:tcMar>
            <w:vAlign w:val="center"/>
          </w:tcPr>
          <w:p w14:paraId="4FC18D43">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酸式滴定管</w:t>
            </w:r>
          </w:p>
        </w:tc>
        <w:tc>
          <w:tcPr>
            <w:tcW w:w="969" w:type="dxa"/>
            <w:noWrap w:val="0"/>
            <w:tcMar>
              <w:left w:w="0" w:type="dxa"/>
              <w:right w:w="0" w:type="dxa"/>
            </w:tcMar>
            <w:vAlign w:val="center"/>
          </w:tcPr>
          <w:p w14:paraId="394F66B7">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JHZX-BL-001</w:t>
            </w:r>
          </w:p>
        </w:tc>
      </w:tr>
      <w:tr w14:paraId="5FD701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72" w:hRule="atLeast"/>
          <w:jc w:val="center"/>
        </w:trPr>
        <w:tc>
          <w:tcPr>
            <w:tcW w:w="344" w:type="dxa"/>
            <w:noWrap w:val="0"/>
            <w:tcMar>
              <w:left w:w="0" w:type="dxa"/>
              <w:right w:w="0" w:type="dxa"/>
            </w:tcMar>
            <w:vAlign w:val="center"/>
          </w:tcPr>
          <w:p w14:paraId="510101C2">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7</w:t>
            </w:r>
          </w:p>
        </w:tc>
        <w:tc>
          <w:tcPr>
            <w:tcW w:w="931" w:type="dxa"/>
            <w:shd w:val="clear" w:color="auto" w:fill="auto"/>
            <w:noWrap w:val="0"/>
            <w:tcMar>
              <w:left w:w="0" w:type="dxa"/>
              <w:right w:w="0" w:type="dxa"/>
            </w:tcMar>
            <w:vAlign w:val="center"/>
          </w:tcPr>
          <w:p w14:paraId="529CE4A7">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高锰酸盐</w:t>
            </w:r>
          </w:p>
          <w:p w14:paraId="321A717A">
            <w:pPr>
              <w:pStyle w:val="698"/>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指数</w:t>
            </w:r>
          </w:p>
        </w:tc>
        <w:tc>
          <w:tcPr>
            <w:tcW w:w="3503" w:type="dxa"/>
            <w:shd w:val="clear" w:color="auto" w:fill="auto"/>
            <w:noWrap w:val="0"/>
            <w:tcMar>
              <w:left w:w="0" w:type="dxa"/>
              <w:right w:w="0" w:type="dxa"/>
            </w:tcMar>
            <w:vAlign w:val="center"/>
          </w:tcPr>
          <w:p w14:paraId="752B86F6">
            <w:pPr>
              <w:pStyle w:val="698"/>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水质 高锰酸盐指数的测定(GB/T 11892-1989)</w:t>
            </w:r>
          </w:p>
        </w:tc>
        <w:tc>
          <w:tcPr>
            <w:tcW w:w="965" w:type="dxa"/>
            <w:shd w:val="clear" w:color="auto" w:fill="auto"/>
            <w:noWrap w:val="0"/>
            <w:tcMar>
              <w:left w:w="0" w:type="dxa"/>
              <w:right w:w="0" w:type="dxa"/>
            </w:tcMar>
            <w:vAlign w:val="center"/>
          </w:tcPr>
          <w:p w14:paraId="5E02E150">
            <w:pPr>
              <w:pStyle w:val="698"/>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0.5 mg/L</w:t>
            </w:r>
          </w:p>
        </w:tc>
        <w:tc>
          <w:tcPr>
            <w:tcW w:w="2023" w:type="dxa"/>
            <w:shd w:val="clear" w:color="auto" w:fill="auto"/>
            <w:noWrap w:val="0"/>
            <w:tcMar>
              <w:left w:w="0" w:type="dxa"/>
              <w:right w:w="0" w:type="dxa"/>
            </w:tcMar>
            <w:vAlign w:val="center"/>
          </w:tcPr>
          <w:p w14:paraId="2735AEDE">
            <w:pPr>
              <w:pStyle w:val="698"/>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酸式滴定管</w:t>
            </w:r>
          </w:p>
        </w:tc>
        <w:tc>
          <w:tcPr>
            <w:tcW w:w="969" w:type="dxa"/>
            <w:shd w:val="clear" w:color="auto" w:fill="auto"/>
            <w:noWrap w:val="0"/>
            <w:tcMar>
              <w:left w:w="0" w:type="dxa"/>
              <w:right w:w="0" w:type="dxa"/>
            </w:tcMar>
            <w:vAlign w:val="center"/>
          </w:tcPr>
          <w:p w14:paraId="53E690F1">
            <w:pPr>
              <w:pStyle w:val="698"/>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JHZX-BL-002</w:t>
            </w:r>
          </w:p>
        </w:tc>
      </w:tr>
      <w:tr w14:paraId="7FC9E9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72" w:hRule="atLeast"/>
          <w:jc w:val="center"/>
        </w:trPr>
        <w:tc>
          <w:tcPr>
            <w:tcW w:w="344" w:type="dxa"/>
            <w:noWrap w:val="0"/>
            <w:tcMar>
              <w:left w:w="0" w:type="dxa"/>
              <w:right w:w="0" w:type="dxa"/>
            </w:tcMar>
            <w:vAlign w:val="center"/>
          </w:tcPr>
          <w:p w14:paraId="1037F50E">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8</w:t>
            </w:r>
          </w:p>
        </w:tc>
        <w:tc>
          <w:tcPr>
            <w:tcW w:w="931" w:type="dxa"/>
            <w:tcBorders>
              <w:bottom w:val="single" w:color="auto" w:sz="4" w:space="0"/>
            </w:tcBorders>
            <w:shd w:val="clear" w:color="auto" w:fill="auto"/>
            <w:noWrap w:val="0"/>
            <w:tcMar>
              <w:left w:w="0" w:type="dxa"/>
              <w:right w:w="0" w:type="dxa"/>
            </w:tcMar>
            <w:vAlign w:val="center"/>
          </w:tcPr>
          <w:p w14:paraId="10CD3632">
            <w:pPr>
              <w:pStyle w:val="698"/>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总磷</w:t>
            </w:r>
          </w:p>
        </w:tc>
        <w:tc>
          <w:tcPr>
            <w:tcW w:w="3503" w:type="dxa"/>
            <w:tcBorders>
              <w:bottom w:val="single" w:color="auto" w:sz="4" w:space="0"/>
            </w:tcBorders>
            <w:shd w:val="clear" w:color="auto" w:fill="auto"/>
            <w:noWrap w:val="0"/>
            <w:tcMar>
              <w:left w:w="0" w:type="dxa"/>
              <w:right w:w="0" w:type="dxa"/>
            </w:tcMar>
            <w:vAlign w:val="center"/>
          </w:tcPr>
          <w:p w14:paraId="7E6CEB42">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水质 总磷的测定 </w:t>
            </w:r>
          </w:p>
          <w:p w14:paraId="1D6B0367">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钼酸铵分光光度法</w:t>
            </w:r>
          </w:p>
          <w:p w14:paraId="216656BE">
            <w:pPr>
              <w:pStyle w:val="698"/>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（GB/T 11893-1989）</w:t>
            </w:r>
          </w:p>
        </w:tc>
        <w:tc>
          <w:tcPr>
            <w:tcW w:w="965" w:type="dxa"/>
            <w:tcBorders>
              <w:bottom w:val="single" w:color="auto" w:sz="4" w:space="0"/>
            </w:tcBorders>
            <w:shd w:val="clear" w:color="auto" w:fill="auto"/>
            <w:noWrap w:val="0"/>
            <w:tcMar>
              <w:left w:w="0" w:type="dxa"/>
              <w:right w:w="0" w:type="dxa"/>
            </w:tcMar>
            <w:vAlign w:val="center"/>
          </w:tcPr>
          <w:p w14:paraId="432297F2">
            <w:pPr>
              <w:pStyle w:val="698"/>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0.01mg/L</w:t>
            </w:r>
          </w:p>
        </w:tc>
        <w:tc>
          <w:tcPr>
            <w:tcW w:w="2023" w:type="dxa"/>
            <w:tcBorders>
              <w:bottom w:val="single" w:color="auto" w:sz="4" w:space="0"/>
            </w:tcBorders>
            <w:shd w:val="clear" w:color="auto" w:fill="auto"/>
            <w:noWrap w:val="0"/>
            <w:tcMar>
              <w:left w:w="0" w:type="dxa"/>
              <w:right w:w="0" w:type="dxa"/>
            </w:tcMar>
            <w:vAlign w:val="center"/>
          </w:tcPr>
          <w:p w14:paraId="36C3D4C2">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UV-2700</w:t>
            </w:r>
          </w:p>
          <w:p w14:paraId="3306E9C1">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紫外可见分光</w:t>
            </w:r>
          </w:p>
          <w:p w14:paraId="451DD500">
            <w:pPr>
              <w:pStyle w:val="698"/>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光度计</w:t>
            </w:r>
          </w:p>
        </w:tc>
        <w:tc>
          <w:tcPr>
            <w:tcW w:w="969" w:type="dxa"/>
            <w:tcBorders>
              <w:bottom w:val="single" w:color="auto" w:sz="4" w:space="0"/>
            </w:tcBorders>
            <w:shd w:val="clear" w:color="auto" w:fill="auto"/>
            <w:noWrap w:val="0"/>
            <w:tcMar>
              <w:left w:w="0" w:type="dxa"/>
              <w:right w:w="0" w:type="dxa"/>
            </w:tcMar>
            <w:vAlign w:val="center"/>
          </w:tcPr>
          <w:p w14:paraId="49C97CBB">
            <w:pPr>
              <w:pStyle w:val="698"/>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JHZX-YQ-164</w:t>
            </w:r>
          </w:p>
        </w:tc>
      </w:tr>
      <w:tr w14:paraId="76C5C5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72" w:hRule="atLeast"/>
          <w:jc w:val="center"/>
        </w:trPr>
        <w:tc>
          <w:tcPr>
            <w:tcW w:w="344" w:type="dxa"/>
            <w:tcBorders>
              <w:right w:val="single" w:color="auto" w:sz="4" w:space="0"/>
            </w:tcBorders>
            <w:noWrap w:val="0"/>
            <w:tcMar>
              <w:left w:w="0" w:type="dxa"/>
              <w:right w:w="0" w:type="dxa"/>
            </w:tcMar>
            <w:vAlign w:val="center"/>
          </w:tcPr>
          <w:p w14:paraId="3B0C476B">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9</w:t>
            </w:r>
          </w:p>
        </w:tc>
        <w:tc>
          <w:tcPr>
            <w:tcW w:w="931" w:type="dxa"/>
            <w:tcBorders>
              <w:top w:val="single" w:color="auto" w:sz="4" w:space="0"/>
              <w:left w:val="single" w:color="auto" w:sz="4" w:space="0"/>
              <w:bottom w:val="single" w:color="auto" w:sz="4" w:space="0"/>
              <w:right w:val="single" w:color="auto" w:sz="6" w:space="0"/>
            </w:tcBorders>
            <w:shd w:val="clear" w:color="auto" w:fill="auto"/>
            <w:noWrap w:val="0"/>
            <w:tcMar>
              <w:left w:w="0" w:type="dxa"/>
              <w:right w:w="0" w:type="dxa"/>
            </w:tcMar>
            <w:vAlign w:val="center"/>
          </w:tcPr>
          <w:p w14:paraId="0D7D4107">
            <w:pPr>
              <w:pStyle w:val="698"/>
              <w:rPr>
                <w:rFonts w:hint="default" w:ascii="Times New Roman" w:hAnsi="Times New Roman" w:eastAsia="宋体" w:cs="Times New Roman"/>
                <w:color w:val="auto"/>
                <w:sz w:val="21"/>
                <w:szCs w:val="21"/>
                <w:highlight w:val="none"/>
                <w:lang w:val="en-US" w:eastAsia="zh-CN" w:bidi="ar-SA"/>
              </w:rPr>
            </w:pPr>
            <w:r>
              <w:rPr>
                <w:rFonts w:hint="eastAsia" w:ascii="Times New Roman" w:cs="Times New Roman"/>
                <w:color w:val="auto"/>
                <w:highlight w:val="none"/>
                <w:lang w:val="en-US" w:eastAsia="zh-CN"/>
              </w:rPr>
              <w:t>阴离子表面活性剂</w:t>
            </w:r>
          </w:p>
        </w:tc>
        <w:tc>
          <w:tcPr>
            <w:tcW w:w="3503" w:type="dxa"/>
            <w:tcBorders>
              <w:top w:val="single" w:color="auto" w:sz="4" w:space="0"/>
              <w:left w:val="single" w:color="auto" w:sz="6" w:space="0"/>
              <w:bottom w:val="single" w:color="auto" w:sz="4" w:space="0"/>
              <w:right w:val="single" w:color="auto" w:sz="6" w:space="0"/>
            </w:tcBorders>
            <w:shd w:val="clear" w:color="auto" w:fill="auto"/>
            <w:noWrap w:val="0"/>
            <w:tcMar>
              <w:left w:w="0" w:type="dxa"/>
              <w:right w:w="0" w:type="dxa"/>
            </w:tcMar>
            <w:vAlign w:val="center"/>
          </w:tcPr>
          <w:p w14:paraId="44D7C8FE">
            <w:pPr>
              <w:pStyle w:val="698"/>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水质 阴离子表面活性剂的测定亚甲蓝分光光度法(GB 7494-87)</w:t>
            </w:r>
          </w:p>
        </w:tc>
        <w:tc>
          <w:tcPr>
            <w:tcW w:w="965" w:type="dxa"/>
            <w:tcBorders>
              <w:top w:val="single" w:color="auto" w:sz="4" w:space="0"/>
              <w:left w:val="single" w:color="auto" w:sz="6" w:space="0"/>
              <w:bottom w:val="single" w:color="auto" w:sz="4" w:space="0"/>
              <w:right w:val="single" w:color="auto" w:sz="6" w:space="0"/>
            </w:tcBorders>
            <w:shd w:val="clear" w:color="auto" w:fill="auto"/>
            <w:noWrap w:val="0"/>
            <w:tcMar>
              <w:left w:w="0" w:type="dxa"/>
              <w:right w:w="0" w:type="dxa"/>
            </w:tcMar>
            <w:vAlign w:val="center"/>
          </w:tcPr>
          <w:p w14:paraId="70D75330">
            <w:pPr>
              <w:pStyle w:val="698"/>
              <w:rPr>
                <w:rFonts w:hint="default" w:ascii="Times New Roman" w:hAnsi="Times New Roman" w:eastAsia="宋体" w:cs="Times New Roman"/>
                <w:color w:val="auto"/>
                <w:sz w:val="21"/>
                <w:szCs w:val="21"/>
                <w:highlight w:val="none"/>
                <w:lang w:val="en-US" w:eastAsia="zh-CN" w:bidi="ar-SA"/>
              </w:rPr>
            </w:pPr>
            <w:r>
              <w:rPr>
                <w:rFonts w:hint="eastAsia" w:ascii="Times New Roman" w:cs="Times New Roman"/>
                <w:color w:val="auto"/>
                <w:highlight w:val="none"/>
                <w:lang w:val="en-US" w:eastAsia="zh-CN"/>
              </w:rPr>
              <w:t>0.05</w:t>
            </w:r>
            <w:r>
              <w:rPr>
                <w:rFonts w:hint="default" w:ascii="Times New Roman" w:hAnsi="Times New Roman" w:cs="Times New Roman"/>
                <w:color w:val="auto"/>
                <w:highlight w:val="none"/>
              </w:rPr>
              <w:t>mg/L</w:t>
            </w:r>
          </w:p>
        </w:tc>
        <w:tc>
          <w:tcPr>
            <w:tcW w:w="2023" w:type="dxa"/>
            <w:tcBorders>
              <w:top w:val="single" w:color="auto" w:sz="4" w:space="0"/>
              <w:left w:val="single" w:color="auto" w:sz="6" w:space="0"/>
              <w:bottom w:val="single" w:color="auto" w:sz="4" w:space="0"/>
              <w:right w:val="single" w:color="auto" w:sz="6" w:space="0"/>
            </w:tcBorders>
            <w:shd w:val="clear" w:color="auto" w:fill="auto"/>
            <w:noWrap w:val="0"/>
            <w:tcMar>
              <w:left w:w="0" w:type="dxa"/>
              <w:right w:w="0" w:type="dxa"/>
            </w:tcMar>
            <w:vAlign w:val="center"/>
          </w:tcPr>
          <w:p w14:paraId="5A3C208F">
            <w:pPr>
              <w:pStyle w:val="698"/>
              <w:rPr>
                <w:rFonts w:hint="eastAsia" w:ascii="Times New Roman" w:cs="Times New Roman"/>
                <w:color w:val="auto"/>
                <w:highlight w:val="none"/>
                <w:lang w:val="en-US" w:eastAsia="zh-CN"/>
              </w:rPr>
            </w:pPr>
            <w:r>
              <w:rPr>
                <w:rFonts w:hint="default" w:ascii="Times New Roman" w:hAnsi="Times New Roman" w:cs="Times New Roman"/>
                <w:color w:val="auto"/>
                <w:highlight w:val="none"/>
              </w:rPr>
              <w:t>原子荧光光度计</w:t>
            </w:r>
          </w:p>
          <w:p w14:paraId="5D3AFCD3">
            <w:pPr>
              <w:pStyle w:val="698"/>
              <w:rPr>
                <w:rFonts w:hint="default" w:ascii="Times New Roman" w:hAnsi="Times New Roman" w:eastAsia="宋体" w:cs="Times New Roman"/>
                <w:color w:val="auto"/>
                <w:sz w:val="21"/>
                <w:szCs w:val="21"/>
                <w:highlight w:val="none"/>
                <w:lang w:val="en-US" w:eastAsia="zh-CN" w:bidi="ar-SA"/>
              </w:rPr>
            </w:pPr>
            <w:r>
              <w:rPr>
                <w:rFonts w:hint="eastAsia" w:ascii="Times New Roman" w:cs="Times New Roman"/>
                <w:color w:val="auto"/>
                <w:highlight w:val="none"/>
                <w:lang w:val="en-US" w:eastAsia="zh-CN"/>
              </w:rPr>
              <w:t>BAF-2000</w:t>
            </w:r>
          </w:p>
        </w:tc>
        <w:tc>
          <w:tcPr>
            <w:tcW w:w="969" w:type="dxa"/>
            <w:tcBorders>
              <w:top w:val="single" w:color="auto" w:sz="4" w:space="0"/>
              <w:left w:val="single" w:color="auto" w:sz="6" w:space="0"/>
              <w:bottom w:val="single" w:color="auto" w:sz="4" w:space="0"/>
              <w:right w:val="single" w:color="auto" w:sz="12" w:space="0"/>
            </w:tcBorders>
            <w:shd w:val="clear" w:color="auto" w:fill="auto"/>
            <w:noWrap w:val="0"/>
            <w:tcMar>
              <w:left w:w="0" w:type="dxa"/>
              <w:right w:w="0" w:type="dxa"/>
            </w:tcMar>
            <w:vAlign w:val="center"/>
          </w:tcPr>
          <w:p w14:paraId="1874EFF9">
            <w:pPr>
              <w:pStyle w:val="698"/>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highlight w:val="none"/>
              </w:rPr>
              <w:t>YQ-B014、029</w:t>
            </w:r>
          </w:p>
        </w:tc>
      </w:tr>
      <w:tr w14:paraId="0402E9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9" w:hRule="atLeast"/>
          <w:jc w:val="center"/>
        </w:trPr>
        <w:tc>
          <w:tcPr>
            <w:tcW w:w="344" w:type="dxa"/>
            <w:vMerge w:val="restart"/>
            <w:noWrap w:val="0"/>
            <w:tcMar>
              <w:left w:w="0" w:type="dxa"/>
              <w:right w:w="0" w:type="dxa"/>
            </w:tcMar>
            <w:vAlign w:val="center"/>
          </w:tcPr>
          <w:p w14:paraId="5CAC949A">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931" w:type="dxa"/>
            <w:vMerge w:val="restart"/>
            <w:tcBorders>
              <w:top w:val="single" w:color="auto" w:sz="4" w:space="0"/>
            </w:tcBorders>
            <w:noWrap w:val="0"/>
            <w:tcMar>
              <w:left w:w="0" w:type="dxa"/>
              <w:right w:w="0" w:type="dxa"/>
            </w:tcMar>
            <w:vAlign w:val="center"/>
          </w:tcPr>
          <w:p w14:paraId="73C6D9EA">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五日生化</w:t>
            </w:r>
          </w:p>
          <w:p w14:paraId="1EF0B19F">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需氧量</w:t>
            </w:r>
          </w:p>
        </w:tc>
        <w:tc>
          <w:tcPr>
            <w:tcW w:w="3503" w:type="dxa"/>
            <w:vMerge w:val="restart"/>
            <w:tcBorders>
              <w:top w:val="single" w:color="auto" w:sz="4" w:space="0"/>
            </w:tcBorders>
            <w:noWrap w:val="0"/>
            <w:tcMar>
              <w:left w:w="0" w:type="dxa"/>
              <w:right w:w="0" w:type="dxa"/>
            </w:tcMar>
            <w:vAlign w:val="center"/>
          </w:tcPr>
          <w:p w14:paraId="738FF63E">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水质 五日生化需氧量(BOD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 xml:space="preserve">)的测定 </w:t>
            </w:r>
          </w:p>
          <w:p w14:paraId="35212AC7">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稀释与接种法</w:t>
            </w:r>
          </w:p>
          <w:p w14:paraId="7A1A611D">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（HJ 505-2009）</w:t>
            </w:r>
          </w:p>
        </w:tc>
        <w:tc>
          <w:tcPr>
            <w:tcW w:w="965" w:type="dxa"/>
            <w:vMerge w:val="restart"/>
            <w:tcBorders>
              <w:top w:val="single" w:color="auto" w:sz="4" w:space="0"/>
            </w:tcBorders>
            <w:noWrap w:val="0"/>
            <w:tcMar>
              <w:left w:w="0" w:type="dxa"/>
              <w:right w:w="0" w:type="dxa"/>
            </w:tcMar>
            <w:vAlign w:val="center"/>
          </w:tcPr>
          <w:p w14:paraId="22404ED5">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0.5 mg/L</w:t>
            </w:r>
          </w:p>
        </w:tc>
        <w:tc>
          <w:tcPr>
            <w:tcW w:w="2023" w:type="dxa"/>
            <w:tcBorders>
              <w:top w:val="single" w:color="auto" w:sz="4" w:space="0"/>
            </w:tcBorders>
            <w:noWrap w:val="0"/>
            <w:tcMar>
              <w:left w:w="0" w:type="dxa"/>
              <w:right w:w="0" w:type="dxa"/>
            </w:tcMar>
            <w:vAlign w:val="center"/>
          </w:tcPr>
          <w:p w14:paraId="45CB9E42">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HQ430d</w:t>
            </w:r>
          </w:p>
          <w:p w14:paraId="57A672AC">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台式多参数水质分析仪</w:t>
            </w:r>
          </w:p>
        </w:tc>
        <w:tc>
          <w:tcPr>
            <w:tcW w:w="969" w:type="dxa"/>
            <w:tcBorders>
              <w:top w:val="single" w:color="auto" w:sz="4" w:space="0"/>
            </w:tcBorders>
            <w:noWrap w:val="0"/>
            <w:tcMar>
              <w:left w:w="0" w:type="dxa"/>
              <w:right w:w="0" w:type="dxa"/>
            </w:tcMar>
            <w:vAlign w:val="center"/>
          </w:tcPr>
          <w:p w14:paraId="377DB699">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JHZX-YQ-114</w:t>
            </w:r>
          </w:p>
        </w:tc>
      </w:tr>
      <w:tr w14:paraId="70AEF0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344" w:type="dxa"/>
            <w:vMerge w:val="continue"/>
            <w:noWrap w:val="0"/>
            <w:tcMar>
              <w:left w:w="0" w:type="dxa"/>
              <w:right w:w="0" w:type="dxa"/>
            </w:tcMar>
            <w:vAlign w:val="center"/>
          </w:tcPr>
          <w:p w14:paraId="465C7384">
            <w:pPr>
              <w:pStyle w:val="698"/>
              <w:rPr>
                <w:rFonts w:hint="default" w:ascii="Times New Roman" w:hAnsi="Times New Roman" w:cs="Times New Roman"/>
                <w:color w:val="auto"/>
                <w:highlight w:val="none"/>
              </w:rPr>
            </w:pPr>
          </w:p>
        </w:tc>
        <w:tc>
          <w:tcPr>
            <w:tcW w:w="931" w:type="dxa"/>
            <w:vMerge w:val="continue"/>
            <w:noWrap w:val="0"/>
            <w:tcMar>
              <w:left w:w="0" w:type="dxa"/>
              <w:right w:w="0" w:type="dxa"/>
            </w:tcMar>
            <w:vAlign w:val="center"/>
          </w:tcPr>
          <w:p w14:paraId="18CC520A">
            <w:pPr>
              <w:pStyle w:val="698"/>
              <w:rPr>
                <w:rFonts w:hint="default" w:ascii="Times New Roman" w:hAnsi="Times New Roman" w:cs="Times New Roman"/>
                <w:color w:val="auto"/>
                <w:highlight w:val="none"/>
              </w:rPr>
            </w:pPr>
          </w:p>
        </w:tc>
        <w:tc>
          <w:tcPr>
            <w:tcW w:w="3503" w:type="dxa"/>
            <w:vMerge w:val="continue"/>
            <w:noWrap w:val="0"/>
            <w:tcMar>
              <w:left w:w="0" w:type="dxa"/>
              <w:right w:w="0" w:type="dxa"/>
            </w:tcMar>
            <w:vAlign w:val="center"/>
          </w:tcPr>
          <w:p w14:paraId="14DFD714">
            <w:pPr>
              <w:pStyle w:val="698"/>
              <w:rPr>
                <w:rFonts w:hint="default" w:ascii="Times New Roman" w:hAnsi="Times New Roman" w:cs="Times New Roman"/>
                <w:color w:val="auto"/>
                <w:highlight w:val="none"/>
              </w:rPr>
            </w:pPr>
          </w:p>
        </w:tc>
        <w:tc>
          <w:tcPr>
            <w:tcW w:w="965" w:type="dxa"/>
            <w:vMerge w:val="continue"/>
            <w:noWrap w:val="0"/>
            <w:tcMar>
              <w:left w:w="0" w:type="dxa"/>
              <w:right w:w="0" w:type="dxa"/>
            </w:tcMar>
            <w:vAlign w:val="center"/>
          </w:tcPr>
          <w:p w14:paraId="18477AA0">
            <w:pPr>
              <w:pStyle w:val="698"/>
              <w:rPr>
                <w:rFonts w:hint="default" w:ascii="Times New Roman" w:hAnsi="Times New Roman" w:cs="Times New Roman"/>
                <w:color w:val="auto"/>
                <w:highlight w:val="none"/>
              </w:rPr>
            </w:pPr>
          </w:p>
        </w:tc>
        <w:tc>
          <w:tcPr>
            <w:tcW w:w="2023" w:type="dxa"/>
            <w:noWrap w:val="0"/>
            <w:tcMar>
              <w:left w:w="0" w:type="dxa"/>
              <w:right w:w="0" w:type="dxa"/>
            </w:tcMar>
            <w:vAlign w:val="center"/>
          </w:tcPr>
          <w:p w14:paraId="63EBA604">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LRH-250A</w:t>
            </w:r>
          </w:p>
          <w:p w14:paraId="3180B264">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生化培养箱</w:t>
            </w:r>
          </w:p>
        </w:tc>
        <w:tc>
          <w:tcPr>
            <w:tcW w:w="969" w:type="dxa"/>
            <w:noWrap w:val="0"/>
            <w:tcMar>
              <w:left w:w="0" w:type="dxa"/>
              <w:right w:w="0" w:type="dxa"/>
            </w:tcMar>
            <w:vAlign w:val="center"/>
          </w:tcPr>
          <w:p w14:paraId="383B3B90">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JHZX-YQ-152</w:t>
            </w:r>
          </w:p>
        </w:tc>
      </w:tr>
      <w:tr w14:paraId="14670D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8735" w:type="dxa"/>
            <w:gridSpan w:val="6"/>
            <w:noWrap w:val="0"/>
            <w:tcMar>
              <w:left w:w="0" w:type="dxa"/>
              <w:right w:w="0" w:type="dxa"/>
            </w:tcMar>
            <w:vAlign w:val="center"/>
          </w:tcPr>
          <w:p w14:paraId="5EF6372A">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（二）沉积物</w:t>
            </w:r>
          </w:p>
        </w:tc>
      </w:tr>
      <w:tr w14:paraId="51725A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344" w:type="dxa"/>
            <w:noWrap w:val="0"/>
            <w:tcMar>
              <w:left w:w="0" w:type="dxa"/>
              <w:right w:w="0" w:type="dxa"/>
            </w:tcMar>
            <w:vAlign w:val="center"/>
          </w:tcPr>
          <w:p w14:paraId="51116D11">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931" w:type="dxa"/>
            <w:noWrap w:val="0"/>
            <w:tcMar>
              <w:left w:w="0" w:type="dxa"/>
              <w:right w:w="0" w:type="dxa"/>
            </w:tcMar>
            <w:vAlign w:val="center"/>
          </w:tcPr>
          <w:p w14:paraId="5828FC06">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pH值</w:t>
            </w:r>
          </w:p>
        </w:tc>
        <w:tc>
          <w:tcPr>
            <w:tcW w:w="3503" w:type="dxa"/>
            <w:noWrap w:val="0"/>
            <w:tcMar>
              <w:left w:w="0" w:type="dxa"/>
              <w:right w:w="0" w:type="dxa"/>
            </w:tcMar>
            <w:vAlign w:val="center"/>
          </w:tcPr>
          <w:p w14:paraId="6DDA3544">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土壤  pH值的测定 电位法（HJ 962-2018）</w:t>
            </w:r>
          </w:p>
        </w:tc>
        <w:tc>
          <w:tcPr>
            <w:tcW w:w="965" w:type="dxa"/>
            <w:noWrap w:val="0"/>
            <w:tcMar>
              <w:left w:w="0" w:type="dxa"/>
              <w:right w:w="0" w:type="dxa"/>
            </w:tcMar>
            <w:vAlign w:val="center"/>
          </w:tcPr>
          <w:p w14:paraId="15276913">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2023" w:type="dxa"/>
            <w:noWrap w:val="0"/>
            <w:tcMar>
              <w:left w:w="0" w:type="dxa"/>
              <w:right w:w="0" w:type="dxa"/>
            </w:tcMar>
            <w:vAlign w:val="center"/>
          </w:tcPr>
          <w:p w14:paraId="12FA6B40">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台式多参数水质分析仪HQ430d</w:t>
            </w:r>
          </w:p>
        </w:tc>
        <w:tc>
          <w:tcPr>
            <w:tcW w:w="969" w:type="dxa"/>
            <w:noWrap w:val="0"/>
            <w:tcMar>
              <w:left w:w="0" w:type="dxa"/>
              <w:right w:w="0" w:type="dxa"/>
            </w:tcMar>
            <w:vAlign w:val="center"/>
          </w:tcPr>
          <w:p w14:paraId="65718167">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JHZX-YQ-114</w:t>
            </w:r>
          </w:p>
        </w:tc>
      </w:tr>
      <w:tr w14:paraId="303E33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344" w:type="dxa"/>
            <w:noWrap w:val="0"/>
            <w:tcMar>
              <w:left w:w="0" w:type="dxa"/>
              <w:right w:w="0" w:type="dxa"/>
            </w:tcMar>
            <w:vAlign w:val="center"/>
          </w:tcPr>
          <w:p w14:paraId="4C88ACB6">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931" w:type="dxa"/>
            <w:noWrap w:val="0"/>
            <w:tcMar>
              <w:left w:w="0" w:type="dxa"/>
              <w:right w:w="0" w:type="dxa"/>
            </w:tcMar>
            <w:vAlign w:val="center"/>
          </w:tcPr>
          <w:p w14:paraId="7504C941">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铜</w:t>
            </w:r>
          </w:p>
        </w:tc>
        <w:tc>
          <w:tcPr>
            <w:tcW w:w="3503" w:type="dxa"/>
            <w:noWrap w:val="0"/>
            <w:tcMar>
              <w:left w:w="0" w:type="dxa"/>
              <w:right w:w="0" w:type="dxa"/>
            </w:tcMar>
            <w:vAlign w:val="center"/>
          </w:tcPr>
          <w:p w14:paraId="46095052">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土壤和沉积物 铜、锌、铅、镍、铬的测定火焰原子吸收分光光度</w:t>
            </w:r>
          </w:p>
          <w:p w14:paraId="386F2D68">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（HJ 491-2019）</w:t>
            </w:r>
          </w:p>
        </w:tc>
        <w:tc>
          <w:tcPr>
            <w:tcW w:w="965" w:type="dxa"/>
            <w:noWrap w:val="0"/>
            <w:tcMar>
              <w:left w:w="0" w:type="dxa"/>
              <w:right w:w="0" w:type="dxa"/>
            </w:tcMar>
            <w:vAlign w:val="center"/>
          </w:tcPr>
          <w:p w14:paraId="284AE05C">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1 mg/kg</w:t>
            </w:r>
          </w:p>
        </w:tc>
        <w:tc>
          <w:tcPr>
            <w:tcW w:w="2023" w:type="dxa"/>
            <w:noWrap w:val="0"/>
            <w:tcMar>
              <w:left w:w="0" w:type="dxa"/>
              <w:right w:w="0" w:type="dxa"/>
            </w:tcMar>
            <w:vAlign w:val="center"/>
          </w:tcPr>
          <w:p w14:paraId="3E42E7D6">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原子吸收</w:t>
            </w:r>
          </w:p>
          <w:p w14:paraId="0A32F7C5">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分光光度计AA-7000F/AAC</w:t>
            </w:r>
          </w:p>
        </w:tc>
        <w:tc>
          <w:tcPr>
            <w:tcW w:w="969" w:type="dxa"/>
            <w:noWrap w:val="0"/>
            <w:tcMar>
              <w:left w:w="0" w:type="dxa"/>
              <w:right w:w="0" w:type="dxa"/>
            </w:tcMar>
            <w:vAlign w:val="center"/>
          </w:tcPr>
          <w:p w14:paraId="448D62DC">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JHZX-YQ-210</w:t>
            </w:r>
          </w:p>
        </w:tc>
      </w:tr>
      <w:tr w14:paraId="786F54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344" w:type="dxa"/>
            <w:noWrap w:val="0"/>
            <w:tcMar>
              <w:left w:w="0" w:type="dxa"/>
              <w:right w:w="0" w:type="dxa"/>
            </w:tcMar>
            <w:vAlign w:val="center"/>
          </w:tcPr>
          <w:p w14:paraId="39D4E483">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931" w:type="dxa"/>
            <w:noWrap w:val="0"/>
            <w:tcMar>
              <w:left w:w="0" w:type="dxa"/>
              <w:right w:w="0" w:type="dxa"/>
            </w:tcMar>
            <w:vAlign w:val="center"/>
          </w:tcPr>
          <w:p w14:paraId="036795F9">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锌</w:t>
            </w:r>
          </w:p>
        </w:tc>
        <w:tc>
          <w:tcPr>
            <w:tcW w:w="3503" w:type="dxa"/>
            <w:noWrap w:val="0"/>
            <w:tcMar>
              <w:left w:w="0" w:type="dxa"/>
              <w:right w:w="0" w:type="dxa"/>
            </w:tcMar>
            <w:vAlign w:val="center"/>
          </w:tcPr>
          <w:p w14:paraId="541B27A5">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土壤和沉积物 铜、锌、铅、镍、铬的测定火焰原子吸收分光光度法</w:t>
            </w:r>
          </w:p>
          <w:p w14:paraId="1AE56C42">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（HJ 491-2019）</w:t>
            </w:r>
          </w:p>
        </w:tc>
        <w:tc>
          <w:tcPr>
            <w:tcW w:w="965" w:type="dxa"/>
            <w:noWrap w:val="0"/>
            <w:tcMar>
              <w:left w:w="0" w:type="dxa"/>
              <w:right w:w="0" w:type="dxa"/>
            </w:tcMar>
            <w:vAlign w:val="center"/>
          </w:tcPr>
          <w:p w14:paraId="55250759">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1 mg/kg</w:t>
            </w:r>
          </w:p>
        </w:tc>
        <w:tc>
          <w:tcPr>
            <w:tcW w:w="2023" w:type="dxa"/>
            <w:noWrap w:val="0"/>
            <w:tcMar>
              <w:left w:w="0" w:type="dxa"/>
              <w:right w:w="0" w:type="dxa"/>
            </w:tcMar>
            <w:vAlign w:val="center"/>
          </w:tcPr>
          <w:p w14:paraId="710EB538">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原子吸收分</w:t>
            </w:r>
          </w:p>
          <w:p w14:paraId="0A42EC37">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光光度计AA-7000F/AAC</w:t>
            </w:r>
          </w:p>
        </w:tc>
        <w:tc>
          <w:tcPr>
            <w:tcW w:w="969" w:type="dxa"/>
            <w:noWrap w:val="0"/>
            <w:tcMar>
              <w:left w:w="0" w:type="dxa"/>
              <w:right w:w="0" w:type="dxa"/>
            </w:tcMar>
            <w:vAlign w:val="center"/>
          </w:tcPr>
          <w:p w14:paraId="7C68683E">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JHZX-YQ-210</w:t>
            </w:r>
          </w:p>
        </w:tc>
      </w:tr>
      <w:tr w14:paraId="74E781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344" w:type="dxa"/>
            <w:noWrap w:val="0"/>
            <w:tcMar>
              <w:left w:w="0" w:type="dxa"/>
              <w:right w:w="0" w:type="dxa"/>
            </w:tcMar>
            <w:vAlign w:val="center"/>
          </w:tcPr>
          <w:p w14:paraId="622E64A1">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931" w:type="dxa"/>
            <w:noWrap w:val="0"/>
            <w:tcMar>
              <w:left w:w="0" w:type="dxa"/>
              <w:right w:w="0" w:type="dxa"/>
            </w:tcMar>
            <w:vAlign w:val="center"/>
          </w:tcPr>
          <w:p w14:paraId="55103E0E">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铅</w:t>
            </w:r>
          </w:p>
        </w:tc>
        <w:tc>
          <w:tcPr>
            <w:tcW w:w="3503" w:type="dxa"/>
            <w:noWrap w:val="0"/>
            <w:tcMar>
              <w:left w:w="0" w:type="dxa"/>
              <w:right w:w="0" w:type="dxa"/>
            </w:tcMar>
            <w:vAlign w:val="center"/>
          </w:tcPr>
          <w:p w14:paraId="46F3F3FB">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土壤质量 铅、镉的测定火焰 石墨炉原子吸收分光光度法</w:t>
            </w:r>
          </w:p>
          <w:p w14:paraId="3C34F7D7">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（GB/T 17141-1997）</w:t>
            </w:r>
          </w:p>
        </w:tc>
        <w:tc>
          <w:tcPr>
            <w:tcW w:w="965" w:type="dxa"/>
            <w:noWrap w:val="0"/>
            <w:tcMar>
              <w:left w:w="0" w:type="dxa"/>
              <w:right w:w="0" w:type="dxa"/>
            </w:tcMar>
            <w:vAlign w:val="center"/>
          </w:tcPr>
          <w:p w14:paraId="3CA9B27A">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0.1 mg/kg</w:t>
            </w:r>
          </w:p>
        </w:tc>
        <w:tc>
          <w:tcPr>
            <w:tcW w:w="2023" w:type="dxa"/>
            <w:noWrap w:val="0"/>
            <w:tcMar>
              <w:left w:w="0" w:type="dxa"/>
              <w:right w:w="0" w:type="dxa"/>
            </w:tcMar>
            <w:vAlign w:val="center"/>
          </w:tcPr>
          <w:p w14:paraId="449B4AFF">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原子吸收</w:t>
            </w:r>
          </w:p>
          <w:p w14:paraId="2B20915D">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分光光度计AA-7000F/AAC</w:t>
            </w:r>
          </w:p>
        </w:tc>
        <w:tc>
          <w:tcPr>
            <w:tcW w:w="969" w:type="dxa"/>
            <w:noWrap w:val="0"/>
            <w:tcMar>
              <w:left w:w="0" w:type="dxa"/>
              <w:right w:w="0" w:type="dxa"/>
            </w:tcMar>
            <w:vAlign w:val="center"/>
          </w:tcPr>
          <w:p w14:paraId="076AB861">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JHZX-YQ-210</w:t>
            </w:r>
          </w:p>
        </w:tc>
      </w:tr>
      <w:tr w14:paraId="3875F6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344" w:type="dxa"/>
            <w:noWrap w:val="0"/>
            <w:tcMar>
              <w:left w:w="0" w:type="dxa"/>
              <w:right w:w="0" w:type="dxa"/>
            </w:tcMar>
            <w:vAlign w:val="center"/>
          </w:tcPr>
          <w:p w14:paraId="69AAD968">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931" w:type="dxa"/>
            <w:noWrap w:val="0"/>
            <w:tcMar>
              <w:left w:w="0" w:type="dxa"/>
              <w:right w:w="0" w:type="dxa"/>
            </w:tcMar>
            <w:vAlign w:val="center"/>
          </w:tcPr>
          <w:p w14:paraId="5402859F">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镉</w:t>
            </w:r>
          </w:p>
        </w:tc>
        <w:tc>
          <w:tcPr>
            <w:tcW w:w="3503" w:type="dxa"/>
            <w:noWrap w:val="0"/>
            <w:tcMar>
              <w:left w:w="0" w:type="dxa"/>
              <w:right w:w="0" w:type="dxa"/>
            </w:tcMar>
            <w:vAlign w:val="center"/>
          </w:tcPr>
          <w:p w14:paraId="1DF9D463">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土壤质量 铅、镉的测定火焰 石墨炉原子吸收分光光度法</w:t>
            </w:r>
          </w:p>
          <w:p w14:paraId="4F239108">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（GB/T 17141-1997）</w:t>
            </w:r>
          </w:p>
        </w:tc>
        <w:tc>
          <w:tcPr>
            <w:tcW w:w="965" w:type="dxa"/>
            <w:noWrap w:val="0"/>
            <w:tcMar>
              <w:left w:w="0" w:type="dxa"/>
              <w:right w:w="0" w:type="dxa"/>
            </w:tcMar>
            <w:vAlign w:val="center"/>
          </w:tcPr>
          <w:p w14:paraId="06F17D7B">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0.01 mg/kg</w:t>
            </w:r>
          </w:p>
        </w:tc>
        <w:tc>
          <w:tcPr>
            <w:tcW w:w="2023" w:type="dxa"/>
            <w:noWrap w:val="0"/>
            <w:tcMar>
              <w:left w:w="0" w:type="dxa"/>
              <w:right w:w="0" w:type="dxa"/>
            </w:tcMar>
            <w:vAlign w:val="center"/>
          </w:tcPr>
          <w:p w14:paraId="6A9D0545">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原子吸收</w:t>
            </w:r>
          </w:p>
          <w:p w14:paraId="067266B4">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分光光度计AA-7000F/AAC</w:t>
            </w:r>
          </w:p>
        </w:tc>
        <w:tc>
          <w:tcPr>
            <w:tcW w:w="969" w:type="dxa"/>
            <w:noWrap w:val="0"/>
            <w:tcMar>
              <w:left w:w="0" w:type="dxa"/>
              <w:right w:w="0" w:type="dxa"/>
            </w:tcMar>
            <w:vAlign w:val="center"/>
          </w:tcPr>
          <w:p w14:paraId="77B1343D">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JHZX-YQ-210</w:t>
            </w:r>
          </w:p>
        </w:tc>
      </w:tr>
      <w:tr w14:paraId="76A426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344" w:type="dxa"/>
            <w:noWrap w:val="0"/>
            <w:tcMar>
              <w:left w:w="0" w:type="dxa"/>
              <w:right w:w="0" w:type="dxa"/>
            </w:tcMar>
            <w:vAlign w:val="center"/>
          </w:tcPr>
          <w:p w14:paraId="7C0D6D67">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6</w:t>
            </w:r>
          </w:p>
        </w:tc>
        <w:tc>
          <w:tcPr>
            <w:tcW w:w="931" w:type="dxa"/>
            <w:noWrap w:val="0"/>
            <w:tcMar>
              <w:left w:w="0" w:type="dxa"/>
              <w:right w:w="0" w:type="dxa"/>
            </w:tcMar>
            <w:vAlign w:val="center"/>
          </w:tcPr>
          <w:p w14:paraId="54224AEB">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汞</w:t>
            </w:r>
          </w:p>
        </w:tc>
        <w:tc>
          <w:tcPr>
            <w:tcW w:w="3503" w:type="dxa"/>
            <w:noWrap w:val="0"/>
            <w:tcMar>
              <w:left w:w="0" w:type="dxa"/>
              <w:right w:w="0" w:type="dxa"/>
            </w:tcMar>
            <w:vAlign w:val="center"/>
          </w:tcPr>
          <w:p w14:paraId="378A0E14">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土壤和沉积物 汞、砷、硒、铋、锑的测定 微波消解/原子荧光法 </w:t>
            </w:r>
          </w:p>
          <w:p w14:paraId="2E7CDCE6">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（HJ 680-2013）</w:t>
            </w:r>
          </w:p>
        </w:tc>
        <w:tc>
          <w:tcPr>
            <w:tcW w:w="965" w:type="dxa"/>
            <w:noWrap w:val="0"/>
            <w:tcMar>
              <w:left w:w="0" w:type="dxa"/>
              <w:right w:w="0" w:type="dxa"/>
            </w:tcMar>
            <w:vAlign w:val="center"/>
          </w:tcPr>
          <w:p w14:paraId="6B8710A3">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0.002 mg/kg</w:t>
            </w:r>
          </w:p>
        </w:tc>
        <w:tc>
          <w:tcPr>
            <w:tcW w:w="2023" w:type="dxa"/>
            <w:noWrap w:val="0"/>
            <w:tcMar>
              <w:left w:w="0" w:type="dxa"/>
              <w:right w:w="0" w:type="dxa"/>
            </w:tcMar>
            <w:vAlign w:val="center"/>
          </w:tcPr>
          <w:p w14:paraId="1C3121DD">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SK-乐析原子荧光光度计</w:t>
            </w:r>
          </w:p>
        </w:tc>
        <w:tc>
          <w:tcPr>
            <w:tcW w:w="969" w:type="dxa"/>
            <w:noWrap w:val="0"/>
            <w:tcMar>
              <w:left w:w="0" w:type="dxa"/>
              <w:right w:w="0" w:type="dxa"/>
            </w:tcMar>
            <w:vAlign w:val="center"/>
          </w:tcPr>
          <w:p w14:paraId="46E3425B">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JHZX-YQ-129</w:t>
            </w:r>
          </w:p>
        </w:tc>
      </w:tr>
      <w:tr w14:paraId="462057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344" w:type="dxa"/>
            <w:noWrap w:val="0"/>
            <w:tcMar>
              <w:left w:w="0" w:type="dxa"/>
              <w:right w:w="0" w:type="dxa"/>
            </w:tcMar>
            <w:vAlign w:val="center"/>
          </w:tcPr>
          <w:p w14:paraId="7735933A">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7</w:t>
            </w:r>
          </w:p>
        </w:tc>
        <w:tc>
          <w:tcPr>
            <w:tcW w:w="931" w:type="dxa"/>
            <w:noWrap w:val="0"/>
            <w:tcMar>
              <w:left w:w="0" w:type="dxa"/>
              <w:right w:w="0" w:type="dxa"/>
            </w:tcMar>
            <w:vAlign w:val="center"/>
          </w:tcPr>
          <w:p w14:paraId="2799186C">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砷</w:t>
            </w:r>
          </w:p>
        </w:tc>
        <w:tc>
          <w:tcPr>
            <w:tcW w:w="3503" w:type="dxa"/>
            <w:noWrap w:val="0"/>
            <w:tcMar>
              <w:left w:w="0" w:type="dxa"/>
              <w:right w:w="0" w:type="dxa"/>
            </w:tcMar>
            <w:vAlign w:val="center"/>
          </w:tcPr>
          <w:p w14:paraId="6A86E8E0">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土壤和沉积物 汞、砷、硒、铋、锑的测定 微波消解/原子荧光法 </w:t>
            </w:r>
          </w:p>
          <w:p w14:paraId="543C9EF5">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（HJ 680-2013）</w:t>
            </w:r>
          </w:p>
        </w:tc>
        <w:tc>
          <w:tcPr>
            <w:tcW w:w="965" w:type="dxa"/>
            <w:noWrap w:val="0"/>
            <w:tcMar>
              <w:left w:w="0" w:type="dxa"/>
              <w:right w:w="0" w:type="dxa"/>
            </w:tcMar>
            <w:vAlign w:val="center"/>
          </w:tcPr>
          <w:p w14:paraId="1E9DAE2F">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0.01 mg/kg</w:t>
            </w:r>
          </w:p>
        </w:tc>
        <w:tc>
          <w:tcPr>
            <w:tcW w:w="2023" w:type="dxa"/>
            <w:noWrap w:val="0"/>
            <w:tcMar>
              <w:left w:w="0" w:type="dxa"/>
              <w:right w:w="0" w:type="dxa"/>
            </w:tcMar>
            <w:vAlign w:val="center"/>
          </w:tcPr>
          <w:p w14:paraId="2C8C14C0">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SK-乐析原子荧光光度计</w:t>
            </w:r>
          </w:p>
        </w:tc>
        <w:tc>
          <w:tcPr>
            <w:tcW w:w="969" w:type="dxa"/>
            <w:noWrap w:val="0"/>
            <w:tcMar>
              <w:left w:w="0" w:type="dxa"/>
              <w:right w:w="0" w:type="dxa"/>
            </w:tcMar>
            <w:vAlign w:val="center"/>
          </w:tcPr>
          <w:p w14:paraId="4DE1CC04">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JHZX-YQ-129</w:t>
            </w:r>
          </w:p>
        </w:tc>
      </w:tr>
      <w:tr w14:paraId="6EDA9E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344" w:type="dxa"/>
            <w:noWrap w:val="0"/>
            <w:tcMar>
              <w:left w:w="0" w:type="dxa"/>
              <w:right w:w="0" w:type="dxa"/>
            </w:tcMar>
            <w:vAlign w:val="center"/>
          </w:tcPr>
          <w:p w14:paraId="260266F5">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8</w:t>
            </w:r>
          </w:p>
        </w:tc>
        <w:tc>
          <w:tcPr>
            <w:tcW w:w="931" w:type="dxa"/>
            <w:noWrap w:val="0"/>
            <w:tcMar>
              <w:left w:w="0" w:type="dxa"/>
              <w:right w:w="0" w:type="dxa"/>
            </w:tcMar>
            <w:vAlign w:val="center"/>
          </w:tcPr>
          <w:p w14:paraId="58EE193A">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铬</w:t>
            </w:r>
          </w:p>
        </w:tc>
        <w:tc>
          <w:tcPr>
            <w:tcW w:w="3503" w:type="dxa"/>
            <w:noWrap w:val="0"/>
            <w:tcMar>
              <w:left w:w="0" w:type="dxa"/>
              <w:right w:w="0" w:type="dxa"/>
            </w:tcMar>
            <w:vAlign w:val="center"/>
          </w:tcPr>
          <w:p w14:paraId="2063ABCD">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土壤和沉积物 铜、锌、铅、镍、铬的测定火焰原子吸收分光光度法</w:t>
            </w:r>
          </w:p>
          <w:p w14:paraId="4F486E8C">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（HJ 491-2019）</w:t>
            </w:r>
          </w:p>
        </w:tc>
        <w:tc>
          <w:tcPr>
            <w:tcW w:w="965" w:type="dxa"/>
            <w:noWrap w:val="0"/>
            <w:tcMar>
              <w:left w:w="0" w:type="dxa"/>
              <w:right w:w="0" w:type="dxa"/>
            </w:tcMar>
            <w:vAlign w:val="center"/>
          </w:tcPr>
          <w:p w14:paraId="004F45F2">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4 mg/kg</w:t>
            </w:r>
          </w:p>
        </w:tc>
        <w:tc>
          <w:tcPr>
            <w:tcW w:w="2023" w:type="dxa"/>
            <w:noWrap w:val="0"/>
            <w:tcMar>
              <w:left w:w="0" w:type="dxa"/>
              <w:right w:w="0" w:type="dxa"/>
            </w:tcMar>
            <w:vAlign w:val="center"/>
          </w:tcPr>
          <w:p w14:paraId="4A13BE4B">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AA-7000F/AAC 原子吸收分光</w:t>
            </w:r>
          </w:p>
          <w:p w14:paraId="13DFE917">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光度计</w:t>
            </w:r>
          </w:p>
        </w:tc>
        <w:tc>
          <w:tcPr>
            <w:tcW w:w="969" w:type="dxa"/>
            <w:noWrap w:val="0"/>
            <w:tcMar>
              <w:left w:w="0" w:type="dxa"/>
              <w:right w:w="0" w:type="dxa"/>
            </w:tcMar>
            <w:vAlign w:val="center"/>
          </w:tcPr>
          <w:p w14:paraId="001A6593">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JHZX-YQ-210</w:t>
            </w:r>
          </w:p>
        </w:tc>
      </w:tr>
      <w:tr w14:paraId="7EE1D8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344" w:type="dxa"/>
            <w:noWrap w:val="0"/>
            <w:tcMar>
              <w:left w:w="0" w:type="dxa"/>
              <w:right w:w="0" w:type="dxa"/>
            </w:tcMar>
            <w:vAlign w:val="center"/>
          </w:tcPr>
          <w:p w14:paraId="0EF93D9F">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9</w:t>
            </w:r>
          </w:p>
        </w:tc>
        <w:tc>
          <w:tcPr>
            <w:tcW w:w="931" w:type="dxa"/>
            <w:noWrap w:val="0"/>
            <w:tcMar>
              <w:left w:w="0" w:type="dxa"/>
              <w:right w:w="0" w:type="dxa"/>
            </w:tcMar>
            <w:vAlign w:val="center"/>
          </w:tcPr>
          <w:p w14:paraId="27D50D4E">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镍</w:t>
            </w:r>
          </w:p>
        </w:tc>
        <w:tc>
          <w:tcPr>
            <w:tcW w:w="3503" w:type="dxa"/>
            <w:noWrap w:val="0"/>
            <w:tcMar>
              <w:left w:w="0" w:type="dxa"/>
              <w:right w:w="0" w:type="dxa"/>
            </w:tcMar>
            <w:vAlign w:val="center"/>
          </w:tcPr>
          <w:p w14:paraId="2FF86395">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土壤和沉积物 铜、锌、铅、镍、铬的测定火焰原子吸收分光光度法</w:t>
            </w:r>
          </w:p>
          <w:p w14:paraId="59D7DEA1">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（HJ 491-2019）</w:t>
            </w:r>
          </w:p>
        </w:tc>
        <w:tc>
          <w:tcPr>
            <w:tcW w:w="965" w:type="dxa"/>
            <w:noWrap w:val="0"/>
            <w:tcMar>
              <w:left w:w="0" w:type="dxa"/>
              <w:right w:w="0" w:type="dxa"/>
            </w:tcMar>
            <w:vAlign w:val="center"/>
          </w:tcPr>
          <w:p w14:paraId="709CB3EE">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3 mg/kg</w:t>
            </w:r>
          </w:p>
        </w:tc>
        <w:tc>
          <w:tcPr>
            <w:tcW w:w="2023" w:type="dxa"/>
            <w:noWrap w:val="0"/>
            <w:tcMar>
              <w:left w:w="0" w:type="dxa"/>
              <w:right w:w="0" w:type="dxa"/>
            </w:tcMar>
            <w:vAlign w:val="center"/>
          </w:tcPr>
          <w:p w14:paraId="494DA98C">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AA-7000F/AAC 原子吸收分光</w:t>
            </w:r>
          </w:p>
          <w:p w14:paraId="7B29E01F">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光度计</w:t>
            </w:r>
          </w:p>
        </w:tc>
        <w:tc>
          <w:tcPr>
            <w:tcW w:w="969" w:type="dxa"/>
            <w:noWrap w:val="0"/>
            <w:tcMar>
              <w:left w:w="0" w:type="dxa"/>
              <w:right w:w="0" w:type="dxa"/>
            </w:tcMar>
            <w:vAlign w:val="center"/>
          </w:tcPr>
          <w:p w14:paraId="3CF977FA">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JHZX-YQ-210</w:t>
            </w:r>
          </w:p>
        </w:tc>
      </w:tr>
    </w:tbl>
    <w:p w14:paraId="275DAA58">
      <w:pPr>
        <w:pStyle w:val="6"/>
        <w:numPr>
          <w:ilvl w:val="3"/>
          <w:numId w:val="40"/>
        </w:numPr>
        <w:bidi w:val="0"/>
        <w:ind w:left="0" w:leftChars="0" w:firstLine="0" w:firstLineChars="0"/>
        <w:rPr>
          <w:rFonts w:hint="default"/>
          <w:color w:val="auto"/>
          <w:highlight w:val="none"/>
        </w:rPr>
      </w:pPr>
      <w:r>
        <w:rPr>
          <w:rFonts w:hint="default"/>
          <w:color w:val="auto"/>
          <w:highlight w:val="none"/>
        </w:rPr>
        <w:t>评价方法</w:t>
      </w:r>
    </w:p>
    <w:p w14:paraId="147B133E">
      <w:pPr>
        <w:snapToGrid w:val="0"/>
        <w:spacing w:line="360" w:lineRule="auto"/>
        <w:ind w:firstLine="44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根据《环境影响评价技术导则地表水环境》（HJ2.3-2018），采用水质指数法进行评价。</w:t>
      </w:r>
    </w:p>
    <w:p w14:paraId="20C6480B">
      <w:pPr>
        <w:snapToGrid w:val="0"/>
        <w:spacing w:line="360" w:lineRule="auto"/>
        <w:ind w:firstLine="44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（1）单项水质参数i在第j点的标准指数计算公式：</w:t>
      </w:r>
    </w:p>
    <w:p w14:paraId="4B27D6C0">
      <w:pPr>
        <w:snapToGrid w:val="0"/>
        <w:spacing w:line="360" w:lineRule="auto"/>
        <w:ind w:firstLine="442" w:firstLineChars="200"/>
        <w:jc w:val="center"/>
        <w:rPr>
          <w:rFonts w:hint="default" w:ascii="Times New Roman" w:hAnsi="Times New Roman" w:cs="Times New Roman"/>
          <w:color w:val="auto"/>
          <w:highlight w:val="none"/>
        </w:rPr>
      </w:pPr>
      <w:r>
        <w:rPr>
          <w:rFonts w:hint="default" w:ascii="Times New Roman" w:hAnsi="Times New Roman" w:cs="Times New Roman"/>
          <w:color w:val="auto"/>
          <w:position w:val="-18"/>
          <w:highlight w:val="none"/>
        </w:rPr>
        <w:object>
          <v:shape id="_x0000_i1033" o:spt="75" type="#_x0000_t75" style="height:18.8pt;width:59.5pt;" o:ole="t" filled="f" o:preferrelative="t" stroked="f" coordsize="21600,21600">
            <v:path/>
            <v:fill on="f" focussize="0,0"/>
            <v:stroke on="f"/>
            <v:imagedata r:id="rId62" o:title=""/>
            <o:lock v:ext="edit" aspectratio="t"/>
            <w10:wrap type="none"/>
            <w10:anchorlock/>
          </v:shape>
          <o:OLEObject Type="Embed" ProgID="Equation.3" ShapeID="_x0000_i1033" DrawAspect="Content" ObjectID="_1468075733" r:id="rId61">
            <o:LockedField>false</o:LockedField>
          </o:OLEObject>
        </w:object>
      </w:r>
    </w:p>
    <w:p w14:paraId="3F89D827">
      <w:pPr>
        <w:snapToGrid w:val="0"/>
        <w:spacing w:line="360" w:lineRule="auto"/>
        <w:ind w:firstLine="44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式中：</w:t>
      </w:r>
    </w:p>
    <w:p w14:paraId="2F8DE29D">
      <w:pPr>
        <w:snapToGrid w:val="0"/>
        <w:spacing w:line="360" w:lineRule="auto"/>
        <w:ind w:firstLine="442" w:firstLineChars="200"/>
        <w:rPr>
          <w:rFonts w:hint="default" w:ascii="Times New Roman" w:hAnsi="Times New Roman" w:cs="Times New Roman"/>
          <w:color w:val="auto"/>
          <w:highlight w:val="none"/>
        </w:rPr>
      </w:pPr>
      <w:r>
        <w:rPr>
          <w:rFonts w:hint="default" w:ascii="Times New Roman" w:hAnsi="Times New Roman" w:cs="Times New Roman"/>
          <w:color w:val="auto"/>
          <w:position w:val="-16"/>
          <w:highlight w:val="none"/>
        </w:rPr>
        <w:object>
          <v:shape id="_x0000_i1034" o:spt="75" type="#_x0000_t75" style="height:18.15pt;width:16.9pt;" o:ole="t" filled="f" o:preferrelative="t" stroked="f" coordsize="21600,21600">
            <v:path/>
            <v:fill on="f" focussize="0,0"/>
            <v:stroke on="f"/>
            <v:imagedata r:id="rId64" o:title=""/>
            <o:lock v:ext="edit" aspectratio="t"/>
            <w10:wrap type="none"/>
            <w10:anchorlock/>
          </v:shape>
          <o:OLEObject Type="Embed" ProgID="Equation.3" ShapeID="_x0000_i1034" DrawAspect="Content" ObjectID="_1468075734" r:id="rId63">
            <o:LockedField>false</o:LockedField>
          </o:OLEObject>
        </w:object>
      </w:r>
      <w:r>
        <w:rPr>
          <w:rFonts w:hint="default" w:ascii="Times New Roman" w:hAnsi="Times New Roman" w:cs="Times New Roman"/>
          <w:color w:val="auto"/>
          <w:highlight w:val="none"/>
        </w:rPr>
        <w:t>——单项水质参数i在第j点的标准指数；</w:t>
      </w:r>
    </w:p>
    <w:p w14:paraId="435ED50A">
      <w:pPr>
        <w:snapToGrid w:val="0"/>
        <w:spacing w:line="360" w:lineRule="auto"/>
        <w:ind w:firstLine="442" w:firstLineChars="200"/>
        <w:rPr>
          <w:rFonts w:hint="default" w:ascii="Times New Roman" w:hAnsi="Times New Roman" w:cs="Times New Roman"/>
          <w:color w:val="auto"/>
          <w:highlight w:val="none"/>
        </w:rPr>
      </w:pPr>
      <w:r>
        <w:rPr>
          <w:rFonts w:hint="default" w:ascii="Times New Roman" w:hAnsi="Times New Roman" w:cs="Times New Roman"/>
          <w:color w:val="auto"/>
          <w:position w:val="-14"/>
          <w:highlight w:val="none"/>
        </w:rPr>
        <w:object>
          <v:shape id="_x0000_i1035" o:spt="75" type="#_x0000_t75" style="height:16.9pt;width:18.15pt;" o:ole="t" filled="f" o:preferrelative="t" stroked="f" coordsize="21600,21600">
            <v:path/>
            <v:fill on="f" focussize="0,0"/>
            <v:stroke on="f"/>
            <v:imagedata r:id="rId66" o:title=""/>
            <o:lock v:ext="edit" aspectratio="t"/>
            <w10:wrap type="none"/>
            <w10:anchorlock/>
          </v:shape>
          <o:OLEObject Type="Embed" ProgID="Equation.3" ShapeID="_x0000_i1035" DrawAspect="Content" ObjectID="_1468075735" r:id="rId65">
            <o:LockedField>false</o:LockedField>
          </o:OLEObject>
        </w:object>
      </w:r>
      <w:r>
        <w:rPr>
          <w:rFonts w:hint="default" w:ascii="Times New Roman" w:hAnsi="Times New Roman" w:cs="Times New Roman"/>
          <w:color w:val="auto"/>
          <w:highlight w:val="none"/>
        </w:rPr>
        <w:t>——第i种污染物在第j点的实测浓度值，mg/L；</w:t>
      </w:r>
    </w:p>
    <w:p w14:paraId="3EF77F7A">
      <w:pPr>
        <w:snapToGrid w:val="0"/>
        <w:spacing w:line="360" w:lineRule="auto"/>
        <w:ind w:firstLine="442" w:firstLineChars="200"/>
        <w:rPr>
          <w:rFonts w:hint="default" w:ascii="Times New Roman" w:hAnsi="Times New Roman" w:cs="Times New Roman"/>
          <w:color w:val="auto"/>
          <w:highlight w:val="none"/>
        </w:rPr>
      </w:pPr>
      <w:r>
        <w:rPr>
          <w:rFonts w:hint="default" w:ascii="Times New Roman" w:hAnsi="Times New Roman" w:cs="Times New Roman"/>
          <w:color w:val="auto"/>
          <w:position w:val="-12"/>
          <w:highlight w:val="none"/>
        </w:rPr>
        <w:object>
          <v:shape id="_x0000_i1036" o:spt="75" type="#_x0000_t75" style="height:16.3pt;width:15.65pt;" o:ole="t" filled="f" o:preferrelative="t" stroked="f" coordsize="21600,21600">
            <v:path/>
            <v:fill on="f" focussize="0,0"/>
            <v:stroke on="f"/>
            <v:imagedata r:id="rId68" o:title=""/>
            <o:lock v:ext="edit" aspectratio="t"/>
            <w10:wrap type="none"/>
            <w10:anchorlock/>
          </v:shape>
          <o:OLEObject Type="Embed" ProgID="Equation.3" ShapeID="_x0000_i1036" DrawAspect="Content" ObjectID="_1468075736" r:id="rId67">
            <o:LockedField>false</o:LockedField>
          </o:OLEObject>
        </w:object>
      </w:r>
      <w:r>
        <w:rPr>
          <w:rFonts w:hint="default" w:ascii="Times New Roman" w:hAnsi="Times New Roman" w:cs="Times New Roman"/>
          <w:color w:val="auto"/>
          <w:highlight w:val="none"/>
        </w:rPr>
        <w:t>——第i种污染物评价标准值，mg/L。</w:t>
      </w:r>
    </w:p>
    <w:p w14:paraId="27857316">
      <w:pPr>
        <w:snapToGrid w:val="0"/>
        <w:spacing w:line="360" w:lineRule="auto"/>
        <w:ind w:firstLine="44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（2）pH的标准指数为：</w:t>
      </w:r>
    </w:p>
    <w:p w14:paraId="270DE5EB">
      <w:pPr>
        <w:snapToGrid w:val="0"/>
        <w:spacing w:line="360" w:lineRule="auto"/>
        <w:ind w:firstLine="442" w:firstLineChars="200"/>
        <w:jc w:val="center"/>
        <w:rPr>
          <w:rFonts w:hint="default" w:ascii="Times New Roman" w:hAnsi="Times New Roman" w:cs="Times New Roman"/>
          <w:color w:val="auto"/>
          <w:szCs w:val="21"/>
          <w:highlight w:val="none"/>
        </w:rPr>
      </w:pPr>
      <w:r>
        <w:rPr>
          <w:rFonts w:hint="default" w:ascii="Times New Roman" w:hAnsi="Times New Roman" w:cs="Times New Roman"/>
          <w:color w:val="auto"/>
          <w:position w:val="-68"/>
          <w:szCs w:val="21"/>
          <w:highlight w:val="none"/>
        </w:rPr>
        <w:object>
          <v:shape id="_x0000_i1037" o:spt="75" type="#_x0000_t75" style="height:71.35pt;width:87.05pt;" o:ole="t" filled="f" o:preferrelative="t" stroked="f" coordsize="21600,21600">
            <v:path/>
            <v:fill on="f" focussize="0,0"/>
            <v:stroke on="f"/>
            <v:imagedata r:id="rId70" o:title=""/>
            <o:lock v:ext="edit" aspectratio="t"/>
            <w10:wrap type="none"/>
            <w10:anchorlock/>
          </v:shape>
          <o:OLEObject Type="Embed" ProgID="Equation.3" ShapeID="_x0000_i1037" DrawAspect="Content" ObjectID="_1468075737" r:id="rId69">
            <o:LockedField>false</o:LockedField>
          </o:OLEObject>
        </w:object>
      </w:r>
      <w:r>
        <w:rPr>
          <w:rFonts w:hint="default" w:ascii="Times New Roman" w:hAnsi="Times New Roman" w:cs="Times New Roman"/>
          <w:color w:val="auto"/>
          <w:position w:val="-48"/>
          <w:szCs w:val="21"/>
          <w:highlight w:val="none"/>
        </w:rPr>
        <w:object>
          <v:shape id="_x0000_i1038" o:spt="75" type="#_x0000_t75" style="height:52.6pt;width:50.1pt;" o:ole="t" filled="f" o:preferrelative="t" stroked="f" coordsize="21600,21600">
            <v:path/>
            <v:fill on="f" focussize="0,0"/>
            <v:stroke on="f"/>
            <v:imagedata r:id="rId72" o:title=""/>
            <o:lock v:ext="edit" aspectratio="t"/>
            <w10:wrap type="none"/>
            <w10:anchorlock/>
          </v:shape>
          <o:OLEObject Type="Embed" ProgID="Equation.3" ShapeID="_x0000_i1038" DrawAspect="Content" ObjectID="_1468075738" r:id="rId71">
            <o:LockedField>false</o:LockedField>
          </o:OLEObject>
        </w:object>
      </w:r>
    </w:p>
    <w:p w14:paraId="0C8A58BD">
      <w:pPr>
        <w:snapToGrid w:val="0"/>
        <w:spacing w:line="360" w:lineRule="auto"/>
        <w:ind w:firstLine="44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式中：</w:t>
      </w:r>
    </w:p>
    <w:p w14:paraId="10691B1A">
      <w:pPr>
        <w:snapToGrid w:val="0"/>
        <w:spacing w:line="360" w:lineRule="auto"/>
        <w:ind w:firstLine="442" w:firstLineChars="200"/>
        <w:rPr>
          <w:rFonts w:hint="default" w:ascii="Times New Roman" w:hAnsi="Times New Roman" w:cs="Times New Roman"/>
          <w:color w:val="auto"/>
          <w:highlight w:val="none"/>
        </w:rPr>
      </w:pPr>
      <w:r>
        <w:rPr>
          <w:rFonts w:hint="default" w:ascii="Times New Roman" w:hAnsi="Times New Roman" w:cs="Times New Roman"/>
          <w:color w:val="auto"/>
          <w:position w:val="-14"/>
          <w:highlight w:val="none"/>
        </w:rPr>
        <w:object>
          <v:shape id="_x0000_i1039" o:spt="75" type="#_x0000_t75" style="height:18.8pt;width:20.65pt;" o:ole="t" filled="f" o:preferrelative="t" stroked="f" coordsize="21600,21600">
            <v:path/>
            <v:fill on="f" focussize="0,0"/>
            <v:stroke on="f"/>
            <v:imagedata r:id="rId74" o:title=""/>
            <o:lock v:ext="edit" aspectratio="t"/>
            <w10:wrap type="none"/>
            <w10:anchorlock/>
          </v:shape>
          <o:OLEObject Type="Embed" ProgID="Equation.3" ShapeID="_x0000_i1039" DrawAspect="Content" ObjectID="_1468075739" r:id="rId73">
            <o:LockedField>false</o:LockedField>
          </o:OLEObject>
        </w:object>
      </w:r>
      <w:r>
        <w:rPr>
          <w:rFonts w:hint="default" w:ascii="Times New Roman" w:hAnsi="Times New Roman" w:cs="Times New Roman"/>
          <w:color w:val="auto"/>
          <w:highlight w:val="none"/>
        </w:rPr>
        <w:t>——pH值的单项质量指数；</w:t>
      </w:r>
    </w:p>
    <w:p w14:paraId="753F34B5">
      <w:pPr>
        <w:snapToGrid w:val="0"/>
        <w:spacing w:line="360" w:lineRule="auto"/>
        <w:ind w:firstLine="44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hint="default" w:ascii="Times New Roman" w:hAnsi="Times New Roman" w:cs="Times New Roman"/>
          <w:color w:val="auto"/>
          <w:position w:val="-14"/>
          <w:highlight w:val="none"/>
        </w:rPr>
        <w:object>
          <v:shape id="_x0000_i1040" o:spt="75" type="#_x0000_t75" style="height:18.8pt;width:25.05pt;" o:ole="t" filled="f" o:preferrelative="t" stroked="f" coordsize="21600,21600">
            <v:path/>
            <v:fill on="f" focussize="0,0"/>
            <v:stroke on="f"/>
            <v:imagedata r:id="rId76" o:title=""/>
            <o:lock v:ext="edit" aspectratio="t"/>
            <w10:wrap type="none"/>
            <w10:anchorlock/>
          </v:shape>
          <o:OLEObject Type="Embed" ProgID="Equation.3" ShapeID="_x0000_i1040" DrawAspect="Content" ObjectID="_1468075740" r:id="rId75">
            <o:LockedField>false</o:LockedField>
          </o:OLEObject>
        </w:object>
      </w:r>
      <w:r>
        <w:rPr>
          <w:rFonts w:hint="default" w:ascii="Times New Roman" w:hAnsi="Times New Roman" w:cs="Times New Roman"/>
          <w:color w:val="auto"/>
          <w:highlight w:val="none"/>
        </w:rPr>
        <w:t>——地表水pH值的实测值；</w:t>
      </w:r>
    </w:p>
    <w:p w14:paraId="701D64BC">
      <w:pPr>
        <w:snapToGrid w:val="0"/>
        <w:spacing w:line="360" w:lineRule="auto"/>
        <w:ind w:firstLine="44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hint="default" w:ascii="Times New Roman" w:hAnsi="Times New Roman" w:cs="Times New Roman"/>
          <w:color w:val="auto"/>
          <w:position w:val="-12"/>
          <w:highlight w:val="none"/>
        </w:rPr>
        <w:object>
          <v:shape id="_x0000_i1041" o:spt="75" type="#_x0000_t75" style="height:17.55pt;width:27.55pt;" o:ole="t" filled="f" o:preferrelative="t" stroked="f" coordsize="21600,21600">
            <v:path/>
            <v:fill on="f" focussize="0,0"/>
            <v:stroke on="f"/>
            <v:imagedata r:id="rId78" o:title=""/>
            <o:lock v:ext="edit" aspectratio="t"/>
            <w10:wrap type="none"/>
            <w10:anchorlock/>
          </v:shape>
          <o:OLEObject Type="Embed" ProgID="Equation.3" ShapeID="_x0000_i1041" DrawAspect="Content" ObjectID="_1468075741" r:id="rId77">
            <o:LockedField>false</o:LockedField>
          </o:OLEObject>
        </w:object>
      </w:r>
      <w:r>
        <w:rPr>
          <w:rFonts w:hint="default" w:ascii="Times New Roman" w:hAnsi="Times New Roman" w:cs="Times New Roman"/>
          <w:color w:val="auto"/>
          <w:highlight w:val="none"/>
        </w:rPr>
        <w:t>——地表水水质标准中规定的pH值上限；</w:t>
      </w:r>
    </w:p>
    <w:p w14:paraId="2A4D4DCB">
      <w:pPr>
        <w:snapToGrid w:val="0"/>
        <w:spacing w:line="360" w:lineRule="auto"/>
        <w:ind w:firstLine="44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hint="default" w:ascii="Times New Roman" w:hAnsi="Times New Roman" w:cs="Times New Roman"/>
          <w:color w:val="auto"/>
          <w:position w:val="-12"/>
          <w:highlight w:val="none"/>
        </w:rPr>
        <w:object>
          <v:shape id="_x0000_i1042" o:spt="75" type="#_x0000_t75" style="height:17.55pt;width:29.45pt;" o:ole="t" filled="f" o:preferrelative="t" stroked="f" coordsize="21600,21600">
            <v:path/>
            <v:fill on="f" focussize="0,0"/>
            <v:stroke on="f"/>
            <v:imagedata r:id="rId80" o:title=""/>
            <o:lock v:ext="edit" aspectratio="t"/>
            <w10:wrap type="none"/>
            <w10:anchorlock/>
          </v:shape>
          <o:OLEObject Type="Embed" ProgID="Equation.3" ShapeID="_x0000_i1042" DrawAspect="Content" ObjectID="_1468075742" r:id="rId79">
            <o:LockedField>false</o:LockedField>
          </o:OLEObject>
        </w:object>
      </w:r>
      <w:r>
        <w:rPr>
          <w:rFonts w:hint="default" w:ascii="Times New Roman" w:hAnsi="Times New Roman" w:cs="Times New Roman"/>
          <w:color w:val="auto"/>
          <w:highlight w:val="none"/>
        </w:rPr>
        <w:t>——地表水水质标准中规定的pH值下限。</w:t>
      </w:r>
    </w:p>
    <w:p w14:paraId="1B4321E9">
      <w:pPr>
        <w:snapToGrid w:val="0"/>
        <w:spacing w:line="360" w:lineRule="auto"/>
        <w:ind w:firstLine="44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（3）溶解氧的标准指数为：</w:t>
      </w:r>
    </w:p>
    <w:p w14:paraId="1B892A97">
      <w:pPr>
        <w:snapToGrid w:val="0"/>
        <w:spacing w:line="360" w:lineRule="auto"/>
        <w:ind w:firstLine="442" w:firstLineChars="20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43" o:spt="75" type="#_x0000_t75" style="height:39pt;width:79.5pt;" o:ole="t" filled="f" o:preferrelative="t" stroked="f" coordsize="21600,21600">
            <v:path/>
            <v:fill on="f" focussize="0,0"/>
            <v:stroke on="f"/>
            <v:imagedata r:id="rId82" o:title=""/>
            <o:lock v:ext="edit" aspectratio="t"/>
            <w10:wrap type="none"/>
            <w10:anchorlock/>
          </v:shape>
          <o:OLEObject Type="Embed" ProgID="Equation.3" ShapeID="_x0000_i1043" DrawAspect="Content" ObjectID="_1468075743" r:id="rId81">
            <o:LockedField>false</o:LockedField>
          </o:OLEObject>
        </w:object>
      </w:r>
      <w:r>
        <w:rPr>
          <w:rFonts w:hint="default" w:ascii="Times New Roman" w:hAnsi="Times New Roman" w:cs="Times New Roman"/>
          <w:color w:val="auto"/>
          <w:highlight w:val="none"/>
        </w:rPr>
        <w:t>（Ci≥Bi）</w:t>
      </w:r>
    </w:p>
    <w:p w14:paraId="5237AF16">
      <w:pPr>
        <w:snapToGrid w:val="0"/>
        <w:spacing w:line="360" w:lineRule="auto"/>
        <w:ind w:firstLine="442" w:firstLineChars="20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44" o:spt="75" type="#_x0000_t75" style="height:19pt;width:83.5pt;" o:ole="t" filled="f" o:preferrelative="t" stroked="f" coordsize="21600,21600">
            <v:path/>
            <v:fill on="f" focussize="0,0"/>
            <v:stroke on="f"/>
            <v:imagedata r:id="rId84" o:title=""/>
            <o:lock v:ext="edit" aspectratio="t"/>
            <w10:wrap type="none"/>
            <w10:anchorlock/>
          </v:shape>
          <o:OLEObject Type="Embed" ProgID="Equation.3" ShapeID="_x0000_i1044" DrawAspect="Content" ObjectID="_1468075744" r:id="rId83">
            <o:LockedField>false</o:LockedField>
          </o:OLEObject>
        </w:object>
      </w:r>
      <w:r>
        <w:rPr>
          <w:rFonts w:hint="default" w:ascii="Times New Roman" w:hAnsi="Times New Roman" w:cs="Times New Roman"/>
          <w:color w:val="auto"/>
          <w:highlight w:val="none"/>
        </w:rPr>
        <w:t xml:space="preserve"> （Ci＜Bi）</w:t>
      </w:r>
    </w:p>
    <w:p w14:paraId="7076AE17">
      <w:pPr>
        <w:snapToGrid w:val="0"/>
        <w:spacing w:line="360" w:lineRule="auto"/>
        <w:ind w:firstLine="44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式中：</w:t>
      </w:r>
    </w:p>
    <w:p w14:paraId="530B8FBE">
      <w:pPr>
        <w:snapToGrid w:val="0"/>
        <w:spacing w:line="360" w:lineRule="auto"/>
        <w:ind w:firstLine="44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DO——饱和溶解氧，DOf＝468/(31.6+t)；</w:t>
      </w:r>
    </w:p>
    <w:p w14:paraId="1287B5B9">
      <w:pPr>
        <w:snapToGrid w:val="0"/>
        <w:spacing w:line="360" w:lineRule="auto"/>
        <w:ind w:firstLine="44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t——水温，取25℃；</w:t>
      </w:r>
    </w:p>
    <w:p w14:paraId="02196577">
      <w:pPr>
        <w:snapToGrid w:val="0"/>
        <w:spacing w:line="360" w:lineRule="auto"/>
        <w:ind w:firstLine="44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Ci——溶解氧实测值，mg/L；</w:t>
      </w:r>
    </w:p>
    <w:p w14:paraId="46AEFA0D">
      <w:pPr>
        <w:snapToGrid w:val="0"/>
        <w:spacing w:line="360" w:lineRule="auto"/>
        <w:ind w:firstLine="44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Bi——溶解氧的评价标准限值，mg/L。</w:t>
      </w:r>
    </w:p>
    <w:p w14:paraId="7D5325E1">
      <w:pPr>
        <w:snapToGrid w:val="0"/>
        <w:spacing w:line="360" w:lineRule="auto"/>
        <w:ind w:firstLine="44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若水质参数的标准指数＞1，则表明该项水质参数超过了规定的水质标准，已不能满足标准相应的使用功能要求。</w:t>
      </w:r>
    </w:p>
    <w:p w14:paraId="100840BD">
      <w:pPr>
        <w:pStyle w:val="6"/>
        <w:numPr>
          <w:ilvl w:val="3"/>
          <w:numId w:val="40"/>
        </w:numPr>
        <w:bidi w:val="0"/>
        <w:ind w:left="0" w:leftChars="0" w:firstLine="0" w:firstLineChars="0"/>
        <w:rPr>
          <w:rFonts w:hint="default"/>
          <w:color w:val="auto"/>
          <w:highlight w:val="none"/>
        </w:rPr>
      </w:pPr>
      <w:r>
        <w:rPr>
          <w:rFonts w:hint="default"/>
          <w:color w:val="auto"/>
          <w:highlight w:val="none"/>
        </w:rPr>
        <w:t>监测结果与评价</w:t>
      </w:r>
    </w:p>
    <w:p w14:paraId="0CB9A084">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color w:val="auto"/>
          <w:sz w:val="24"/>
          <w:highlight w:val="none"/>
        </w:rPr>
      </w:pPr>
      <w:r>
        <w:rPr>
          <w:rFonts w:hint="eastAsia"/>
          <w:b/>
          <w:bCs/>
          <w:color w:val="auto"/>
          <w:sz w:val="24"/>
          <w:highlight w:val="none"/>
        </w:rPr>
        <w:t>W1水环境质量现状监测结果及评价表</w:t>
      </w:r>
      <w:r>
        <w:rPr>
          <w:rFonts w:hint="eastAsia" w:eastAsia="宋体"/>
          <w:b/>
          <w:bCs/>
          <w:color w:val="auto"/>
          <w:sz w:val="24"/>
          <w:highlight w:val="none"/>
          <w:lang w:val="en-US" w:eastAsia="zh-CN"/>
        </w:rPr>
        <w:t xml:space="preserve">  </w:t>
      </w:r>
      <w:r>
        <w:rPr>
          <w:rFonts w:hint="eastAsia"/>
          <w:b/>
          <w:bCs/>
          <w:color w:val="auto"/>
          <w:sz w:val="24"/>
          <w:highlight w:val="none"/>
        </w:rPr>
        <w:t>单位：mg/L，pH值无量纲</w:t>
      </w:r>
    </w:p>
    <w:tbl>
      <w:tblPr>
        <w:tblStyle w:val="8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7"/>
        <w:gridCol w:w="991"/>
        <w:gridCol w:w="983"/>
        <w:gridCol w:w="1095"/>
        <w:gridCol w:w="974"/>
        <w:gridCol w:w="1325"/>
        <w:gridCol w:w="641"/>
        <w:gridCol w:w="804"/>
        <w:gridCol w:w="703"/>
      </w:tblGrid>
      <w:tr w14:paraId="1C2CCC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1307" w:type="dxa"/>
            <w:vMerge w:val="restart"/>
            <w:tcBorders>
              <w:tl2br w:val="nil"/>
              <w:tr2bl w:val="nil"/>
            </w:tcBorders>
            <w:noWrap w:val="0"/>
            <w:vAlign w:val="center"/>
          </w:tcPr>
          <w:p w14:paraId="312E0F80">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监测项目</w:t>
            </w:r>
          </w:p>
        </w:tc>
        <w:tc>
          <w:tcPr>
            <w:tcW w:w="3069" w:type="dxa"/>
            <w:gridSpan w:val="3"/>
            <w:tcBorders>
              <w:tl2br w:val="nil"/>
              <w:tr2bl w:val="nil"/>
            </w:tcBorders>
            <w:noWrap w:val="0"/>
            <w:vAlign w:val="center"/>
          </w:tcPr>
          <w:p w14:paraId="7FAC6647">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监测点位及监测结果</w:t>
            </w:r>
          </w:p>
        </w:tc>
        <w:tc>
          <w:tcPr>
            <w:tcW w:w="974" w:type="dxa"/>
            <w:vMerge w:val="restart"/>
            <w:tcBorders>
              <w:tl2br w:val="nil"/>
              <w:tr2bl w:val="nil"/>
            </w:tcBorders>
            <w:noWrap w:val="0"/>
            <w:vAlign w:val="center"/>
          </w:tcPr>
          <w:p w14:paraId="2522D10F">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highlight w:val="none"/>
                <w:lang w:val="en-US" w:eastAsia="zh-CN"/>
              </w:rPr>
            </w:pPr>
            <w:r>
              <w:rPr>
                <w:rFonts w:hint="eastAsia" w:ascii="Times New Roman" w:cs="Times New Roman"/>
                <w:b/>
                <w:bCs/>
                <w:color w:val="auto"/>
                <w:sz w:val="21"/>
                <w:szCs w:val="21"/>
                <w:highlight w:val="none"/>
                <w:lang w:val="en-US" w:eastAsia="zh-CN"/>
              </w:rPr>
              <w:t>Ⅳ</w:t>
            </w:r>
            <w:r>
              <w:rPr>
                <w:rFonts w:hint="default" w:ascii="Times New Roman" w:hAnsi="Times New Roman" w:eastAsia="宋体" w:cs="Times New Roman"/>
                <w:b/>
                <w:bCs/>
                <w:color w:val="auto"/>
                <w:sz w:val="21"/>
                <w:szCs w:val="21"/>
                <w:highlight w:val="none"/>
                <w:lang w:val="en-US" w:eastAsia="zh-CN"/>
              </w:rPr>
              <w:t>类标准</w:t>
            </w:r>
          </w:p>
        </w:tc>
        <w:tc>
          <w:tcPr>
            <w:tcW w:w="1325" w:type="dxa"/>
            <w:vMerge w:val="restart"/>
            <w:tcBorders>
              <w:tl2br w:val="nil"/>
              <w:tr2bl w:val="nil"/>
            </w:tcBorders>
            <w:noWrap w:val="0"/>
            <w:vAlign w:val="center"/>
          </w:tcPr>
          <w:p w14:paraId="254B7B75">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标准指数</w:t>
            </w:r>
          </w:p>
        </w:tc>
        <w:tc>
          <w:tcPr>
            <w:tcW w:w="641" w:type="dxa"/>
            <w:vMerge w:val="restart"/>
            <w:tcBorders>
              <w:tl2br w:val="nil"/>
              <w:tr2bl w:val="nil"/>
            </w:tcBorders>
            <w:noWrap w:val="0"/>
            <w:vAlign w:val="center"/>
          </w:tcPr>
          <w:p w14:paraId="3DEB254A">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超标率/%</w:t>
            </w:r>
          </w:p>
        </w:tc>
        <w:tc>
          <w:tcPr>
            <w:tcW w:w="804" w:type="dxa"/>
            <w:vMerge w:val="restart"/>
            <w:tcBorders>
              <w:tl2br w:val="nil"/>
              <w:tr2bl w:val="nil"/>
            </w:tcBorders>
            <w:noWrap w:val="0"/>
            <w:vAlign w:val="center"/>
          </w:tcPr>
          <w:p w14:paraId="1D643F66">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最大超标倍数</w:t>
            </w:r>
          </w:p>
        </w:tc>
        <w:tc>
          <w:tcPr>
            <w:tcW w:w="703" w:type="dxa"/>
            <w:vMerge w:val="restart"/>
            <w:tcBorders>
              <w:tl2br w:val="nil"/>
              <w:tr2bl w:val="nil"/>
            </w:tcBorders>
            <w:noWrap w:val="0"/>
            <w:vAlign w:val="center"/>
          </w:tcPr>
          <w:p w14:paraId="1D7BA276">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是否达标</w:t>
            </w:r>
          </w:p>
        </w:tc>
      </w:tr>
      <w:tr w14:paraId="7D7B63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1307" w:type="dxa"/>
            <w:vMerge w:val="continue"/>
            <w:tcBorders>
              <w:tl2br w:val="nil"/>
              <w:tr2bl w:val="nil"/>
            </w:tcBorders>
            <w:noWrap w:val="0"/>
            <w:vAlign w:val="center"/>
          </w:tcPr>
          <w:p w14:paraId="7960EB70">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color w:val="auto"/>
                <w:sz w:val="21"/>
                <w:szCs w:val="21"/>
                <w:highlight w:val="none"/>
              </w:rPr>
            </w:pPr>
          </w:p>
        </w:tc>
        <w:tc>
          <w:tcPr>
            <w:tcW w:w="3069" w:type="dxa"/>
            <w:gridSpan w:val="3"/>
            <w:tcBorders>
              <w:tl2br w:val="nil"/>
              <w:tr2bl w:val="nil"/>
            </w:tcBorders>
            <w:noWrap w:val="0"/>
            <w:vAlign w:val="center"/>
          </w:tcPr>
          <w:p w14:paraId="4F2664BA">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W1项目上游500m</w:t>
            </w:r>
          </w:p>
        </w:tc>
        <w:tc>
          <w:tcPr>
            <w:tcW w:w="974" w:type="dxa"/>
            <w:vMerge w:val="continue"/>
            <w:tcBorders>
              <w:tl2br w:val="nil"/>
              <w:tr2bl w:val="nil"/>
            </w:tcBorders>
            <w:noWrap w:val="0"/>
            <w:vAlign w:val="center"/>
          </w:tcPr>
          <w:p w14:paraId="123FBC49">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highlight w:val="none"/>
                <w:lang w:val="en-US" w:eastAsia="zh-CN"/>
              </w:rPr>
            </w:pPr>
          </w:p>
        </w:tc>
        <w:tc>
          <w:tcPr>
            <w:tcW w:w="1325" w:type="dxa"/>
            <w:vMerge w:val="continue"/>
            <w:tcBorders>
              <w:tl2br w:val="nil"/>
              <w:tr2bl w:val="nil"/>
            </w:tcBorders>
            <w:noWrap w:val="0"/>
            <w:vAlign w:val="center"/>
          </w:tcPr>
          <w:p w14:paraId="002CB779">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highlight w:val="none"/>
                <w:lang w:val="en-US" w:eastAsia="zh-CN"/>
              </w:rPr>
            </w:pPr>
          </w:p>
        </w:tc>
        <w:tc>
          <w:tcPr>
            <w:tcW w:w="641" w:type="dxa"/>
            <w:vMerge w:val="continue"/>
            <w:tcBorders>
              <w:tl2br w:val="nil"/>
              <w:tr2bl w:val="nil"/>
            </w:tcBorders>
            <w:noWrap w:val="0"/>
            <w:vAlign w:val="center"/>
          </w:tcPr>
          <w:p w14:paraId="79D72AC7">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highlight w:val="none"/>
                <w:lang w:val="en-US" w:eastAsia="zh-CN"/>
              </w:rPr>
            </w:pPr>
          </w:p>
        </w:tc>
        <w:tc>
          <w:tcPr>
            <w:tcW w:w="804" w:type="dxa"/>
            <w:vMerge w:val="continue"/>
            <w:tcBorders>
              <w:tl2br w:val="nil"/>
              <w:tr2bl w:val="nil"/>
            </w:tcBorders>
            <w:noWrap w:val="0"/>
            <w:vAlign w:val="center"/>
          </w:tcPr>
          <w:p w14:paraId="4E44CF9F">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highlight w:val="none"/>
                <w:lang w:val="en-US" w:eastAsia="zh-CN"/>
              </w:rPr>
            </w:pPr>
          </w:p>
        </w:tc>
        <w:tc>
          <w:tcPr>
            <w:tcW w:w="703" w:type="dxa"/>
            <w:vMerge w:val="continue"/>
            <w:tcBorders>
              <w:tl2br w:val="nil"/>
              <w:tr2bl w:val="nil"/>
            </w:tcBorders>
            <w:noWrap w:val="0"/>
            <w:vAlign w:val="center"/>
          </w:tcPr>
          <w:p w14:paraId="40EE17BB">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highlight w:val="none"/>
                <w:lang w:val="en-US" w:eastAsia="zh-CN"/>
              </w:rPr>
            </w:pPr>
          </w:p>
        </w:tc>
      </w:tr>
      <w:tr w14:paraId="035630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1307" w:type="dxa"/>
            <w:vMerge w:val="continue"/>
            <w:tcBorders>
              <w:tl2br w:val="nil"/>
              <w:tr2bl w:val="nil"/>
            </w:tcBorders>
            <w:noWrap w:val="0"/>
            <w:vAlign w:val="center"/>
          </w:tcPr>
          <w:p w14:paraId="055E3EBC">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color w:val="auto"/>
                <w:sz w:val="21"/>
                <w:szCs w:val="21"/>
                <w:highlight w:val="none"/>
              </w:rPr>
            </w:pPr>
          </w:p>
        </w:tc>
        <w:tc>
          <w:tcPr>
            <w:tcW w:w="991" w:type="dxa"/>
            <w:tcBorders>
              <w:tl2br w:val="nil"/>
              <w:tr2bl w:val="nil"/>
            </w:tcBorders>
            <w:noWrap w:val="0"/>
            <w:vAlign w:val="center"/>
          </w:tcPr>
          <w:p w14:paraId="41B30564">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202</w:t>
            </w:r>
            <w:r>
              <w:rPr>
                <w:rFonts w:hint="default" w:ascii="Times New Roman" w:hAnsi="Times New Roman" w:cs="Times New Roman"/>
                <w:b/>
                <w:bCs w:val="0"/>
                <w:color w:val="auto"/>
                <w:sz w:val="21"/>
                <w:szCs w:val="21"/>
                <w:highlight w:val="none"/>
                <w:lang w:val="en-US" w:eastAsia="zh-CN"/>
              </w:rPr>
              <w:t>4.12.7</w:t>
            </w:r>
          </w:p>
        </w:tc>
        <w:tc>
          <w:tcPr>
            <w:tcW w:w="983" w:type="dxa"/>
            <w:tcBorders>
              <w:tl2br w:val="nil"/>
              <w:tr2bl w:val="nil"/>
            </w:tcBorders>
            <w:noWrap w:val="0"/>
            <w:vAlign w:val="center"/>
          </w:tcPr>
          <w:p w14:paraId="1198A58D">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2024.12.8</w:t>
            </w:r>
          </w:p>
        </w:tc>
        <w:tc>
          <w:tcPr>
            <w:tcW w:w="1095" w:type="dxa"/>
            <w:tcBorders>
              <w:tl2br w:val="nil"/>
              <w:tr2bl w:val="nil"/>
            </w:tcBorders>
            <w:noWrap w:val="0"/>
            <w:vAlign w:val="center"/>
          </w:tcPr>
          <w:p w14:paraId="7EDF5B3E">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2024.12.9</w:t>
            </w:r>
          </w:p>
        </w:tc>
        <w:tc>
          <w:tcPr>
            <w:tcW w:w="974" w:type="dxa"/>
            <w:vMerge w:val="continue"/>
            <w:tcBorders>
              <w:tl2br w:val="nil"/>
              <w:tr2bl w:val="nil"/>
            </w:tcBorders>
            <w:noWrap w:val="0"/>
            <w:vAlign w:val="center"/>
          </w:tcPr>
          <w:p w14:paraId="3A1493FA">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21"/>
                <w:szCs w:val="21"/>
                <w:highlight w:val="none"/>
                <w:lang w:val="en-US" w:eastAsia="zh-CN"/>
              </w:rPr>
            </w:pPr>
          </w:p>
        </w:tc>
        <w:tc>
          <w:tcPr>
            <w:tcW w:w="1325" w:type="dxa"/>
            <w:vMerge w:val="continue"/>
            <w:tcBorders>
              <w:tl2br w:val="nil"/>
              <w:tr2bl w:val="nil"/>
            </w:tcBorders>
            <w:noWrap w:val="0"/>
            <w:vAlign w:val="center"/>
          </w:tcPr>
          <w:p w14:paraId="2E736B68">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21"/>
                <w:szCs w:val="21"/>
                <w:highlight w:val="none"/>
                <w:lang w:val="en-US" w:eastAsia="zh-CN"/>
              </w:rPr>
            </w:pPr>
          </w:p>
        </w:tc>
        <w:tc>
          <w:tcPr>
            <w:tcW w:w="641" w:type="dxa"/>
            <w:vMerge w:val="continue"/>
            <w:tcBorders>
              <w:tl2br w:val="nil"/>
              <w:tr2bl w:val="nil"/>
            </w:tcBorders>
            <w:noWrap w:val="0"/>
            <w:vAlign w:val="center"/>
          </w:tcPr>
          <w:p w14:paraId="59C1DFDE">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21"/>
                <w:szCs w:val="21"/>
                <w:highlight w:val="none"/>
                <w:lang w:val="en-US" w:eastAsia="zh-CN"/>
              </w:rPr>
            </w:pPr>
          </w:p>
        </w:tc>
        <w:tc>
          <w:tcPr>
            <w:tcW w:w="804" w:type="dxa"/>
            <w:vMerge w:val="continue"/>
            <w:tcBorders>
              <w:tl2br w:val="nil"/>
              <w:tr2bl w:val="nil"/>
            </w:tcBorders>
            <w:noWrap w:val="0"/>
            <w:vAlign w:val="center"/>
          </w:tcPr>
          <w:p w14:paraId="0F2ED0D9">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21"/>
                <w:szCs w:val="21"/>
                <w:highlight w:val="none"/>
                <w:lang w:val="en-US" w:eastAsia="zh-CN"/>
              </w:rPr>
            </w:pPr>
          </w:p>
        </w:tc>
        <w:tc>
          <w:tcPr>
            <w:tcW w:w="703" w:type="dxa"/>
            <w:vMerge w:val="continue"/>
            <w:tcBorders>
              <w:tl2br w:val="nil"/>
              <w:tr2bl w:val="nil"/>
            </w:tcBorders>
            <w:noWrap w:val="0"/>
            <w:vAlign w:val="center"/>
          </w:tcPr>
          <w:p w14:paraId="0DA2AF92">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21"/>
                <w:szCs w:val="21"/>
                <w:highlight w:val="none"/>
                <w:lang w:val="en-US" w:eastAsia="zh-CN"/>
              </w:rPr>
            </w:pPr>
          </w:p>
        </w:tc>
      </w:tr>
      <w:tr w14:paraId="1D504C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07" w:type="dxa"/>
            <w:tcBorders>
              <w:tl2br w:val="nil"/>
              <w:tr2bl w:val="nil"/>
            </w:tcBorders>
            <w:noWrap w:val="0"/>
            <w:vAlign w:val="center"/>
          </w:tcPr>
          <w:p w14:paraId="54731D1C">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pH值</w:t>
            </w:r>
          </w:p>
        </w:tc>
        <w:tc>
          <w:tcPr>
            <w:tcW w:w="991" w:type="dxa"/>
            <w:tcBorders>
              <w:tl2br w:val="nil"/>
              <w:tr2bl w:val="nil"/>
            </w:tcBorders>
            <w:noWrap w:val="0"/>
            <w:vAlign w:val="center"/>
          </w:tcPr>
          <w:p w14:paraId="7BDD0CE5">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83" w:type="dxa"/>
            <w:tcBorders>
              <w:tl2br w:val="nil"/>
              <w:tr2bl w:val="nil"/>
            </w:tcBorders>
            <w:noWrap w:val="0"/>
            <w:vAlign w:val="center"/>
          </w:tcPr>
          <w:p w14:paraId="2CCE2ABF">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1095" w:type="dxa"/>
            <w:tcBorders>
              <w:tl2br w:val="nil"/>
              <w:tr2bl w:val="nil"/>
            </w:tcBorders>
            <w:noWrap w:val="0"/>
            <w:vAlign w:val="center"/>
          </w:tcPr>
          <w:p w14:paraId="44A21EB7">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74" w:type="dxa"/>
            <w:tcBorders>
              <w:tl2br w:val="nil"/>
              <w:tr2bl w:val="nil"/>
            </w:tcBorders>
            <w:noWrap w:val="0"/>
            <w:vAlign w:val="center"/>
          </w:tcPr>
          <w:p w14:paraId="63287D66">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6~9</w:t>
            </w:r>
          </w:p>
        </w:tc>
        <w:tc>
          <w:tcPr>
            <w:tcW w:w="1325" w:type="dxa"/>
            <w:tcBorders>
              <w:tl2br w:val="nil"/>
              <w:tr2bl w:val="nil"/>
            </w:tcBorders>
            <w:noWrap w:val="0"/>
            <w:vAlign w:val="center"/>
          </w:tcPr>
          <w:p w14:paraId="2242D227">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0.75~0.80</w:t>
            </w:r>
          </w:p>
        </w:tc>
        <w:tc>
          <w:tcPr>
            <w:tcW w:w="641" w:type="dxa"/>
            <w:tcBorders>
              <w:tl2br w:val="nil"/>
              <w:tr2bl w:val="nil"/>
            </w:tcBorders>
            <w:noWrap w:val="0"/>
            <w:vAlign w:val="center"/>
          </w:tcPr>
          <w:p w14:paraId="7234DCC5">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0</w:t>
            </w:r>
          </w:p>
        </w:tc>
        <w:tc>
          <w:tcPr>
            <w:tcW w:w="804" w:type="dxa"/>
            <w:tcBorders>
              <w:tl2br w:val="nil"/>
              <w:tr2bl w:val="nil"/>
            </w:tcBorders>
            <w:noWrap w:val="0"/>
            <w:vAlign w:val="center"/>
          </w:tcPr>
          <w:p w14:paraId="324FEAA3">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0</w:t>
            </w:r>
          </w:p>
        </w:tc>
        <w:tc>
          <w:tcPr>
            <w:tcW w:w="703" w:type="dxa"/>
            <w:tcBorders>
              <w:tl2br w:val="nil"/>
              <w:tr2bl w:val="nil"/>
            </w:tcBorders>
            <w:noWrap w:val="0"/>
            <w:vAlign w:val="center"/>
          </w:tcPr>
          <w:p w14:paraId="05922787">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达标</w:t>
            </w:r>
          </w:p>
        </w:tc>
      </w:tr>
      <w:tr w14:paraId="763765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7" w:type="dxa"/>
            <w:tcBorders>
              <w:tl2br w:val="nil"/>
              <w:tr2bl w:val="nil"/>
            </w:tcBorders>
            <w:noWrap w:val="0"/>
            <w:vAlign w:val="center"/>
          </w:tcPr>
          <w:p w14:paraId="3BC5BFF7">
            <w:pPr>
              <w:keepNext w:val="0"/>
              <w:keepLines w:val="0"/>
              <w:pageBreakBefore w:val="0"/>
              <w:widowControl w:val="0"/>
              <w:suppressLineNumbers w:val="0"/>
              <w:kinsoku/>
              <w:wordWrap/>
              <w:overflowPunct/>
              <w:topLinePunct w:val="0"/>
              <w:autoSpaceDE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化学需氧量</w:t>
            </w:r>
          </w:p>
        </w:tc>
        <w:tc>
          <w:tcPr>
            <w:tcW w:w="991" w:type="dxa"/>
            <w:tcBorders>
              <w:tl2br w:val="nil"/>
              <w:tr2bl w:val="nil"/>
            </w:tcBorders>
            <w:noWrap w:val="0"/>
            <w:vAlign w:val="center"/>
          </w:tcPr>
          <w:p w14:paraId="4156C794">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83" w:type="dxa"/>
            <w:tcBorders>
              <w:tl2br w:val="nil"/>
              <w:tr2bl w:val="nil"/>
            </w:tcBorders>
            <w:noWrap w:val="0"/>
            <w:vAlign w:val="center"/>
          </w:tcPr>
          <w:p w14:paraId="7D5921AC">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1095" w:type="dxa"/>
            <w:tcBorders>
              <w:tl2br w:val="nil"/>
              <w:tr2bl w:val="nil"/>
            </w:tcBorders>
            <w:noWrap w:val="0"/>
            <w:vAlign w:val="center"/>
          </w:tcPr>
          <w:p w14:paraId="57C5320F">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74" w:type="dxa"/>
            <w:tcBorders>
              <w:tl2br w:val="nil"/>
              <w:tr2bl w:val="nil"/>
            </w:tcBorders>
            <w:noWrap w:val="0"/>
            <w:vAlign w:val="center"/>
          </w:tcPr>
          <w:p w14:paraId="00A9E24E">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sz w:val="21"/>
                <w:szCs w:val="21"/>
                <w:highlight w:val="none"/>
                <w:u w:val="single"/>
              </w:rPr>
              <w:t>≤</w:t>
            </w:r>
            <w:r>
              <w:rPr>
                <w:rFonts w:hint="eastAsia" w:ascii="Times New Roman" w:cs="Times New Roman"/>
                <w:color w:val="auto"/>
                <w:sz w:val="21"/>
                <w:szCs w:val="21"/>
                <w:highlight w:val="none"/>
                <w:u w:val="single"/>
                <w:lang w:val="en-US" w:eastAsia="zh-CN"/>
              </w:rPr>
              <w:t>30</w:t>
            </w:r>
          </w:p>
        </w:tc>
        <w:tc>
          <w:tcPr>
            <w:tcW w:w="1325" w:type="dxa"/>
            <w:tcBorders>
              <w:tl2br w:val="nil"/>
              <w:tr2bl w:val="nil"/>
            </w:tcBorders>
            <w:noWrap w:val="0"/>
            <w:vAlign w:val="center"/>
          </w:tcPr>
          <w:p w14:paraId="59E5A688">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u w:val="single"/>
                <w:lang w:val="en-US" w:eastAsia="zh-CN"/>
              </w:rPr>
            </w:pPr>
            <w:r>
              <w:rPr>
                <w:rFonts w:hint="eastAsia" w:ascii="Times New Roman" w:eastAsia="等线" w:cs="Times New Roman"/>
                <w:i w:val="0"/>
                <w:iCs w:val="0"/>
                <w:color w:val="auto"/>
                <w:kern w:val="0"/>
                <w:sz w:val="21"/>
                <w:szCs w:val="21"/>
                <w:highlight w:val="none"/>
                <w:u w:val="single"/>
                <w:lang w:val="en-US" w:eastAsia="zh-CN" w:bidi="ar"/>
              </w:rPr>
              <w:t>1.09~1.16</w:t>
            </w:r>
          </w:p>
        </w:tc>
        <w:tc>
          <w:tcPr>
            <w:tcW w:w="641" w:type="dxa"/>
            <w:tcBorders>
              <w:tl2br w:val="nil"/>
              <w:tr2bl w:val="nil"/>
            </w:tcBorders>
            <w:noWrap w:val="0"/>
            <w:vAlign w:val="center"/>
          </w:tcPr>
          <w:p w14:paraId="2D4D0D5A">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b w:val="0"/>
                <w:bCs/>
                <w:color w:val="auto"/>
                <w:sz w:val="21"/>
                <w:szCs w:val="21"/>
                <w:highlight w:val="none"/>
                <w:u w:val="single"/>
                <w:lang w:val="en-US" w:eastAsia="zh-CN"/>
              </w:rPr>
              <w:t>100%</w:t>
            </w:r>
          </w:p>
        </w:tc>
        <w:tc>
          <w:tcPr>
            <w:tcW w:w="804" w:type="dxa"/>
            <w:tcBorders>
              <w:tl2br w:val="nil"/>
              <w:tr2bl w:val="nil"/>
            </w:tcBorders>
            <w:noWrap w:val="0"/>
            <w:vAlign w:val="center"/>
          </w:tcPr>
          <w:p w14:paraId="011DCD4B">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cs="Times New Roman"/>
                <w:b w:val="0"/>
                <w:bCs/>
                <w:color w:val="auto"/>
                <w:sz w:val="21"/>
                <w:szCs w:val="21"/>
                <w:highlight w:val="none"/>
                <w:u w:val="single"/>
                <w:lang w:val="en-US" w:eastAsia="zh-CN"/>
              </w:rPr>
              <w:t>1.16</w:t>
            </w:r>
          </w:p>
        </w:tc>
        <w:tc>
          <w:tcPr>
            <w:tcW w:w="703" w:type="dxa"/>
            <w:tcBorders>
              <w:tl2br w:val="nil"/>
              <w:tr2bl w:val="nil"/>
            </w:tcBorders>
            <w:noWrap w:val="0"/>
            <w:vAlign w:val="center"/>
          </w:tcPr>
          <w:p w14:paraId="56DBD2F6">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sz w:val="21"/>
                <w:szCs w:val="21"/>
                <w:highlight w:val="none"/>
                <w:u w:val="single"/>
                <w:lang w:val="en-US" w:eastAsia="zh-CN"/>
              </w:rPr>
            </w:pPr>
            <w:r>
              <w:rPr>
                <w:rFonts w:hint="default" w:ascii="Times New Roman" w:hAnsi="Times New Roman" w:eastAsia="宋体" w:cs="Times New Roman"/>
                <w:b w:val="0"/>
                <w:bCs/>
                <w:color w:val="auto"/>
                <w:sz w:val="21"/>
                <w:szCs w:val="21"/>
                <w:highlight w:val="none"/>
                <w:u w:val="single"/>
                <w:lang w:val="en-US" w:eastAsia="zh-CN"/>
              </w:rPr>
              <w:t>超标</w:t>
            </w:r>
          </w:p>
        </w:tc>
      </w:tr>
      <w:tr w14:paraId="6A7253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07" w:type="dxa"/>
            <w:tcBorders>
              <w:tl2br w:val="nil"/>
              <w:tr2bl w:val="nil"/>
            </w:tcBorders>
            <w:noWrap w:val="0"/>
            <w:vAlign w:val="center"/>
          </w:tcPr>
          <w:p w14:paraId="4FF1DA30">
            <w:pPr>
              <w:keepNext w:val="0"/>
              <w:keepLines w:val="0"/>
              <w:pageBreakBefore w:val="0"/>
              <w:widowControl w:val="0"/>
              <w:suppressLineNumbers w:val="0"/>
              <w:kinsoku/>
              <w:wordWrap/>
              <w:overflowPunct/>
              <w:topLinePunct w:val="0"/>
              <w:autoSpaceDE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五日生化需氧量</w:t>
            </w:r>
          </w:p>
        </w:tc>
        <w:tc>
          <w:tcPr>
            <w:tcW w:w="991" w:type="dxa"/>
            <w:tcBorders>
              <w:tl2br w:val="nil"/>
              <w:tr2bl w:val="nil"/>
            </w:tcBorders>
            <w:noWrap w:val="0"/>
            <w:vAlign w:val="center"/>
          </w:tcPr>
          <w:p w14:paraId="5A6BF48E">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83" w:type="dxa"/>
            <w:tcBorders>
              <w:tl2br w:val="nil"/>
              <w:tr2bl w:val="nil"/>
            </w:tcBorders>
            <w:noWrap w:val="0"/>
            <w:vAlign w:val="center"/>
          </w:tcPr>
          <w:p w14:paraId="4F3E0643">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1095" w:type="dxa"/>
            <w:tcBorders>
              <w:tl2br w:val="nil"/>
              <w:tr2bl w:val="nil"/>
            </w:tcBorders>
            <w:noWrap w:val="0"/>
            <w:vAlign w:val="center"/>
          </w:tcPr>
          <w:p w14:paraId="3D3B5881">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74" w:type="dxa"/>
            <w:tcBorders>
              <w:tl2br w:val="nil"/>
              <w:tr2bl w:val="nil"/>
            </w:tcBorders>
            <w:noWrap w:val="0"/>
            <w:vAlign w:val="center"/>
          </w:tcPr>
          <w:p w14:paraId="029C6D11">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sz w:val="21"/>
                <w:szCs w:val="21"/>
                <w:highlight w:val="none"/>
                <w:u w:val="single"/>
              </w:rPr>
              <w:t>≤</w:t>
            </w:r>
            <w:r>
              <w:rPr>
                <w:rFonts w:hint="eastAsia" w:ascii="Times New Roman" w:cs="Times New Roman"/>
                <w:color w:val="auto"/>
                <w:sz w:val="21"/>
                <w:szCs w:val="21"/>
                <w:highlight w:val="none"/>
                <w:u w:val="single"/>
                <w:lang w:val="en-US" w:eastAsia="zh-CN"/>
              </w:rPr>
              <w:t>6</w:t>
            </w:r>
          </w:p>
        </w:tc>
        <w:tc>
          <w:tcPr>
            <w:tcW w:w="1325" w:type="dxa"/>
            <w:tcBorders>
              <w:tl2br w:val="nil"/>
              <w:tr2bl w:val="nil"/>
            </w:tcBorders>
            <w:noWrap w:val="0"/>
            <w:vAlign w:val="center"/>
          </w:tcPr>
          <w:p w14:paraId="490D4EEB">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u w:val="single"/>
                <w:lang w:val="en-US" w:eastAsia="zh-CN"/>
              </w:rPr>
            </w:pPr>
            <w:r>
              <w:rPr>
                <w:rFonts w:hint="eastAsia" w:ascii="Times New Roman" w:eastAsia="等线" w:cs="Times New Roman"/>
                <w:i w:val="0"/>
                <w:iCs w:val="0"/>
                <w:color w:val="auto"/>
                <w:kern w:val="0"/>
                <w:sz w:val="21"/>
                <w:szCs w:val="21"/>
                <w:highlight w:val="none"/>
                <w:u w:val="single"/>
                <w:lang w:val="en-US" w:eastAsia="zh-CN" w:bidi="ar"/>
              </w:rPr>
              <w:t>1.20~1.28</w:t>
            </w:r>
          </w:p>
        </w:tc>
        <w:tc>
          <w:tcPr>
            <w:tcW w:w="641" w:type="dxa"/>
            <w:tcBorders>
              <w:tl2br w:val="nil"/>
              <w:tr2bl w:val="nil"/>
            </w:tcBorders>
            <w:noWrap w:val="0"/>
            <w:vAlign w:val="center"/>
          </w:tcPr>
          <w:p w14:paraId="37AFFBA3">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b w:val="0"/>
                <w:bCs/>
                <w:color w:val="auto"/>
                <w:sz w:val="21"/>
                <w:szCs w:val="21"/>
                <w:highlight w:val="none"/>
                <w:u w:val="single"/>
                <w:lang w:val="en-US" w:eastAsia="zh-CN"/>
              </w:rPr>
              <w:t>100%</w:t>
            </w:r>
          </w:p>
        </w:tc>
        <w:tc>
          <w:tcPr>
            <w:tcW w:w="804" w:type="dxa"/>
            <w:tcBorders>
              <w:tl2br w:val="nil"/>
              <w:tr2bl w:val="nil"/>
            </w:tcBorders>
            <w:noWrap w:val="0"/>
            <w:vAlign w:val="center"/>
          </w:tcPr>
          <w:p w14:paraId="7C43CED1">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cs="Times New Roman"/>
                <w:b w:val="0"/>
                <w:bCs/>
                <w:color w:val="auto"/>
                <w:sz w:val="21"/>
                <w:szCs w:val="21"/>
                <w:highlight w:val="none"/>
                <w:u w:val="single"/>
                <w:lang w:val="en-US" w:eastAsia="zh-CN"/>
              </w:rPr>
              <w:t>1.28</w:t>
            </w:r>
          </w:p>
        </w:tc>
        <w:tc>
          <w:tcPr>
            <w:tcW w:w="703" w:type="dxa"/>
            <w:tcBorders>
              <w:tl2br w:val="nil"/>
              <w:tr2bl w:val="nil"/>
            </w:tcBorders>
            <w:noWrap w:val="0"/>
            <w:vAlign w:val="center"/>
          </w:tcPr>
          <w:p w14:paraId="127A9A03">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sz w:val="21"/>
                <w:szCs w:val="21"/>
                <w:highlight w:val="none"/>
                <w:u w:val="single"/>
                <w:lang w:val="en-US" w:eastAsia="zh-CN"/>
              </w:rPr>
            </w:pPr>
            <w:r>
              <w:rPr>
                <w:rFonts w:hint="default" w:ascii="Times New Roman" w:hAnsi="Times New Roman" w:eastAsia="宋体" w:cs="Times New Roman"/>
                <w:b w:val="0"/>
                <w:bCs/>
                <w:color w:val="auto"/>
                <w:sz w:val="21"/>
                <w:szCs w:val="21"/>
                <w:highlight w:val="none"/>
                <w:u w:val="single"/>
                <w:lang w:val="en-US" w:eastAsia="zh-CN"/>
              </w:rPr>
              <w:t>超标</w:t>
            </w:r>
          </w:p>
        </w:tc>
      </w:tr>
      <w:tr w14:paraId="4759D7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07" w:type="dxa"/>
            <w:tcBorders>
              <w:tl2br w:val="nil"/>
              <w:tr2bl w:val="nil"/>
            </w:tcBorders>
            <w:noWrap w:val="0"/>
            <w:vAlign w:val="center"/>
          </w:tcPr>
          <w:p w14:paraId="1E1BE758">
            <w:pPr>
              <w:keepNext w:val="0"/>
              <w:keepLines w:val="0"/>
              <w:pageBreakBefore w:val="0"/>
              <w:widowControl w:val="0"/>
              <w:suppressLineNumbers w:val="0"/>
              <w:kinsoku/>
              <w:wordWrap/>
              <w:overflowPunct/>
              <w:topLinePunct w:val="0"/>
              <w:autoSpaceDE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悬浮物</w:t>
            </w:r>
          </w:p>
        </w:tc>
        <w:tc>
          <w:tcPr>
            <w:tcW w:w="991" w:type="dxa"/>
            <w:tcBorders>
              <w:tl2br w:val="nil"/>
              <w:tr2bl w:val="nil"/>
            </w:tcBorders>
            <w:noWrap w:val="0"/>
            <w:vAlign w:val="center"/>
          </w:tcPr>
          <w:p w14:paraId="38A1B649">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83" w:type="dxa"/>
            <w:tcBorders>
              <w:tl2br w:val="nil"/>
              <w:tr2bl w:val="nil"/>
            </w:tcBorders>
            <w:noWrap w:val="0"/>
            <w:vAlign w:val="center"/>
          </w:tcPr>
          <w:p w14:paraId="79F2A28B">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1095" w:type="dxa"/>
            <w:tcBorders>
              <w:tl2br w:val="nil"/>
              <w:tr2bl w:val="nil"/>
            </w:tcBorders>
            <w:noWrap w:val="0"/>
            <w:vAlign w:val="center"/>
          </w:tcPr>
          <w:p w14:paraId="4669F8E5">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74" w:type="dxa"/>
            <w:tcBorders>
              <w:tl2br w:val="nil"/>
              <w:tr2bl w:val="nil"/>
            </w:tcBorders>
            <w:noWrap w:val="0"/>
            <w:vAlign w:val="center"/>
          </w:tcPr>
          <w:p w14:paraId="52236F38">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325" w:type="dxa"/>
            <w:tcBorders>
              <w:tl2br w:val="nil"/>
              <w:tr2bl w:val="nil"/>
            </w:tcBorders>
            <w:noWrap w:val="0"/>
            <w:vAlign w:val="center"/>
          </w:tcPr>
          <w:p w14:paraId="24A1680F">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0.37~0.40</w:t>
            </w:r>
          </w:p>
        </w:tc>
        <w:tc>
          <w:tcPr>
            <w:tcW w:w="641" w:type="dxa"/>
            <w:tcBorders>
              <w:tl2br w:val="nil"/>
              <w:tr2bl w:val="nil"/>
            </w:tcBorders>
            <w:noWrap w:val="0"/>
            <w:vAlign w:val="center"/>
          </w:tcPr>
          <w:p w14:paraId="67EA0D60">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w:t>
            </w:r>
          </w:p>
        </w:tc>
        <w:tc>
          <w:tcPr>
            <w:tcW w:w="804" w:type="dxa"/>
            <w:tcBorders>
              <w:tl2br w:val="nil"/>
              <w:tr2bl w:val="nil"/>
            </w:tcBorders>
            <w:noWrap w:val="0"/>
            <w:vAlign w:val="center"/>
          </w:tcPr>
          <w:p w14:paraId="51E83DA6">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w:t>
            </w:r>
          </w:p>
        </w:tc>
        <w:tc>
          <w:tcPr>
            <w:tcW w:w="703" w:type="dxa"/>
            <w:tcBorders>
              <w:tl2br w:val="nil"/>
              <w:tr2bl w:val="nil"/>
            </w:tcBorders>
            <w:noWrap w:val="0"/>
            <w:vAlign w:val="center"/>
          </w:tcPr>
          <w:p w14:paraId="5D6267F6">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达标</w:t>
            </w:r>
          </w:p>
        </w:tc>
      </w:tr>
      <w:tr w14:paraId="668578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7" w:type="dxa"/>
            <w:tcBorders>
              <w:tl2br w:val="nil"/>
              <w:tr2bl w:val="nil"/>
            </w:tcBorders>
            <w:noWrap w:val="0"/>
            <w:vAlign w:val="center"/>
          </w:tcPr>
          <w:p w14:paraId="524884DB">
            <w:pPr>
              <w:keepNext w:val="0"/>
              <w:keepLines w:val="0"/>
              <w:pageBreakBefore w:val="0"/>
              <w:widowControl w:val="0"/>
              <w:suppressLineNumbers w:val="0"/>
              <w:kinsoku/>
              <w:wordWrap/>
              <w:overflowPunct/>
              <w:topLinePunct w:val="0"/>
              <w:autoSpaceDE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氨氮</w:t>
            </w:r>
          </w:p>
        </w:tc>
        <w:tc>
          <w:tcPr>
            <w:tcW w:w="991" w:type="dxa"/>
            <w:tcBorders>
              <w:tl2br w:val="nil"/>
              <w:tr2bl w:val="nil"/>
            </w:tcBorders>
            <w:noWrap w:val="0"/>
            <w:vAlign w:val="center"/>
          </w:tcPr>
          <w:p w14:paraId="1992C323">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83" w:type="dxa"/>
            <w:tcBorders>
              <w:tl2br w:val="nil"/>
              <w:tr2bl w:val="nil"/>
            </w:tcBorders>
            <w:noWrap w:val="0"/>
            <w:vAlign w:val="center"/>
          </w:tcPr>
          <w:p w14:paraId="0B74345E">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1095" w:type="dxa"/>
            <w:tcBorders>
              <w:tl2br w:val="nil"/>
              <w:tr2bl w:val="nil"/>
            </w:tcBorders>
            <w:noWrap w:val="0"/>
            <w:vAlign w:val="center"/>
          </w:tcPr>
          <w:p w14:paraId="2787B43E">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74" w:type="dxa"/>
            <w:tcBorders>
              <w:tl2br w:val="nil"/>
              <w:tr2bl w:val="nil"/>
            </w:tcBorders>
            <w:noWrap w:val="0"/>
            <w:vAlign w:val="center"/>
          </w:tcPr>
          <w:p w14:paraId="444977E5">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sz w:val="21"/>
                <w:szCs w:val="21"/>
                <w:highlight w:val="none"/>
                <w:u w:val="single"/>
              </w:rPr>
              <w:t>≤</w:t>
            </w:r>
            <w:r>
              <w:rPr>
                <w:rFonts w:hint="eastAsia" w:ascii="Times New Roman" w:cs="Times New Roman"/>
                <w:color w:val="auto"/>
                <w:sz w:val="21"/>
                <w:szCs w:val="21"/>
                <w:highlight w:val="none"/>
                <w:u w:val="single"/>
                <w:lang w:val="en-US" w:eastAsia="zh-CN"/>
              </w:rPr>
              <w:t>1.5</w:t>
            </w:r>
          </w:p>
        </w:tc>
        <w:tc>
          <w:tcPr>
            <w:tcW w:w="1325" w:type="dxa"/>
            <w:tcBorders>
              <w:tl2br w:val="nil"/>
              <w:tr2bl w:val="nil"/>
            </w:tcBorders>
            <w:noWrap w:val="0"/>
            <w:vAlign w:val="center"/>
          </w:tcPr>
          <w:p w14:paraId="72C23702">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u w:val="single"/>
                <w:lang w:val="en-US" w:eastAsia="zh-CN"/>
              </w:rPr>
            </w:pPr>
            <w:r>
              <w:rPr>
                <w:rFonts w:hint="eastAsia" w:ascii="Times New Roman" w:eastAsia="等线" w:cs="Times New Roman"/>
                <w:i w:val="0"/>
                <w:iCs w:val="0"/>
                <w:color w:val="auto"/>
                <w:kern w:val="0"/>
                <w:sz w:val="21"/>
                <w:szCs w:val="21"/>
                <w:highlight w:val="none"/>
                <w:u w:val="single"/>
                <w:lang w:val="en-US" w:eastAsia="zh-CN" w:bidi="ar"/>
              </w:rPr>
              <w:t>0.59~0.63</w:t>
            </w:r>
          </w:p>
        </w:tc>
        <w:tc>
          <w:tcPr>
            <w:tcW w:w="641" w:type="dxa"/>
            <w:tcBorders>
              <w:tl2br w:val="nil"/>
              <w:tr2bl w:val="nil"/>
            </w:tcBorders>
            <w:noWrap w:val="0"/>
            <w:vAlign w:val="center"/>
          </w:tcPr>
          <w:p w14:paraId="666DF8E2">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b w:val="0"/>
                <w:bCs/>
                <w:color w:val="auto"/>
                <w:sz w:val="21"/>
                <w:szCs w:val="21"/>
                <w:highlight w:val="none"/>
                <w:u w:val="single"/>
                <w:lang w:val="en-US" w:eastAsia="zh-CN"/>
              </w:rPr>
              <w:t>0</w:t>
            </w:r>
          </w:p>
        </w:tc>
        <w:tc>
          <w:tcPr>
            <w:tcW w:w="804" w:type="dxa"/>
            <w:tcBorders>
              <w:tl2br w:val="nil"/>
              <w:tr2bl w:val="nil"/>
            </w:tcBorders>
            <w:noWrap w:val="0"/>
            <w:vAlign w:val="center"/>
          </w:tcPr>
          <w:p w14:paraId="3B0BABB0">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b w:val="0"/>
                <w:bCs/>
                <w:color w:val="auto"/>
                <w:sz w:val="21"/>
                <w:szCs w:val="21"/>
                <w:highlight w:val="none"/>
                <w:u w:val="single"/>
                <w:lang w:val="en-US" w:eastAsia="zh-CN"/>
              </w:rPr>
              <w:t>0</w:t>
            </w:r>
          </w:p>
        </w:tc>
        <w:tc>
          <w:tcPr>
            <w:tcW w:w="703" w:type="dxa"/>
            <w:tcBorders>
              <w:tl2br w:val="nil"/>
              <w:tr2bl w:val="nil"/>
            </w:tcBorders>
            <w:noWrap w:val="0"/>
            <w:vAlign w:val="center"/>
          </w:tcPr>
          <w:p w14:paraId="080B72D3">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sz w:val="21"/>
                <w:szCs w:val="21"/>
                <w:highlight w:val="none"/>
                <w:u w:val="single"/>
                <w:lang w:val="en-US" w:eastAsia="zh-CN"/>
              </w:rPr>
            </w:pPr>
            <w:r>
              <w:rPr>
                <w:rFonts w:hint="default" w:ascii="Times New Roman" w:hAnsi="Times New Roman" w:eastAsia="宋体" w:cs="Times New Roman"/>
                <w:b w:val="0"/>
                <w:bCs/>
                <w:color w:val="auto"/>
                <w:sz w:val="21"/>
                <w:szCs w:val="21"/>
                <w:highlight w:val="none"/>
                <w:u w:val="single"/>
                <w:lang w:val="en-US" w:eastAsia="zh-CN"/>
              </w:rPr>
              <w:t>达标</w:t>
            </w:r>
          </w:p>
        </w:tc>
      </w:tr>
      <w:tr w14:paraId="361B1C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07" w:type="dxa"/>
            <w:tcBorders>
              <w:tl2br w:val="nil"/>
              <w:tr2bl w:val="nil"/>
            </w:tcBorders>
            <w:noWrap w:val="0"/>
            <w:vAlign w:val="center"/>
          </w:tcPr>
          <w:p w14:paraId="2241F987">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总氮</w:t>
            </w:r>
          </w:p>
        </w:tc>
        <w:tc>
          <w:tcPr>
            <w:tcW w:w="991" w:type="dxa"/>
            <w:tcBorders>
              <w:tl2br w:val="nil"/>
              <w:tr2bl w:val="nil"/>
            </w:tcBorders>
            <w:noWrap w:val="0"/>
            <w:vAlign w:val="center"/>
          </w:tcPr>
          <w:p w14:paraId="36CCB665">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83" w:type="dxa"/>
            <w:tcBorders>
              <w:tl2br w:val="nil"/>
              <w:tr2bl w:val="nil"/>
            </w:tcBorders>
            <w:noWrap w:val="0"/>
            <w:vAlign w:val="center"/>
          </w:tcPr>
          <w:p w14:paraId="335E16A8">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1095" w:type="dxa"/>
            <w:tcBorders>
              <w:tl2br w:val="nil"/>
              <w:tr2bl w:val="nil"/>
            </w:tcBorders>
            <w:noWrap w:val="0"/>
            <w:vAlign w:val="center"/>
          </w:tcPr>
          <w:p w14:paraId="169B4884">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74" w:type="dxa"/>
            <w:tcBorders>
              <w:tl2br w:val="nil"/>
              <w:tr2bl w:val="nil"/>
            </w:tcBorders>
            <w:noWrap w:val="0"/>
            <w:vAlign w:val="center"/>
          </w:tcPr>
          <w:p w14:paraId="518476C1">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rPr>
              <w:t>≤</w:t>
            </w:r>
            <w:r>
              <w:rPr>
                <w:rFonts w:hint="eastAsia" w:ascii="Times New Roman" w:cs="Times New Roman"/>
                <w:color w:val="auto"/>
                <w:sz w:val="21"/>
                <w:szCs w:val="21"/>
                <w:highlight w:val="none"/>
                <w:u w:val="single"/>
                <w:lang w:val="en-US" w:eastAsia="zh-CN"/>
              </w:rPr>
              <w:t>1.5</w:t>
            </w:r>
          </w:p>
        </w:tc>
        <w:tc>
          <w:tcPr>
            <w:tcW w:w="1325" w:type="dxa"/>
            <w:tcBorders>
              <w:tl2br w:val="nil"/>
              <w:tr2bl w:val="nil"/>
            </w:tcBorders>
            <w:noWrap w:val="0"/>
            <w:vAlign w:val="center"/>
          </w:tcPr>
          <w:p w14:paraId="581A236F">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u w:val="single"/>
                <w:lang w:val="en-US" w:eastAsia="zh-CN"/>
              </w:rPr>
            </w:pPr>
            <w:r>
              <w:rPr>
                <w:rFonts w:hint="eastAsia" w:ascii="Times New Roman" w:eastAsia="等线" w:cs="Times New Roman"/>
                <w:i w:val="0"/>
                <w:iCs w:val="0"/>
                <w:color w:val="auto"/>
                <w:kern w:val="0"/>
                <w:sz w:val="21"/>
                <w:szCs w:val="21"/>
                <w:highlight w:val="none"/>
                <w:u w:val="single"/>
                <w:lang w:val="en-US" w:eastAsia="zh-CN" w:bidi="ar"/>
              </w:rPr>
              <w:t>1.61~1.72</w:t>
            </w:r>
          </w:p>
        </w:tc>
        <w:tc>
          <w:tcPr>
            <w:tcW w:w="641" w:type="dxa"/>
            <w:tcBorders>
              <w:tl2br w:val="nil"/>
              <w:tr2bl w:val="nil"/>
            </w:tcBorders>
            <w:noWrap w:val="0"/>
            <w:vAlign w:val="center"/>
          </w:tcPr>
          <w:p w14:paraId="3CE354FC">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b w:val="0"/>
                <w:bCs/>
                <w:color w:val="auto"/>
                <w:sz w:val="21"/>
                <w:szCs w:val="21"/>
                <w:highlight w:val="none"/>
                <w:u w:val="single"/>
                <w:lang w:val="en-US" w:eastAsia="zh-CN"/>
              </w:rPr>
              <w:t>100%</w:t>
            </w:r>
          </w:p>
        </w:tc>
        <w:tc>
          <w:tcPr>
            <w:tcW w:w="804" w:type="dxa"/>
            <w:tcBorders>
              <w:tl2br w:val="nil"/>
              <w:tr2bl w:val="nil"/>
            </w:tcBorders>
            <w:noWrap w:val="0"/>
            <w:vAlign w:val="center"/>
          </w:tcPr>
          <w:p w14:paraId="289F92F5">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cs="Times New Roman"/>
                <w:b w:val="0"/>
                <w:bCs/>
                <w:color w:val="auto"/>
                <w:sz w:val="21"/>
                <w:szCs w:val="21"/>
                <w:highlight w:val="none"/>
                <w:u w:val="single"/>
                <w:lang w:val="en-US" w:eastAsia="zh-CN"/>
              </w:rPr>
              <w:t>1.72</w:t>
            </w:r>
          </w:p>
        </w:tc>
        <w:tc>
          <w:tcPr>
            <w:tcW w:w="703" w:type="dxa"/>
            <w:tcBorders>
              <w:tl2br w:val="nil"/>
              <w:tr2bl w:val="nil"/>
            </w:tcBorders>
            <w:noWrap w:val="0"/>
            <w:vAlign w:val="center"/>
          </w:tcPr>
          <w:p w14:paraId="6C54B906">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sz w:val="21"/>
                <w:szCs w:val="21"/>
                <w:highlight w:val="none"/>
                <w:u w:val="single"/>
                <w:lang w:val="en-US" w:eastAsia="zh-CN"/>
              </w:rPr>
            </w:pPr>
            <w:r>
              <w:rPr>
                <w:rFonts w:hint="default" w:ascii="Times New Roman" w:hAnsi="Times New Roman" w:eastAsia="宋体" w:cs="Times New Roman"/>
                <w:b w:val="0"/>
                <w:bCs/>
                <w:color w:val="auto"/>
                <w:sz w:val="21"/>
                <w:szCs w:val="21"/>
                <w:highlight w:val="none"/>
                <w:u w:val="single"/>
                <w:lang w:val="en-US" w:eastAsia="zh-CN"/>
              </w:rPr>
              <w:t>超标</w:t>
            </w:r>
          </w:p>
        </w:tc>
      </w:tr>
      <w:tr w14:paraId="30304B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07" w:type="dxa"/>
            <w:tcBorders>
              <w:tl2br w:val="nil"/>
              <w:tr2bl w:val="nil"/>
            </w:tcBorders>
            <w:noWrap w:val="0"/>
            <w:vAlign w:val="center"/>
          </w:tcPr>
          <w:p w14:paraId="6D986FBC">
            <w:pPr>
              <w:keepNext w:val="0"/>
              <w:keepLines w:val="0"/>
              <w:pageBreakBefore w:val="0"/>
              <w:widowControl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总磷</w:t>
            </w:r>
          </w:p>
        </w:tc>
        <w:tc>
          <w:tcPr>
            <w:tcW w:w="991" w:type="dxa"/>
            <w:tcBorders>
              <w:tl2br w:val="nil"/>
              <w:tr2bl w:val="nil"/>
            </w:tcBorders>
            <w:noWrap w:val="0"/>
            <w:vAlign w:val="center"/>
          </w:tcPr>
          <w:p w14:paraId="759665DE">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83" w:type="dxa"/>
            <w:tcBorders>
              <w:tl2br w:val="nil"/>
              <w:tr2bl w:val="nil"/>
            </w:tcBorders>
            <w:noWrap w:val="0"/>
            <w:vAlign w:val="center"/>
          </w:tcPr>
          <w:p w14:paraId="41EC41DA">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1095" w:type="dxa"/>
            <w:tcBorders>
              <w:tl2br w:val="nil"/>
              <w:tr2bl w:val="nil"/>
            </w:tcBorders>
            <w:noWrap w:val="0"/>
            <w:vAlign w:val="center"/>
          </w:tcPr>
          <w:p w14:paraId="1008B6E5">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74" w:type="dxa"/>
            <w:tcBorders>
              <w:tl2br w:val="nil"/>
              <w:tr2bl w:val="nil"/>
            </w:tcBorders>
            <w:noWrap w:val="0"/>
            <w:vAlign w:val="center"/>
          </w:tcPr>
          <w:p w14:paraId="004D5A49">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0.3</w:t>
            </w:r>
            <w:r>
              <w:rPr>
                <w:rFonts w:hint="default" w:ascii="Times New Roman" w:hAnsi="Times New Roman" w:eastAsia="宋体" w:cs="Times New Roman"/>
                <w:color w:val="auto"/>
                <w:sz w:val="21"/>
                <w:szCs w:val="21"/>
                <w:highlight w:val="none"/>
                <w:lang w:val="en-US" w:eastAsia="zh-CN"/>
              </w:rPr>
              <w:t>（湖库</w:t>
            </w:r>
            <w:r>
              <w:rPr>
                <w:rFonts w:hint="eastAsia" w:ascii="Times New Roman" w:cs="Times New Roman"/>
                <w:color w:val="auto"/>
                <w:sz w:val="21"/>
                <w:szCs w:val="21"/>
                <w:highlight w:val="none"/>
                <w:lang w:val="en-US" w:eastAsia="zh-CN"/>
              </w:rPr>
              <w:t>0.1</w:t>
            </w:r>
            <w:r>
              <w:rPr>
                <w:rFonts w:hint="default" w:ascii="Times New Roman" w:hAnsi="Times New Roman" w:eastAsia="宋体" w:cs="Times New Roman"/>
                <w:color w:val="auto"/>
                <w:sz w:val="21"/>
                <w:szCs w:val="21"/>
                <w:highlight w:val="none"/>
                <w:lang w:val="en-US" w:eastAsia="zh-CN"/>
              </w:rPr>
              <w:t>）</w:t>
            </w:r>
          </w:p>
        </w:tc>
        <w:tc>
          <w:tcPr>
            <w:tcW w:w="1325" w:type="dxa"/>
            <w:tcBorders>
              <w:tl2br w:val="nil"/>
              <w:tr2bl w:val="nil"/>
            </w:tcBorders>
            <w:noWrap w:val="0"/>
            <w:vAlign w:val="center"/>
          </w:tcPr>
          <w:p w14:paraId="0F683A3B">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u w:val="single"/>
                <w:lang w:val="en-US" w:eastAsia="zh-CN"/>
              </w:rPr>
            </w:pPr>
            <w:r>
              <w:rPr>
                <w:rFonts w:hint="eastAsia" w:ascii="Times New Roman" w:eastAsia="等线" w:cs="Times New Roman"/>
                <w:i w:val="0"/>
                <w:iCs w:val="0"/>
                <w:color w:val="auto"/>
                <w:kern w:val="0"/>
                <w:sz w:val="21"/>
                <w:szCs w:val="21"/>
                <w:highlight w:val="none"/>
                <w:u w:val="single"/>
                <w:lang w:val="en-US" w:eastAsia="zh-CN" w:bidi="ar"/>
              </w:rPr>
              <w:t>0.13~0.17</w:t>
            </w:r>
          </w:p>
        </w:tc>
        <w:tc>
          <w:tcPr>
            <w:tcW w:w="641" w:type="dxa"/>
            <w:tcBorders>
              <w:tl2br w:val="nil"/>
              <w:tr2bl w:val="nil"/>
            </w:tcBorders>
            <w:noWrap w:val="0"/>
            <w:vAlign w:val="center"/>
          </w:tcPr>
          <w:p w14:paraId="5B6DD189">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b w:val="0"/>
                <w:bCs/>
                <w:color w:val="auto"/>
                <w:sz w:val="21"/>
                <w:szCs w:val="21"/>
                <w:highlight w:val="none"/>
                <w:u w:val="single"/>
                <w:lang w:val="en-US" w:eastAsia="zh-CN"/>
              </w:rPr>
              <w:t>0</w:t>
            </w:r>
          </w:p>
        </w:tc>
        <w:tc>
          <w:tcPr>
            <w:tcW w:w="804" w:type="dxa"/>
            <w:tcBorders>
              <w:tl2br w:val="nil"/>
              <w:tr2bl w:val="nil"/>
            </w:tcBorders>
            <w:noWrap w:val="0"/>
            <w:vAlign w:val="center"/>
          </w:tcPr>
          <w:p w14:paraId="71A57C32">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b w:val="0"/>
                <w:bCs/>
                <w:color w:val="auto"/>
                <w:sz w:val="21"/>
                <w:szCs w:val="21"/>
                <w:highlight w:val="none"/>
                <w:u w:val="single"/>
                <w:lang w:val="en-US" w:eastAsia="zh-CN"/>
              </w:rPr>
              <w:t>0</w:t>
            </w:r>
          </w:p>
        </w:tc>
        <w:tc>
          <w:tcPr>
            <w:tcW w:w="703" w:type="dxa"/>
            <w:tcBorders>
              <w:tl2br w:val="nil"/>
              <w:tr2bl w:val="nil"/>
            </w:tcBorders>
            <w:noWrap w:val="0"/>
            <w:vAlign w:val="center"/>
          </w:tcPr>
          <w:p w14:paraId="1F42C7B1">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sz w:val="21"/>
                <w:szCs w:val="21"/>
                <w:highlight w:val="none"/>
                <w:u w:val="single"/>
                <w:lang w:val="en-US" w:eastAsia="zh-CN"/>
              </w:rPr>
            </w:pPr>
            <w:r>
              <w:rPr>
                <w:rFonts w:hint="default" w:ascii="Times New Roman" w:hAnsi="Times New Roman" w:eastAsia="宋体" w:cs="Times New Roman"/>
                <w:b w:val="0"/>
                <w:bCs/>
                <w:color w:val="auto"/>
                <w:sz w:val="21"/>
                <w:szCs w:val="21"/>
                <w:highlight w:val="none"/>
                <w:u w:val="single"/>
                <w:lang w:val="en-US" w:eastAsia="zh-CN"/>
              </w:rPr>
              <w:t>达标</w:t>
            </w:r>
          </w:p>
        </w:tc>
      </w:tr>
      <w:tr w14:paraId="5BA6E4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07" w:type="dxa"/>
            <w:tcBorders>
              <w:tl2br w:val="nil"/>
              <w:tr2bl w:val="nil"/>
            </w:tcBorders>
            <w:noWrap w:val="0"/>
            <w:vAlign w:val="center"/>
          </w:tcPr>
          <w:p w14:paraId="3DC6D757">
            <w:pPr>
              <w:keepNext w:val="0"/>
              <w:keepLines w:val="0"/>
              <w:pageBreakBefore w:val="0"/>
              <w:widowControl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阴离子表面活性剂</w:t>
            </w:r>
          </w:p>
        </w:tc>
        <w:tc>
          <w:tcPr>
            <w:tcW w:w="991" w:type="dxa"/>
            <w:tcBorders>
              <w:tl2br w:val="nil"/>
              <w:tr2bl w:val="nil"/>
            </w:tcBorders>
            <w:noWrap w:val="0"/>
            <w:vAlign w:val="center"/>
          </w:tcPr>
          <w:p w14:paraId="337FDDBF">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83" w:type="dxa"/>
            <w:tcBorders>
              <w:tl2br w:val="nil"/>
              <w:tr2bl w:val="nil"/>
            </w:tcBorders>
            <w:noWrap w:val="0"/>
            <w:vAlign w:val="center"/>
          </w:tcPr>
          <w:p w14:paraId="70FF35DF">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1095" w:type="dxa"/>
            <w:tcBorders>
              <w:tl2br w:val="nil"/>
              <w:tr2bl w:val="nil"/>
            </w:tcBorders>
            <w:noWrap w:val="0"/>
            <w:vAlign w:val="center"/>
          </w:tcPr>
          <w:p w14:paraId="340CE810">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74" w:type="dxa"/>
            <w:tcBorders>
              <w:tl2br w:val="nil"/>
              <w:tr2bl w:val="nil"/>
            </w:tcBorders>
            <w:noWrap w:val="0"/>
            <w:vAlign w:val="center"/>
          </w:tcPr>
          <w:p w14:paraId="7BE0FBD1">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0.3</w:t>
            </w:r>
          </w:p>
        </w:tc>
        <w:tc>
          <w:tcPr>
            <w:tcW w:w="1325" w:type="dxa"/>
            <w:tcBorders>
              <w:tl2br w:val="nil"/>
              <w:tr2bl w:val="nil"/>
            </w:tcBorders>
            <w:noWrap w:val="0"/>
            <w:vAlign w:val="center"/>
          </w:tcPr>
          <w:p w14:paraId="2FA5FDCC">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0.08</w:t>
            </w:r>
          </w:p>
        </w:tc>
        <w:tc>
          <w:tcPr>
            <w:tcW w:w="641" w:type="dxa"/>
            <w:tcBorders>
              <w:tl2br w:val="nil"/>
              <w:tr2bl w:val="nil"/>
            </w:tcBorders>
            <w:noWrap w:val="0"/>
            <w:vAlign w:val="center"/>
          </w:tcPr>
          <w:p w14:paraId="0556567B">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0</w:t>
            </w:r>
          </w:p>
        </w:tc>
        <w:tc>
          <w:tcPr>
            <w:tcW w:w="804" w:type="dxa"/>
            <w:tcBorders>
              <w:tl2br w:val="nil"/>
              <w:tr2bl w:val="nil"/>
            </w:tcBorders>
            <w:noWrap w:val="0"/>
            <w:vAlign w:val="center"/>
          </w:tcPr>
          <w:p w14:paraId="64401FBE">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0</w:t>
            </w:r>
          </w:p>
        </w:tc>
        <w:tc>
          <w:tcPr>
            <w:tcW w:w="703" w:type="dxa"/>
            <w:tcBorders>
              <w:tl2br w:val="nil"/>
              <w:tr2bl w:val="nil"/>
            </w:tcBorders>
            <w:noWrap w:val="0"/>
            <w:vAlign w:val="center"/>
          </w:tcPr>
          <w:p w14:paraId="1544B8A6">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达标</w:t>
            </w:r>
          </w:p>
        </w:tc>
      </w:tr>
      <w:tr w14:paraId="721898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7" w:type="dxa"/>
            <w:tcBorders>
              <w:tl2br w:val="nil"/>
              <w:tr2bl w:val="nil"/>
            </w:tcBorders>
            <w:noWrap w:val="0"/>
            <w:vAlign w:val="center"/>
          </w:tcPr>
          <w:p w14:paraId="61EA89D9">
            <w:pPr>
              <w:keepNext w:val="0"/>
              <w:keepLines w:val="0"/>
              <w:pageBreakBefore w:val="0"/>
              <w:widowControl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石油类</w:t>
            </w:r>
          </w:p>
        </w:tc>
        <w:tc>
          <w:tcPr>
            <w:tcW w:w="991" w:type="dxa"/>
            <w:tcBorders>
              <w:tl2br w:val="nil"/>
              <w:tr2bl w:val="nil"/>
            </w:tcBorders>
            <w:noWrap w:val="0"/>
            <w:vAlign w:val="center"/>
          </w:tcPr>
          <w:p w14:paraId="4E969E2C">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83" w:type="dxa"/>
            <w:tcBorders>
              <w:tl2br w:val="nil"/>
              <w:tr2bl w:val="nil"/>
            </w:tcBorders>
            <w:noWrap w:val="0"/>
            <w:vAlign w:val="center"/>
          </w:tcPr>
          <w:p w14:paraId="7AC94D64">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1095" w:type="dxa"/>
            <w:tcBorders>
              <w:tl2br w:val="nil"/>
              <w:tr2bl w:val="nil"/>
            </w:tcBorders>
            <w:noWrap w:val="0"/>
            <w:vAlign w:val="center"/>
          </w:tcPr>
          <w:p w14:paraId="2EC0AB8B">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74" w:type="dxa"/>
            <w:tcBorders>
              <w:tl2br w:val="nil"/>
              <w:tr2bl w:val="nil"/>
            </w:tcBorders>
            <w:noWrap w:val="0"/>
            <w:vAlign w:val="center"/>
          </w:tcPr>
          <w:p w14:paraId="184494E3">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0.5</w:t>
            </w:r>
          </w:p>
        </w:tc>
        <w:tc>
          <w:tcPr>
            <w:tcW w:w="1325" w:type="dxa"/>
            <w:tcBorders>
              <w:tl2br w:val="nil"/>
              <w:tr2bl w:val="nil"/>
            </w:tcBorders>
            <w:noWrap w:val="0"/>
            <w:vAlign w:val="center"/>
          </w:tcPr>
          <w:p w14:paraId="06F2A3D0">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0.01</w:t>
            </w:r>
          </w:p>
        </w:tc>
        <w:tc>
          <w:tcPr>
            <w:tcW w:w="641" w:type="dxa"/>
            <w:tcBorders>
              <w:tl2br w:val="nil"/>
              <w:tr2bl w:val="nil"/>
            </w:tcBorders>
            <w:noWrap w:val="0"/>
            <w:vAlign w:val="center"/>
          </w:tcPr>
          <w:p w14:paraId="7D81DD32">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w:t>
            </w:r>
          </w:p>
        </w:tc>
        <w:tc>
          <w:tcPr>
            <w:tcW w:w="804" w:type="dxa"/>
            <w:tcBorders>
              <w:tl2br w:val="nil"/>
              <w:tr2bl w:val="nil"/>
            </w:tcBorders>
            <w:noWrap w:val="0"/>
            <w:vAlign w:val="center"/>
          </w:tcPr>
          <w:p w14:paraId="471FD272">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w:t>
            </w:r>
          </w:p>
        </w:tc>
        <w:tc>
          <w:tcPr>
            <w:tcW w:w="703" w:type="dxa"/>
            <w:tcBorders>
              <w:tl2br w:val="nil"/>
              <w:tr2bl w:val="nil"/>
            </w:tcBorders>
            <w:noWrap w:val="0"/>
            <w:vAlign w:val="center"/>
          </w:tcPr>
          <w:p w14:paraId="0090FEC9">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达标</w:t>
            </w:r>
          </w:p>
        </w:tc>
      </w:tr>
      <w:tr w14:paraId="7247EE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07" w:type="dxa"/>
            <w:tcBorders>
              <w:tl2br w:val="nil"/>
              <w:tr2bl w:val="nil"/>
            </w:tcBorders>
            <w:noWrap w:val="0"/>
            <w:vAlign w:val="center"/>
          </w:tcPr>
          <w:p w14:paraId="7A3C8E7E">
            <w:pPr>
              <w:keepNext w:val="0"/>
              <w:keepLines w:val="0"/>
              <w:pageBreakBefore w:val="0"/>
              <w:widowControl w:val="0"/>
              <w:suppressLineNumbers w:val="0"/>
              <w:kinsoku/>
              <w:wordWrap/>
              <w:overflowPunct/>
              <w:topLinePunct w:val="0"/>
              <w:autoSpaceDE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lang w:eastAsia="zh-CN"/>
              </w:rPr>
              <w:t>粪大肠菌群（</w:t>
            </w:r>
            <w:r>
              <w:rPr>
                <w:rFonts w:hint="default" w:ascii="Times New Roman" w:hAnsi="Times New Roman" w:eastAsia="宋体" w:cs="Times New Roman"/>
                <w:color w:val="auto"/>
                <w:sz w:val="21"/>
                <w:szCs w:val="21"/>
                <w:highlight w:val="none"/>
                <w:lang w:val="en-US" w:eastAsia="zh-CN"/>
              </w:rPr>
              <w:t>个/L</w:t>
            </w:r>
            <w:r>
              <w:rPr>
                <w:rFonts w:hint="default" w:ascii="Times New Roman" w:hAnsi="Times New Roman" w:eastAsia="宋体" w:cs="Times New Roman"/>
                <w:color w:val="auto"/>
                <w:sz w:val="21"/>
                <w:szCs w:val="21"/>
                <w:highlight w:val="none"/>
                <w:lang w:eastAsia="zh-CN"/>
              </w:rPr>
              <w:t>）</w:t>
            </w:r>
          </w:p>
        </w:tc>
        <w:tc>
          <w:tcPr>
            <w:tcW w:w="991" w:type="dxa"/>
            <w:tcBorders>
              <w:tl2br w:val="nil"/>
              <w:tr2bl w:val="nil"/>
            </w:tcBorders>
            <w:noWrap w:val="0"/>
            <w:vAlign w:val="center"/>
          </w:tcPr>
          <w:p w14:paraId="7A3B0E34">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83" w:type="dxa"/>
            <w:tcBorders>
              <w:tl2br w:val="nil"/>
              <w:tr2bl w:val="nil"/>
            </w:tcBorders>
            <w:noWrap w:val="0"/>
            <w:vAlign w:val="center"/>
          </w:tcPr>
          <w:p w14:paraId="0707E1CF">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1095" w:type="dxa"/>
            <w:tcBorders>
              <w:tl2br w:val="nil"/>
              <w:tr2bl w:val="nil"/>
            </w:tcBorders>
            <w:noWrap w:val="0"/>
            <w:vAlign w:val="center"/>
          </w:tcPr>
          <w:p w14:paraId="4467F7C8">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74" w:type="dxa"/>
            <w:tcBorders>
              <w:tl2br w:val="nil"/>
              <w:tr2bl w:val="nil"/>
            </w:tcBorders>
            <w:noWrap w:val="0"/>
            <w:vAlign w:val="center"/>
          </w:tcPr>
          <w:p w14:paraId="36019696">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20000</w:t>
            </w:r>
          </w:p>
        </w:tc>
        <w:tc>
          <w:tcPr>
            <w:tcW w:w="1325" w:type="dxa"/>
            <w:tcBorders>
              <w:tl2br w:val="nil"/>
              <w:tr2bl w:val="nil"/>
            </w:tcBorders>
            <w:noWrap w:val="0"/>
            <w:vAlign w:val="center"/>
          </w:tcPr>
          <w:p w14:paraId="14D57973">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w:t>
            </w:r>
          </w:p>
        </w:tc>
        <w:tc>
          <w:tcPr>
            <w:tcW w:w="641" w:type="dxa"/>
            <w:tcBorders>
              <w:tl2br w:val="nil"/>
              <w:tr2bl w:val="nil"/>
            </w:tcBorders>
            <w:noWrap w:val="0"/>
            <w:vAlign w:val="center"/>
          </w:tcPr>
          <w:p w14:paraId="2C504134">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w:t>
            </w:r>
          </w:p>
        </w:tc>
        <w:tc>
          <w:tcPr>
            <w:tcW w:w="804" w:type="dxa"/>
            <w:tcBorders>
              <w:tl2br w:val="nil"/>
              <w:tr2bl w:val="nil"/>
            </w:tcBorders>
            <w:noWrap w:val="0"/>
            <w:vAlign w:val="center"/>
          </w:tcPr>
          <w:p w14:paraId="391E6DC9">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w:t>
            </w:r>
          </w:p>
        </w:tc>
        <w:tc>
          <w:tcPr>
            <w:tcW w:w="703" w:type="dxa"/>
            <w:tcBorders>
              <w:tl2br w:val="nil"/>
              <w:tr2bl w:val="nil"/>
            </w:tcBorders>
            <w:noWrap w:val="0"/>
            <w:vAlign w:val="center"/>
          </w:tcPr>
          <w:p w14:paraId="1C5F32FB">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w:t>
            </w:r>
          </w:p>
        </w:tc>
      </w:tr>
      <w:tr w14:paraId="1D1223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823" w:type="dxa"/>
            <w:gridSpan w:val="9"/>
            <w:tcBorders>
              <w:tl2br w:val="nil"/>
              <w:tr2bl w:val="nil"/>
            </w:tcBorders>
            <w:noWrap w:val="0"/>
            <w:vAlign w:val="center"/>
          </w:tcPr>
          <w:p w14:paraId="04477C7E">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left"/>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说明：</w:t>
            </w:r>
          </w:p>
          <w:p w14:paraId="7270FB47">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left"/>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（1）由于《地表水环境质量标准》（GB3838-2002）中没有悬浮物指标，本环评不对悬浮物进行评价。</w:t>
            </w:r>
          </w:p>
          <w:p w14:paraId="48398E98">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both"/>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（2）低于检出限按1/2最低检出限参与统计计算。</w:t>
            </w:r>
          </w:p>
        </w:tc>
      </w:tr>
    </w:tbl>
    <w:p w14:paraId="4E6B7065">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color w:val="auto"/>
          <w:sz w:val="24"/>
          <w:highlight w:val="none"/>
        </w:rPr>
      </w:pPr>
      <w:r>
        <w:rPr>
          <w:rFonts w:hint="eastAsia"/>
          <w:b/>
          <w:bCs/>
          <w:color w:val="auto"/>
          <w:sz w:val="24"/>
          <w:highlight w:val="none"/>
        </w:rPr>
        <w:t>W</w:t>
      </w:r>
      <w:r>
        <w:rPr>
          <w:rFonts w:hint="eastAsia" w:eastAsia="宋体"/>
          <w:b/>
          <w:bCs/>
          <w:color w:val="auto"/>
          <w:sz w:val="24"/>
          <w:highlight w:val="none"/>
          <w:lang w:val="en-US" w:eastAsia="zh-CN"/>
        </w:rPr>
        <w:t>2</w:t>
      </w:r>
      <w:r>
        <w:rPr>
          <w:rFonts w:hint="eastAsia"/>
          <w:b/>
          <w:bCs/>
          <w:color w:val="auto"/>
          <w:sz w:val="24"/>
          <w:highlight w:val="none"/>
        </w:rPr>
        <w:t>水环境质量现状监测结果及评价表</w:t>
      </w:r>
      <w:r>
        <w:rPr>
          <w:rFonts w:hint="eastAsia" w:eastAsia="宋体"/>
          <w:b/>
          <w:bCs/>
          <w:color w:val="auto"/>
          <w:sz w:val="24"/>
          <w:highlight w:val="none"/>
          <w:lang w:val="en-US" w:eastAsia="zh-CN"/>
        </w:rPr>
        <w:t xml:space="preserve">  </w:t>
      </w:r>
      <w:r>
        <w:rPr>
          <w:rFonts w:hint="eastAsia"/>
          <w:b/>
          <w:bCs/>
          <w:color w:val="auto"/>
          <w:sz w:val="24"/>
          <w:highlight w:val="none"/>
        </w:rPr>
        <w:t>单位：mg/L，pH值无量纲</w:t>
      </w:r>
    </w:p>
    <w:tbl>
      <w:tblPr>
        <w:tblStyle w:val="8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928"/>
        <w:gridCol w:w="942"/>
        <w:gridCol w:w="970"/>
        <w:gridCol w:w="1099"/>
        <w:gridCol w:w="1367"/>
        <w:gridCol w:w="818"/>
        <w:gridCol w:w="844"/>
        <w:gridCol w:w="710"/>
      </w:tblGrid>
      <w:tr w14:paraId="46B541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1144" w:type="dxa"/>
            <w:vMerge w:val="restart"/>
            <w:tcBorders>
              <w:tl2br w:val="nil"/>
              <w:tr2bl w:val="nil"/>
            </w:tcBorders>
            <w:noWrap w:val="0"/>
            <w:vAlign w:val="center"/>
          </w:tcPr>
          <w:p w14:paraId="0A86359E">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监测项目</w:t>
            </w:r>
          </w:p>
        </w:tc>
        <w:tc>
          <w:tcPr>
            <w:tcW w:w="2840" w:type="dxa"/>
            <w:gridSpan w:val="3"/>
            <w:tcBorders>
              <w:tl2br w:val="nil"/>
              <w:tr2bl w:val="nil"/>
            </w:tcBorders>
            <w:noWrap w:val="0"/>
            <w:vAlign w:val="center"/>
          </w:tcPr>
          <w:p w14:paraId="6863719A">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监测点位及监测结果</w:t>
            </w:r>
          </w:p>
        </w:tc>
        <w:tc>
          <w:tcPr>
            <w:tcW w:w="1099" w:type="dxa"/>
            <w:vMerge w:val="restart"/>
            <w:tcBorders>
              <w:tl2br w:val="nil"/>
              <w:tr2bl w:val="nil"/>
            </w:tcBorders>
            <w:noWrap w:val="0"/>
            <w:vAlign w:val="center"/>
          </w:tcPr>
          <w:p w14:paraId="4D916600">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Ⅲ类标准</w:t>
            </w:r>
          </w:p>
        </w:tc>
        <w:tc>
          <w:tcPr>
            <w:tcW w:w="1367" w:type="dxa"/>
            <w:vMerge w:val="restart"/>
            <w:tcBorders>
              <w:tl2br w:val="nil"/>
              <w:tr2bl w:val="nil"/>
            </w:tcBorders>
            <w:noWrap w:val="0"/>
            <w:vAlign w:val="center"/>
          </w:tcPr>
          <w:p w14:paraId="5B741DD7">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标准指数</w:t>
            </w:r>
          </w:p>
        </w:tc>
        <w:tc>
          <w:tcPr>
            <w:tcW w:w="818" w:type="dxa"/>
            <w:vMerge w:val="restart"/>
            <w:tcBorders>
              <w:tl2br w:val="nil"/>
              <w:tr2bl w:val="nil"/>
            </w:tcBorders>
            <w:noWrap w:val="0"/>
            <w:vAlign w:val="center"/>
          </w:tcPr>
          <w:p w14:paraId="372A3C1A">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超标率/%</w:t>
            </w:r>
          </w:p>
        </w:tc>
        <w:tc>
          <w:tcPr>
            <w:tcW w:w="844" w:type="dxa"/>
            <w:vMerge w:val="restart"/>
            <w:tcBorders>
              <w:tl2br w:val="nil"/>
              <w:tr2bl w:val="nil"/>
            </w:tcBorders>
            <w:noWrap w:val="0"/>
            <w:vAlign w:val="center"/>
          </w:tcPr>
          <w:p w14:paraId="0849C9F0">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最大超标倍数</w:t>
            </w:r>
          </w:p>
        </w:tc>
        <w:tc>
          <w:tcPr>
            <w:tcW w:w="710" w:type="dxa"/>
            <w:vMerge w:val="restart"/>
            <w:tcBorders>
              <w:tl2br w:val="nil"/>
              <w:tr2bl w:val="nil"/>
            </w:tcBorders>
            <w:noWrap w:val="0"/>
            <w:vAlign w:val="center"/>
          </w:tcPr>
          <w:p w14:paraId="74D223FE">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both"/>
              <w:outlineLvl w:val="9"/>
              <w:rPr>
                <w:rFonts w:hint="eastAsia" w:ascii="Times New Roman" w:cs="Times New Roman"/>
                <w:b/>
                <w:bCs/>
                <w:color w:val="auto"/>
                <w:sz w:val="21"/>
                <w:szCs w:val="21"/>
                <w:highlight w:val="none"/>
                <w:lang w:val="en-US" w:eastAsia="zh-CN"/>
              </w:rPr>
            </w:pPr>
            <w:r>
              <w:rPr>
                <w:rFonts w:hint="eastAsia" w:ascii="Times New Roman" w:cs="Times New Roman"/>
                <w:b/>
                <w:bCs/>
                <w:color w:val="auto"/>
                <w:sz w:val="21"/>
                <w:szCs w:val="21"/>
                <w:highlight w:val="none"/>
                <w:lang w:val="en-US" w:eastAsia="zh-CN"/>
              </w:rPr>
              <w:t>是否</w:t>
            </w:r>
          </w:p>
          <w:p w14:paraId="530426A5">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both"/>
              <w:outlineLvl w:val="9"/>
              <w:rPr>
                <w:rFonts w:hint="default" w:ascii="Times New Roman" w:hAnsi="Times New Roman" w:eastAsia="宋体" w:cs="Times New Roman"/>
                <w:b/>
                <w:bCs/>
                <w:color w:val="auto"/>
                <w:sz w:val="21"/>
                <w:szCs w:val="21"/>
                <w:highlight w:val="none"/>
                <w:lang w:val="en-US" w:eastAsia="zh-CN"/>
              </w:rPr>
            </w:pPr>
            <w:r>
              <w:rPr>
                <w:rFonts w:hint="eastAsia" w:ascii="Times New Roman" w:cs="Times New Roman"/>
                <w:b/>
                <w:bCs/>
                <w:color w:val="auto"/>
                <w:sz w:val="21"/>
                <w:szCs w:val="21"/>
                <w:highlight w:val="none"/>
                <w:lang w:val="en-US" w:eastAsia="zh-CN"/>
              </w:rPr>
              <w:t>达标</w:t>
            </w:r>
          </w:p>
        </w:tc>
      </w:tr>
      <w:tr w14:paraId="66E751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1144" w:type="dxa"/>
            <w:vMerge w:val="continue"/>
            <w:tcBorders>
              <w:tl2br w:val="nil"/>
              <w:tr2bl w:val="nil"/>
            </w:tcBorders>
            <w:noWrap w:val="0"/>
            <w:vAlign w:val="center"/>
          </w:tcPr>
          <w:p w14:paraId="3241C711">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color w:val="auto"/>
                <w:sz w:val="21"/>
                <w:szCs w:val="21"/>
                <w:highlight w:val="none"/>
              </w:rPr>
            </w:pPr>
          </w:p>
        </w:tc>
        <w:tc>
          <w:tcPr>
            <w:tcW w:w="2840" w:type="dxa"/>
            <w:gridSpan w:val="3"/>
            <w:tcBorders>
              <w:tl2br w:val="nil"/>
              <w:tr2bl w:val="nil"/>
            </w:tcBorders>
            <w:noWrap w:val="0"/>
            <w:vAlign w:val="center"/>
          </w:tcPr>
          <w:p w14:paraId="3509C8D5">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W2项目所在位置</w:t>
            </w:r>
          </w:p>
        </w:tc>
        <w:tc>
          <w:tcPr>
            <w:tcW w:w="1099" w:type="dxa"/>
            <w:vMerge w:val="continue"/>
            <w:tcBorders>
              <w:tl2br w:val="nil"/>
              <w:tr2bl w:val="nil"/>
            </w:tcBorders>
            <w:noWrap w:val="0"/>
            <w:vAlign w:val="center"/>
          </w:tcPr>
          <w:p w14:paraId="1DBE2139">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highlight w:val="none"/>
                <w:lang w:val="en-US" w:eastAsia="zh-CN"/>
              </w:rPr>
            </w:pPr>
          </w:p>
        </w:tc>
        <w:tc>
          <w:tcPr>
            <w:tcW w:w="1367" w:type="dxa"/>
            <w:vMerge w:val="continue"/>
            <w:tcBorders>
              <w:tl2br w:val="nil"/>
              <w:tr2bl w:val="nil"/>
            </w:tcBorders>
            <w:noWrap w:val="0"/>
            <w:vAlign w:val="center"/>
          </w:tcPr>
          <w:p w14:paraId="533D5C8D">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highlight w:val="none"/>
                <w:lang w:val="en-US" w:eastAsia="zh-CN"/>
              </w:rPr>
            </w:pPr>
          </w:p>
        </w:tc>
        <w:tc>
          <w:tcPr>
            <w:tcW w:w="818" w:type="dxa"/>
            <w:vMerge w:val="continue"/>
            <w:tcBorders>
              <w:tl2br w:val="nil"/>
              <w:tr2bl w:val="nil"/>
            </w:tcBorders>
            <w:noWrap w:val="0"/>
            <w:vAlign w:val="center"/>
          </w:tcPr>
          <w:p w14:paraId="2A2D40DF">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highlight w:val="none"/>
                <w:lang w:val="en-US" w:eastAsia="zh-CN"/>
              </w:rPr>
            </w:pPr>
          </w:p>
        </w:tc>
        <w:tc>
          <w:tcPr>
            <w:tcW w:w="844" w:type="dxa"/>
            <w:vMerge w:val="continue"/>
            <w:tcBorders>
              <w:tl2br w:val="nil"/>
              <w:tr2bl w:val="nil"/>
            </w:tcBorders>
            <w:noWrap w:val="0"/>
            <w:vAlign w:val="center"/>
          </w:tcPr>
          <w:p w14:paraId="1B469ABA">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highlight w:val="none"/>
                <w:lang w:val="en-US" w:eastAsia="zh-CN"/>
              </w:rPr>
            </w:pPr>
          </w:p>
        </w:tc>
        <w:tc>
          <w:tcPr>
            <w:tcW w:w="710" w:type="dxa"/>
            <w:vMerge w:val="continue"/>
            <w:tcBorders>
              <w:tl2br w:val="nil"/>
              <w:tr2bl w:val="nil"/>
            </w:tcBorders>
            <w:noWrap w:val="0"/>
            <w:vAlign w:val="center"/>
          </w:tcPr>
          <w:p w14:paraId="18C830BC">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highlight w:val="none"/>
                <w:lang w:val="en-US" w:eastAsia="zh-CN"/>
              </w:rPr>
            </w:pPr>
          </w:p>
        </w:tc>
      </w:tr>
      <w:tr w14:paraId="747AB7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1144" w:type="dxa"/>
            <w:vMerge w:val="continue"/>
            <w:tcBorders>
              <w:tl2br w:val="nil"/>
              <w:tr2bl w:val="nil"/>
            </w:tcBorders>
            <w:noWrap w:val="0"/>
            <w:vAlign w:val="center"/>
          </w:tcPr>
          <w:p w14:paraId="76194E34">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color w:val="auto"/>
                <w:sz w:val="21"/>
                <w:szCs w:val="21"/>
                <w:highlight w:val="none"/>
              </w:rPr>
            </w:pPr>
          </w:p>
        </w:tc>
        <w:tc>
          <w:tcPr>
            <w:tcW w:w="928" w:type="dxa"/>
            <w:tcBorders>
              <w:tl2br w:val="nil"/>
              <w:tr2bl w:val="nil"/>
            </w:tcBorders>
            <w:noWrap w:val="0"/>
            <w:vAlign w:val="center"/>
          </w:tcPr>
          <w:p w14:paraId="5C16C2F8">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202</w:t>
            </w:r>
            <w:r>
              <w:rPr>
                <w:rFonts w:hint="default" w:ascii="Times New Roman" w:hAnsi="Times New Roman" w:cs="Times New Roman"/>
                <w:b/>
                <w:bCs w:val="0"/>
                <w:color w:val="auto"/>
                <w:sz w:val="21"/>
                <w:szCs w:val="21"/>
                <w:highlight w:val="none"/>
                <w:lang w:val="en-US" w:eastAsia="zh-CN"/>
              </w:rPr>
              <w:t>4.12.7</w:t>
            </w:r>
          </w:p>
        </w:tc>
        <w:tc>
          <w:tcPr>
            <w:tcW w:w="942" w:type="dxa"/>
            <w:tcBorders>
              <w:tl2br w:val="nil"/>
              <w:tr2bl w:val="nil"/>
            </w:tcBorders>
            <w:noWrap w:val="0"/>
            <w:vAlign w:val="center"/>
          </w:tcPr>
          <w:p w14:paraId="285467C5">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2024.12.8</w:t>
            </w:r>
          </w:p>
        </w:tc>
        <w:tc>
          <w:tcPr>
            <w:tcW w:w="970" w:type="dxa"/>
            <w:tcBorders>
              <w:tl2br w:val="nil"/>
              <w:tr2bl w:val="nil"/>
            </w:tcBorders>
            <w:noWrap w:val="0"/>
            <w:vAlign w:val="center"/>
          </w:tcPr>
          <w:p w14:paraId="7CBEF528">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lang w:val="en-US" w:eastAsia="zh-CN"/>
              </w:rPr>
              <w:t>2024.12.9</w:t>
            </w:r>
          </w:p>
        </w:tc>
        <w:tc>
          <w:tcPr>
            <w:tcW w:w="1099" w:type="dxa"/>
            <w:vMerge w:val="continue"/>
            <w:tcBorders>
              <w:tl2br w:val="nil"/>
              <w:tr2bl w:val="nil"/>
            </w:tcBorders>
            <w:noWrap w:val="0"/>
            <w:vAlign w:val="center"/>
          </w:tcPr>
          <w:p w14:paraId="7FF8C54A">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21"/>
                <w:szCs w:val="21"/>
                <w:highlight w:val="none"/>
                <w:lang w:val="en-US" w:eastAsia="zh-CN"/>
              </w:rPr>
            </w:pPr>
          </w:p>
        </w:tc>
        <w:tc>
          <w:tcPr>
            <w:tcW w:w="1367" w:type="dxa"/>
            <w:vMerge w:val="continue"/>
            <w:tcBorders>
              <w:tl2br w:val="nil"/>
              <w:tr2bl w:val="nil"/>
            </w:tcBorders>
            <w:noWrap w:val="0"/>
            <w:vAlign w:val="center"/>
          </w:tcPr>
          <w:p w14:paraId="546FFC6D">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21"/>
                <w:szCs w:val="21"/>
                <w:highlight w:val="none"/>
                <w:lang w:val="en-US" w:eastAsia="zh-CN"/>
              </w:rPr>
            </w:pPr>
          </w:p>
        </w:tc>
        <w:tc>
          <w:tcPr>
            <w:tcW w:w="818" w:type="dxa"/>
            <w:vMerge w:val="continue"/>
            <w:tcBorders>
              <w:tl2br w:val="nil"/>
              <w:tr2bl w:val="nil"/>
            </w:tcBorders>
            <w:noWrap w:val="0"/>
            <w:vAlign w:val="center"/>
          </w:tcPr>
          <w:p w14:paraId="4613AED4">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21"/>
                <w:szCs w:val="21"/>
                <w:highlight w:val="none"/>
                <w:lang w:val="en-US" w:eastAsia="zh-CN"/>
              </w:rPr>
            </w:pPr>
          </w:p>
        </w:tc>
        <w:tc>
          <w:tcPr>
            <w:tcW w:w="844" w:type="dxa"/>
            <w:vMerge w:val="continue"/>
            <w:tcBorders>
              <w:tl2br w:val="nil"/>
              <w:tr2bl w:val="nil"/>
            </w:tcBorders>
            <w:noWrap w:val="0"/>
            <w:vAlign w:val="center"/>
          </w:tcPr>
          <w:p w14:paraId="4971D3DB">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21"/>
                <w:szCs w:val="21"/>
                <w:highlight w:val="none"/>
                <w:lang w:val="en-US" w:eastAsia="zh-CN"/>
              </w:rPr>
            </w:pPr>
          </w:p>
        </w:tc>
        <w:tc>
          <w:tcPr>
            <w:tcW w:w="710" w:type="dxa"/>
            <w:vMerge w:val="continue"/>
            <w:tcBorders>
              <w:tl2br w:val="nil"/>
              <w:tr2bl w:val="nil"/>
            </w:tcBorders>
            <w:noWrap w:val="0"/>
            <w:vAlign w:val="center"/>
          </w:tcPr>
          <w:p w14:paraId="75118B66">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21"/>
                <w:szCs w:val="21"/>
                <w:highlight w:val="none"/>
                <w:lang w:val="en-US" w:eastAsia="zh-CN"/>
              </w:rPr>
            </w:pPr>
          </w:p>
        </w:tc>
      </w:tr>
      <w:tr w14:paraId="4F478B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144" w:type="dxa"/>
            <w:tcBorders>
              <w:tl2br w:val="nil"/>
              <w:tr2bl w:val="nil"/>
            </w:tcBorders>
            <w:noWrap w:val="0"/>
            <w:vAlign w:val="center"/>
          </w:tcPr>
          <w:p w14:paraId="418C02F7">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pH值</w:t>
            </w:r>
          </w:p>
        </w:tc>
        <w:tc>
          <w:tcPr>
            <w:tcW w:w="928" w:type="dxa"/>
            <w:tcBorders>
              <w:tl2br w:val="nil"/>
              <w:tr2bl w:val="nil"/>
            </w:tcBorders>
            <w:noWrap w:val="0"/>
            <w:vAlign w:val="center"/>
          </w:tcPr>
          <w:p w14:paraId="22A74534">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42" w:type="dxa"/>
            <w:tcBorders>
              <w:tl2br w:val="nil"/>
              <w:tr2bl w:val="nil"/>
            </w:tcBorders>
            <w:noWrap w:val="0"/>
            <w:vAlign w:val="center"/>
          </w:tcPr>
          <w:p w14:paraId="05D4B5C5">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70" w:type="dxa"/>
            <w:tcBorders>
              <w:tl2br w:val="nil"/>
              <w:tr2bl w:val="nil"/>
            </w:tcBorders>
            <w:noWrap w:val="0"/>
            <w:vAlign w:val="center"/>
          </w:tcPr>
          <w:p w14:paraId="4BDC85CE">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1099" w:type="dxa"/>
            <w:tcBorders>
              <w:tl2br w:val="nil"/>
              <w:tr2bl w:val="nil"/>
            </w:tcBorders>
            <w:noWrap w:val="0"/>
            <w:vAlign w:val="center"/>
          </w:tcPr>
          <w:p w14:paraId="4714C629">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6~9</w:t>
            </w:r>
          </w:p>
        </w:tc>
        <w:tc>
          <w:tcPr>
            <w:tcW w:w="1367" w:type="dxa"/>
            <w:tcBorders>
              <w:tl2br w:val="nil"/>
              <w:tr2bl w:val="nil"/>
            </w:tcBorders>
            <w:noWrap w:val="0"/>
            <w:vAlign w:val="center"/>
          </w:tcPr>
          <w:p w14:paraId="41DAB023">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0.0~0.10</w:t>
            </w:r>
          </w:p>
        </w:tc>
        <w:tc>
          <w:tcPr>
            <w:tcW w:w="818" w:type="dxa"/>
            <w:tcBorders>
              <w:tl2br w:val="nil"/>
              <w:tr2bl w:val="nil"/>
            </w:tcBorders>
            <w:noWrap w:val="0"/>
            <w:vAlign w:val="center"/>
          </w:tcPr>
          <w:p w14:paraId="4CADCF1A">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0</w:t>
            </w:r>
          </w:p>
        </w:tc>
        <w:tc>
          <w:tcPr>
            <w:tcW w:w="844" w:type="dxa"/>
            <w:tcBorders>
              <w:tl2br w:val="nil"/>
              <w:tr2bl w:val="nil"/>
            </w:tcBorders>
            <w:noWrap w:val="0"/>
            <w:vAlign w:val="center"/>
          </w:tcPr>
          <w:p w14:paraId="20E2FB28">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0</w:t>
            </w:r>
          </w:p>
        </w:tc>
        <w:tc>
          <w:tcPr>
            <w:tcW w:w="710" w:type="dxa"/>
            <w:tcBorders>
              <w:tl2br w:val="nil"/>
              <w:tr2bl w:val="nil"/>
            </w:tcBorders>
            <w:noWrap w:val="0"/>
            <w:vAlign w:val="center"/>
          </w:tcPr>
          <w:p w14:paraId="4CB67D16">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达标</w:t>
            </w:r>
          </w:p>
        </w:tc>
      </w:tr>
      <w:tr w14:paraId="4E908C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44" w:type="dxa"/>
            <w:tcBorders>
              <w:tl2br w:val="nil"/>
              <w:tr2bl w:val="nil"/>
            </w:tcBorders>
            <w:noWrap w:val="0"/>
            <w:vAlign w:val="center"/>
          </w:tcPr>
          <w:p w14:paraId="7BDA26A6">
            <w:pPr>
              <w:keepNext w:val="0"/>
              <w:keepLines w:val="0"/>
              <w:pageBreakBefore w:val="0"/>
              <w:widowControl w:val="0"/>
              <w:suppressLineNumbers w:val="0"/>
              <w:kinsoku/>
              <w:wordWrap/>
              <w:overflowPunct/>
              <w:topLinePunct w:val="0"/>
              <w:autoSpaceDE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化学需氧量</w:t>
            </w:r>
          </w:p>
        </w:tc>
        <w:tc>
          <w:tcPr>
            <w:tcW w:w="928" w:type="dxa"/>
            <w:tcBorders>
              <w:tl2br w:val="nil"/>
              <w:tr2bl w:val="nil"/>
            </w:tcBorders>
            <w:noWrap w:val="0"/>
            <w:vAlign w:val="center"/>
          </w:tcPr>
          <w:p w14:paraId="7C3C5C1A">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42" w:type="dxa"/>
            <w:tcBorders>
              <w:tl2br w:val="nil"/>
              <w:tr2bl w:val="nil"/>
            </w:tcBorders>
            <w:noWrap w:val="0"/>
            <w:vAlign w:val="center"/>
          </w:tcPr>
          <w:p w14:paraId="2B3BAFA6">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70" w:type="dxa"/>
            <w:tcBorders>
              <w:tl2br w:val="nil"/>
              <w:tr2bl w:val="nil"/>
            </w:tcBorders>
            <w:noWrap w:val="0"/>
            <w:vAlign w:val="center"/>
          </w:tcPr>
          <w:p w14:paraId="37D296F8">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1099" w:type="dxa"/>
            <w:tcBorders>
              <w:tl2br w:val="nil"/>
              <w:tr2bl w:val="nil"/>
            </w:tcBorders>
            <w:noWrap w:val="0"/>
            <w:vAlign w:val="center"/>
          </w:tcPr>
          <w:p w14:paraId="5A408FEE">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30</w:t>
            </w:r>
          </w:p>
        </w:tc>
        <w:tc>
          <w:tcPr>
            <w:tcW w:w="1367" w:type="dxa"/>
            <w:tcBorders>
              <w:tl2br w:val="nil"/>
              <w:tr2bl w:val="nil"/>
            </w:tcBorders>
            <w:noWrap w:val="0"/>
            <w:vAlign w:val="center"/>
          </w:tcPr>
          <w:p w14:paraId="786D8C7F">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u w:val="single"/>
                <w:lang w:val="en-US" w:eastAsia="zh-CN"/>
              </w:rPr>
            </w:pPr>
            <w:r>
              <w:rPr>
                <w:rFonts w:hint="eastAsia" w:ascii="Times New Roman" w:eastAsia="等线" w:cs="Times New Roman"/>
                <w:i w:val="0"/>
                <w:iCs w:val="0"/>
                <w:color w:val="auto"/>
                <w:kern w:val="0"/>
                <w:sz w:val="21"/>
                <w:szCs w:val="21"/>
                <w:highlight w:val="none"/>
                <w:u w:val="single"/>
                <w:lang w:val="en-US" w:eastAsia="zh-CN" w:bidi="ar"/>
              </w:rPr>
              <w:t>0.75~0.80</w:t>
            </w:r>
          </w:p>
        </w:tc>
        <w:tc>
          <w:tcPr>
            <w:tcW w:w="818" w:type="dxa"/>
            <w:tcBorders>
              <w:tl2br w:val="nil"/>
              <w:tr2bl w:val="nil"/>
            </w:tcBorders>
            <w:noWrap w:val="0"/>
            <w:vAlign w:val="center"/>
          </w:tcPr>
          <w:p w14:paraId="1F8B5F7B">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cs="Times New Roman"/>
                <w:b w:val="0"/>
                <w:bCs/>
                <w:color w:val="auto"/>
                <w:sz w:val="21"/>
                <w:szCs w:val="21"/>
                <w:highlight w:val="none"/>
                <w:u w:val="single"/>
                <w:lang w:val="en-US" w:eastAsia="zh-CN"/>
              </w:rPr>
              <w:t>0</w:t>
            </w:r>
          </w:p>
        </w:tc>
        <w:tc>
          <w:tcPr>
            <w:tcW w:w="844" w:type="dxa"/>
            <w:tcBorders>
              <w:tl2br w:val="nil"/>
              <w:tr2bl w:val="nil"/>
            </w:tcBorders>
            <w:noWrap w:val="0"/>
            <w:vAlign w:val="center"/>
          </w:tcPr>
          <w:p w14:paraId="6E6D1F77">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cs="Times New Roman"/>
                <w:color w:val="auto"/>
                <w:kern w:val="2"/>
                <w:sz w:val="21"/>
                <w:szCs w:val="21"/>
                <w:highlight w:val="none"/>
                <w:u w:val="single"/>
                <w:lang w:val="en-US" w:eastAsia="zh-CN" w:bidi="ar-SA"/>
              </w:rPr>
              <w:t>0</w:t>
            </w:r>
          </w:p>
        </w:tc>
        <w:tc>
          <w:tcPr>
            <w:tcW w:w="710" w:type="dxa"/>
            <w:tcBorders>
              <w:tl2br w:val="nil"/>
              <w:tr2bl w:val="nil"/>
            </w:tcBorders>
            <w:noWrap w:val="0"/>
            <w:vAlign w:val="center"/>
          </w:tcPr>
          <w:p w14:paraId="6AFAE3C6">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sz w:val="21"/>
                <w:szCs w:val="21"/>
                <w:highlight w:val="none"/>
                <w:lang w:val="en-US" w:eastAsia="zh-CN"/>
              </w:rPr>
            </w:pPr>
            <w:r>
              <w:rPr>
                <w:rFonts w:hint="eastAsia" w:ascii="Times New Roman" w:cs="Times New Roman"/>
                <w:b w:val="0"/>
                <w:bCs/>
                <w:color w:val="auto"/>
                <w:sz w:val="21"/>
                <w:szCs w:val="21"/>
                <w:highlight w:val="none"/>
                <w:u w:val="single"/>
                <w:lang w:val="en-US" w:eastAsia="zh-CN"/>
              </w:rPr>
              <w:t>达标</w:t>
            </w:r>
          </w:p>
        </w:tc>
      </w:tr>
      <w:tr w14:paraId="7A855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44" w:type="dxa"/>
            <w:tcBorders>
              <w:tl2br w:val="nil"/>
              <w:tr2bl w:val="nil"/>
            </w:tcBorders>
            <w:noWrap w:val="0"/>
            <w:vAlign w:val="center"/>
          </w:tcPr>
          <w:p w14:paraId="0EA2B84A">
            <w:pPr>
              <w:keepNext w:val="0"/>
              <w:keepLines w:val="0"/>
              <w:pageBreakBefore w:val="0"/>
              <w:widowControl w:val="0"/>
              <w:suppressLineNumbers w:val="0"/>
              <w:kinsoku/>
              <w:wordWrap/>
              <w:overflowPunct/>
              <w:topLinePunct w:val="0"/>
              <w:autoSpaceDE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五日生化需氧量</w:t>
            </w:r>
          </w:p>
        </w:tc>
        <w:tc>
          <w:tcPr>
            <w:tcW w:w="928" w:type="dxa"/>
            <w:tcBorders>
              <w:tl2br w:val="nil"/>
              <w:tr2bl w:val="nil"/>
            </w:tcBorders>
            <w:noWrap w:val="0"/>
            <w:vAlign w:val="center"/>
          </w:tcPr>
          <w:p w14:paraId="208F8BC7">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42" w:type="dxa"/>
            <w:tcBorders>
              <w:tl2br w:val="nil"/>
              <w:tr2bl w:val="nil"/>
            </w:tcBorders>
            <w:noWrap w:val="0"/>
            <w:vAlign w:val="center"/>
          </w:tcPr>
          <w:p w14:paraId="5318F6C9">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70" w:type="dxa"/>
            <w:tcBorders>
              <w:tl2br w:val="nil"/>
              <w:tr2bl w:val="nil"/>
            </w:tcBorders>
            <w:noWrap w:val="0"/>
            <w:vAlign w:val="center"/>
          </w:tcPr>
          <w:p w14:paraId="334CD5D8">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1099" w:type="dxa"/>
            <w:tcBorders>
              <w:tl2br w:val="nil"/>
              <w:tr2bl w:val="nil"/>
            </w:tcBorders>
            <w:noWrap w:val="0"/>
            <w:vAlign w:val="center"/>
          </w:tcPr>
          <w:p w14:paraId="095C3EA7">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6</w:t>
            </w:r>
          </w:p>
        </w:tc>
        <w:tc>
          <w:tcPr>
            <w:tcW w:w="1367" w:type="dxa"/>
            <w:tcBorders>
              <w:tl2br w:val="nil"/>
              <w:tr2bl w:val="nil"/>
            </w:tcBorders>
            <w:noWrap w:val="0"/>
            <w:vAlign w:val="center"/>
          </w:tcPr>
          <w:p w14:paraId="1EA50037">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u w:val="single"/>
                <w:lang w:val="en-US" w:eastAsia="zh-CN"/>
              </w:rPr>
            </w:pPr>
            <w:r>
              <w:rPr>
                <w:rFonts w:hint="eastAsia" w:ascii="Times New Roman" w:eastAsia="等线" w:cs="Times New Roman"/>
                <w:b w:val="0"/>
                <w:bCs w:val="0"/>
                <w:i w:val="0"/>
                <w:iCs w:val="0"/>
                <w:color w:val="auto"/>
                <w:kern w:val="0"/>
                <w:sz w:val="21"/>
                <w:szCs w:val="21"/>
                <w:highlight w:val="none"/>
                <w:u w:val="single"/>
                <w:lang w:val="en-US" w:eastAsia="zh-CN" w:bidi="ar"/>
              </w:rPr>
              <w:t>1.22~1.35</w:t>
            </w:r>
          </w:p>
        </w:tc>
        <w:tc>
          <w:tcPr>
            <w:tcW w:w="818" w:type="dxa"/>
            <w:tcBorders>
              <w:tl2br w:val="nil"/>
              <w:tr2bl w:val="nil"/>
            </w:tcBorders>
            <w:noWrap w:val="0"/>
            <w:vAlign w:val="center"/>
          </w:tcPr>
          <w:p w14:paraId="18C9749F">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default" w:ascii="Times New Roman" w:hAnsi="Times New Roman" w:eastAsia="宋体" w:cs="Times New Roman"/>
                <w:b w:val="0"/>
                <w:bCs w:val="0"/>
                <w:color w:val="auto"/>
                <w:sz w:val="21"/>
                <w:szCs w:val="21"/>
                <w:highlight w:val="none"/>
                <w:u w:val="single"/>
                <w:lang w:val="en-US" w:eastAsia="zh-CN"/>
              </w:rPr>
              <w:t>100%</w:t>
            </w:r>
          </w:p>
        </w:tc>
        <w:tc>
          <w:tcPr>
            <w:tcW w:w="844" w:type="dxa"/>
            <w:tcBorders>
              <w:tl2br w:val="nil"/>
              <w:tr2bl w:val="nil"/>
            </w:tcBorders>
            <w:noWrap w:val="0"/>
            <w:vAlign w:val="center"/>
          </w:tcPr>
          <w:p w14:paraId="48AAB048">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ascii="Times New Roman" w:cs="Times New Roman"/>
                <w:b w:val="0"/>
                <w:bCs w:val="0"/>
                <w:color w:val="auto"/>
                <w:sz w:val="21"/>
                <w:szCs w:val="21"/>
                <w:highlight w:val="none"/>
                <w:u w:val="single"/>
                <w:lang w:val="en-US" w:eastAsia="zh-CN"/>
              </w:rPr>
              <w:t>1.35</w:t>
            </w:r>
          </w:p>
        </w:tc>
        <w:tc>
          <w:tcPr>
            <w:tcW w:w="710" w:type="dxa"/>
            <w:tcBorders>
              <w:tl2br w:val="nil"/>
              <w:tr2bl w:val="nil"/>
            </w:tcBorders>
            <w:noWrap w:val="0"/>
            <w:vAlign w:val="center"/>
          </w:tcPr>
          <w:p w14:paraId="10408074">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超标</w:t>
            </w:r>
          </w:p>
        </w:tc>
      </w:tr>
      <w:tr w14:paraId="19A657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44" w:type="dxa"/>
            <w:tcBorders>
              <w:tl2br w:val="nil"/>
              <w:tr2bl w:val="nil"/>
            </w:tcBorders>
            <w:noWrap w:val="0"/>
            <w:vAlign w:val="center"/>
          </w:tcPr>
          <w:p w14:paraId="3F1F9C87">
            <w:pPr>
              <w:keepNext w:val="0"/>
              <w:keepLines w:val="0"/>
              <w:pageBreakBefore w:val="0"/>
              <w:widowControl w:val="0"/>
              <w:suppressLineNumbers w:val="0"/>
              <w:kinsoku/>
              <w:wordWrap/>
              <w:overflowPunct/>
              <w:topLinePunct w:val="0"/>
              <w:autoSpaceDE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悬浮物</w:t>
            </w:r>
          </w:p>
        </w:tc>
        <w:tc>
          <w:tcPr>
            <w:tcW w:w="928" w:type="dxa"/>
            <w:tcBorders>
              <w:tl2br w:val="nil"/>
              <w:tr2bl w:val="nil"/>
            </w:tcBorders>
            <w:noWrap w:val="0"/>
            <w:vAlign w:val="center"/>
          </w:tcPr>
          <w:p w14:paraId="13BE7D97">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42" w:type="dxa"/>
            <w:tcBorders>
              <w:tl2br w:val="nil"/>
              <w:tr2bl w:val="nil"/>
            </w:tcBorders>
            <w:noWrap w:val="0"/>
            <w:vAlign w:val="center"/>
          </w:tcPr>
          <w:p w14:paraId="51CBA937">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70" w:type="dxa"/>
            <w:tcBorders>
              <w:tl2br w:val="nil"/>
              <w:tr2bl w:val="nil"/>
            </w:tcBorders>
            <w:noWrap w:val="0"/>
            <w:vAlign w:val="center"/>
          </w:tcPr>
          <w:p w14:paraId="0A91E91A">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1099" w:type="dxa"/>
            <w:tcBorders>
              <w:tl2br w:val="nil"/>
              <w:tr2bl w:val="nil"/>
            </w:tcBorders>
            <w:noWrap w:val="0"/>
            <w:vAlign w:val="center"/>
          </w:tcPr>
          <w:p w14:paraId="228C5904">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367" w:type="dxa"/>
            <w:tcBorders>
              <w:tl2br w:val="nil"/>
              <w:tr2bl w:val="nil"/>
            </w:tcBorders>
            <w:noWrap w:val="0"/>
            <w:vAlign w:val="center"/>
          </w:tcPr>
          <w:p w14:paraId="66E65D67">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w:t>
            </w:r>
          </w:p>
        </w:tc>
        <w:tc>
          <w:tcPr>
            <w:tcW w:w="818" w:type="dxa"/>
            <w:tcBorders>
              <w:tl2br w:val="nil"/>
              <w:tr2bl w:val="nil"/>
            </w:tcBorders>
            <w:noWrap w:val="0"/>
            <w:vAlign w:val="center"/>
          </w:tcPr>
          <w:p w14:paraId="4803FA77">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kern w:val="2"/>
                <w:sz w:val="21"/>
                <w:szCs w:val="21"/>
                <w:highlight w:val="none"/>
                <w:u w:val="single"/>
                <w:lang w:val="en-US" w:eastAsia="zh-CN" w:bidi="ar-SA"/>
              </w:rPr>
            </w:pPr>
            <w:r>
              <w:rPr>
                <w:rFonts w:hint="default" w:ascii="Times New Roman" w:hAnsi="Times New Roman" w:eastAsia="宋体" w:cs="Times New Roman"/>
                <w:color w:val="auto"/>
                <w:sz w:val="21"/>
                <w:szCs w:val="21"/>
                <w:highlight w:val="none"/>
                <w:u w:val="single"/>
                <w:lang w:val="en-US" w:eastAsia="zh-CN"/>
              </w:rPr>
              <w:t>/</w:t>
            </w:r>
          </w:p>
        </w:tc>
        <w:tc>
          <w:tcPr>
            <w:tcW w:w="844" w:type="dxa"/>
            <w:tcBorders>
              <w:tl2br w:val="nil"/>
              <w:tr2bl w:val="nil"/>
            </w:tcBorders>
            <w:noWrap w:val="0"/>
            <w:vAlign w:val="center"/>
          </w:tcPr>
          <w:p w14:paraId="609D7166">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kern w:val="2"/>
                <w:sz w:val="21"/>
                <w:szCs w:val="21"/>
                <w:highlight w:val="none"/>
                <w:u w:val="single"/>
                <w:lang w:val="en-US" w:eastAsia="zh-CN" w:bidi="ar-SA"/>
              </w:rPr>
            </w:pPr>
            <w:r>
              <w:rPr>
                <w:rFonts w:hint="default" w:ascii="Times New Roman" w:hAnsi="Times New Roman" w:eastAsia="宋体" w:cs="Times New Roman"/>
                <w:color w:val="auto"/>
                <w:sz w:val="21"/>
                <w:szCs w:val="21"/>
                <w:highlight w:val="none"/>
                <w:u w:val="single"/>
                <w:lang w:val="en-US" w:eastAsia="zh-CN"/>
              </w:rPr>
              <w:t>/</w:t>
            </w:r>
          </w:p>
        </w:tc>
        <w:tc>
          <w:tcPr>
            <w:tcW w:w="710" w:type="dxa"/>
            <w:tcBorders>
              <w:tl2br w:val="nil"/>
              <w:tr2bl w:val="nil"/>
            </w:tcBorders>
            <w:noWrap w:val="0"/>
            <w:vAlign w:val="center"/>
          </w:tcPr>
          <w:p w14:paraId="1BC206AA">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027478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44" w:type="dxa"/>
            <w:tcBorders>
              <w:tl2br w:val="nil"/>
              <w:tr2bl w:val="nil"/>
            </w:tcBorders>
            <w:noWrap w:val="0"/>
            <w:vAlign w:val="center"/>
          </w:tcPr>
          <w:p w14:paraId="6FAAAA45">
            <w:pPr>
              <w:keepNext w:val="0"/>
              <w:keepLines w:val="0"/>
              <w:pageBreakBefore w:val="0"/>
              <w:widowControl w:val="0"/>
              <w:suppressLineNumbers w:val="0"/>
              <w:kinsoku/>
              <w:wordWrap/>
              <w:overflowPunct/>
              <w:topLinePunct w:val="0"/>
              <w:autoSpaceDE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氨氮</w:t>
            </w:r>
          </w:p>
        </w:tc>
        <w:tc>
          <w:tcPr>
            <w:tcW w:w="928" w:type="dxa"/>
            <w:tcBorders>
              <w:tl2br w:val="nil"/>
              <w:tr2bl w:val="nil"/>
            </w:tcBorders>
            <w:noWrap w:val="0"/>
            <w:vAlign w:val="center"/>
          </w:tcPr>
          <w:p w14:paraId="406DBAAC">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42" w:type="dxa"/>
            <w:tcBorders>
              <w:tl2br w:val="nil"/>
              <w:tr2bl w:val="nil"/>
            </w:tcBorders>
            <w:noWrap w:val="0"/>
            <w:vAlign w:val="center"/>
          </w:tcPr>
          <w:p w14:paraId="664CE1C6">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70" w:type="dxa"/>
            <w:tcBorders>
              <w:tl2br w:val="nil"/>
              <w:tr2bl w:val="nil"/>
            </w:tcBorders>
            <w:noWrap w:val="0"/>
            <w:vAlign w:val="center"/>
          </w:tcPr>
          <w:p w14:paraId="3BA8001A">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1099" w:type="dxa"/>
            <w:tcBorders>
              <w:tl2br w:val="nil"/>
              <w:tr2bl w:val="nil"/>
            </w:tcBorders>
            <w:noWrap w:val="0"/>
            <w:vAlign w:val="center"/>
          </w:tcPr>
          <w:p w14:paraId="3A4ACDA4">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1.5</w:t>
            </w:r>
          </w:p>
        </w:tc>
        <w:tc>
          <w:tcPr>
            <w:tcW w:w="1367" w:type="dxa"/>
            <w:tcBorders>
              <w:tl2br w:val="nil"/>
              <w:tr2bl w:val="nil"/>
            </w:tcBorders>
            <w:noWrap w:val="0"/>
            <w:vAlign w:val="center"/>
          </w:tcPr>
          <w:p w14:paraId="5B5BA730">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u w:val="single"/>
                <w:lang w:val="en-US" w:eastAsia="zh-CN"/>
              </w:rPr>
            </w:pPr>
            <w:r>
              <w:rPr>
                <w:rFonts w:hint="eastAsia" w:ascii="Times New Roman" w:cs="Times New Roman"/>
                <w:b w:val="0"/>
                <w:bCs/>
                <w:color w:val="auto"/>
                <w:sz w:val="21"/>
                <w:szCs w:val="21"/>
                <w:highlight w:val="none"/>
                <w:u w:val="single"/>
                <w:lang w:val="en-US" w:eastAsia="zh-CN"/>
              </w:rPr>
              <w:t>2.19~2.31</w:t>
            </w:r>
          </w:p>
        </w:tc>
        <w:tc>
          <w:tcPr>
            <w:tcW w:w="818" w:type="dxa"/>
            <w:tcBorders>
              <w:tl2br w:val="nil"/>
              <w:tr2bl w:val="nil"/>
            </w:tcBorders>
            <w:noWrap w:val="0"/>
            <w:vAlign w:val="center"/>
          </w:tcPr>
          <w:p w14:paraId="3A139108">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b w:val="0"/>
                <w:bCs/>
                <w:color w:val="auto"/>
                <w:sz w:val="21"/>
                <w:szCs w:val="21"/>
                <w:highlight w:val="none"/>
                <w:u w:val="single"/>
                <w:lang w:val="en-US" w:eastAsia="zh-CN"/>
              </w:rPr>
              <w:t>100%</w:t>
            </w:r>
          </w:p>
        </w:tc>
        <w:tc>
          <w:tcPr>
            <w:tcW w:w="844" w:type="dxa"/>
            <w:tcBorders>
              <w:tl2br w:val="nil"/>
              <w:tr2bl w:val="nil"/>
            </w:tcBorders>
            <w:noWrap w:val="0"/>
            <w:vAlign w:val="center"/>
          </w:tcPr>
          <w:p w14:paraId="4CDE692B">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cs="Times New Roman"/>
                <w:b w:val="0"/>
                <w:bCs/>
                <w:color w:val="auto"/>
                <w:sz w:val="21"/>
                <w:szCs w:val="21"/>
                <w:highlight w:val="none"/>
                <w:u w:val="single"/>
                <w:lang w:val="en-US" w:eastAsia="zh-CN"/>
              </w:rPr>
              <w:t>2.31</w:t>
            </w:r>
          </w:p>
        </w:tc>
        <w:tc>
          <w:tcPr>
            <w:tcW w:w="710" w:type="dxa"/>
            <w:tcBorders>
              <w:tl2br w:val="nil"/>
              <w:tr2bl w:val="nil"/>
            </w:tcBorders>
            <w:noWrap w:val="0"/>
            <w:vAlign w:val="center"/>
          </w:tcPr>
          <w:p w14:paraId="7DB70F56">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超标</w:t>
            </w:r>
          </w:p>
        </w:tc>
      </w:tr>
      <w:tr w14:paraId="3335CD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44" w:type="dxa"/>
            <w:tcBorders>
              <w:tl2br w:val="nil"/>
              <w:tr2bl w:val="nil"/>
            </w:tcBorders>
            <w:noWrap w:val="0"/>
            <w:vAlign w:val="center"/>
          </w:tcPr>
          <w:p w14:paraId="537DCE9B">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总氮</w:t>
            </w:r>
          </w:p>
        </w:tc>
        <w:tc>
          <w:tcPr>
            <w:tcW w:w="928" w:type="dxa"/>
            <w:tcBorders>
              <w:tl2br w:val="nil"/>
              <w:tr2bl w:val="nil"/>
            </w:tcBorders>
            <w:noWrap w:val="0"/>
            <w:vAlign w:val="center"/>
          </w:tcPr>
          <w:p w14:paraId="461B2011">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42" w:type="dxa"/>
            <w:tcBorders>
              <w:tl2br w:val="nil"/>
              <w:tr2bl w:val="nil"/>
            </w:tcBorders>
            <w:noWrap w:val="0"/>
            <w:vAlign w:val="center"/>
          </w:tcPr>
          <w:p w14:paraId="05A5BDD2">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70" w:type="dxa"/>
            <w:tcBorders>
              <w:tl2br w:val="nil"/>
              <w:tr2bl w:val="nil"/>
            </w:tcBorders>
            <w:noWrap w:val="0"/>
            <w:vAlign w:val="center"/>
          </w:tcPr>
          <w:p w14:paraId="101483C3">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1099" w:type="dxa"/>
            <w:tcBorders>
              <w:tl2br w:val="nil"/>
              <w:tr2bl w:val="nil"/>
            </w:tcBorders>
            <w:noWrap w:val="0"/>
            <w:vAlign w:val="center"/>
          </w:tcPr>
          <w:p w14:paraId="250E9438">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1.5</w:t>
            </w:r>
          </w:p>
        </w:tc>
        <w:tc>
          <w:tcPr>
            <w:tcW w:w="1367" w:type="dxa"/>
            <w:tcBorders>
              <w:tl2br w:val="nil"/>
              <w:tr2bl w:val="nil"/>
            </w:tcBorders>
            <w:noWrap w:val="0"/>
            <w:vAlign w:val="center"/>
          </w:tcPr>
          <w:p w14:paraId="547DC467">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u w:val="single"/>
                <w:lang w:val="en-US" w:eastAsia="zh-CN"/>
              </w:rPr>
            </w:pPr>
            <w:r>
              <w:rPr>
                <w:rFonts w:hint="eastAsia" w:ascii="Times New Roman" w:eastAsia="等线" w:cs="Times New Roman"/>
                <w:i w:val="0"/>
                <w:iCs w:val="0"/>
                <w:color w:val="auto"/>
                <w:kern w:val="0"/>
                <w:sz w:val="21"/>
                <w:szCs w:val="21"/>
                <w:highlight w:val="none"/>
                <w:u w:val="single"/>
                <w:lang w:val="en-US" w:eastAsia="zh-CN" w:bidi="ar"/>
              </w:rPr>
              <w:t>3.30~3.42</w:t>
            </w:r>
          </w:p>
        </w:tc>
        <w:tc>
          <w:tcPr>
            <w:tcW w:w="818" w:type="dxa"/>
            <w:tcBorders>
              <w:tl2br w:val="nil"/>
              <w:tr2bl w:val="nil"/>
            </w:tcBorders>
            <w:noWrap w:val="0"/>
            <w:vAlign w:val="center"/>
          </w:tcPr>
          <w:p w14:paraId="1B502EB3">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b w:val="0"/>
                <w:bCs/>
                <w:color w:val="auto"/>
                <w:sz w:val="21"/>
                <w:szCs w:val="21"/>
                <w:highlight w:val="none"/>
                <w:u w:val="single"/>
                <w:lang w:val="en-US" w:eastAsia="zh-CN"/>
              </w:rPr>
              <w:t>100%</w:t>
            </w:r>
          </w:p>
        </w:tc>
        <w:tc>
          <w:tcPr>
            <w:tcW w:w="844" w:type="dxa"/>
            <w:tcBorders>
              <w:tl2br w:val="nil"/>
              <w:tr2bl w:val="nil"/>
            </w:tcBorders>
            <w:noWrap w:val="0"/>
            <w:vAlign w:val="center"/>
          </w:tcPr>
          <w:p w14:paraId="38FF2B47">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cs="Times New Roman"/>
                <w:b w:val="0"/>
                <w:bCs/>
                <w:color w:val="auto"/>
                <w:sz w:val="21"/>
                <w:szCs w:val="21"/>
                <w:highlight w:val="none"/>
                <w:u w:val="single"/>
                <w:lang w:val="en-US" w:eastAsia="zh-CN"/>
              </w:rPr>
              <w:t>3.42</w:t>
            </w:r>
          </w:p>
        </w:tc>
        <w:tc>
          <w:tcPr>
            <w:tcW w:w="710" w:type="dxa"/>
            <w:tcBorders>
              <w:tl2br w:val="nil"/>
              <w:tr2bl w:val="nil"/>
            </w:tcBorders>
            <w:noWrap w:val="0"/>
            <w:vAlign w:val="center"/>
          </w:tcPr>
          <w:p w14:paraId="3BCF040D">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超标</w:t>
            </w:r>
          </w:p>
        </w:tc>
      </w:tr>
      <w:tr w14:paraId="31B1DF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44" w:type="dxa"/>
            <w:tcBorders>
              <w:tl2br w:val="nil"/>
              <w:tr2bl w:val="nil"/>
            </w:tcBorders>
            <w:noWrap w:val="0"/>
            <w:vAlign w:val="center"/>
          </w:tcPr>
          <w:p w14:paraId="5E3874A9">
            <w:pPr>
              <w:keepNext w:val="0"/>
              <w:keepLines w:val="0"/>
              <w:pageBreakBefore w:val="0"/>
              <w:widowControl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总磷</w:t>
            </w:r>
          </w:p>
        </w:tc>
        <w:tc>
          <w:tcPr>
            <w:tcW w:w="928" w:type="dxa"/>
            <w:tcBorders>
              <w:tl2br w:val="nil"/>
              <w:tr2bl w:val="nil"/>
            </w:tcBorders>
            <w:noWrap w:val="0"/>
            <w:vAlign w:val="center"/>
          </w:tcPr>
          <w:p w14:paraId="68699063">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42" w:type="dxa"/>
            <w:tcBorders>
              <w:tl2br w:val="nil"/>
              <w:tr2bl w:val="nil"/>
            </w:tcBorders>
            <w:noWrap w:val="0"/>
            <w:vAlign w:val="center"/>
          </w:tcPr>
          <w:p w14:paraId="591CF09E">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70" w:type="dxa"/>
            <w:tcBorders>
              <w:tl2br w:val="nil"/>
              <w:tr2bl w:val="nil"/>
            </w:tcBorders>
            <w:noWrap w:val="0"/>
            <w:vAlign w:val="center"/>
          </w:tcPr>
          <w:p w14:paraId="546E9C37">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1099" w:type="dxa"/>
            <w:tcBorders>
              <w:tl2br w:val="nil"/>
              <w:tr2bl w:val="nil"/>
            </w:tcBorders>
            <w:noWrap w:val="0"/>
            <w:vAlign w:val="center"/>
          </w:tcPr>
          <w:p w14:paraId="21705784">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0.3</w:t>
            </w:r>
            <w:r>
              <w:rPr>
                <w:rFonts w:hint="default" w:ascii="Times New Roman" w:hAnsi="Times New Roman" w:eastAsia="宋体" w:cs="Times New Roman"/>
                <w:color w:val="auto"/>
                <w:sz w:val="21"/>
                <w:szCs w:val="21"/>
                <w:highlight w:val="none"/>
                <w:lang w:val="en-US" w:eastAsia="zh-CN"/>
              </w:rPr>
              <w:t>（湖库</w:t>
            </w:r>
            <w:r>
              <w:rPr>
                <w:rFonts w:hint="eastAsia" w:ascii="Times New Roman" w:cs="Times New Roman"/>
                <w:color w:val="auto"/>
                <w:sz w:val="21"/>
                <w:szCs w:val="21"/>
                <w:highlight w:val="none"/>
                <w:lang w:val="en-US" w:eastAsia="zh-CN"/>
              </w:rPr>
              <w:t>0.1</w:t>
            </w:r>
            <w:r>
              <w:rPr>
                <w:rFonts w:hint="default" w:ascii="Times New Roman" w:hAnsi="Times New Roman" w:eastAsia="宋体" w:cs="Times New Roman"/>
                <w:color w:val="auto"/>
                <w:sz w:val="21"/>
                <w:szCs w:val="21"/>
                <w:highlight w:val="none"/>
                <w:lang w:val="en-US" w:eastAsia="zh-CN"/>
              </w:rPr>
              <w:t>）</w:t>
            </w:r>
          </w:p>
        </w:tc>
        <w:tc>
          <w:tcPr>
            <w:tcW w:w="1367" w:type="dxa"/>
            <w:tcBorders>
              <w:tl2br w:val="nil"/>
              <w:tr2bl w:val="nil"/>
            </w:tcBorders>
            <w:noWrap w:val="0"/>
            <w:vAlign w:val="center"/>
          </w:tcPr>
          <w:p w14:paraId="75DBFEC6">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u w:val="single"/>
                <w:lang w:val="en-US" w:eastAsia="zh-CN"/>
              </w:rPr>
            </w:pPr>
            <w:r>
              <w:rPr>
                <w:rFonts w:hint="eastAsia" w:ascii="Times New Roman" w:eastAsia="等线" w:cs="Times New Roman"/>
                <w:i w:val="0"/>
                <w:iCs w:val="0"/>
                <w:color w:val="auto"/>
                <w:kern w:val="0"/>
                <w:sz w:val="21"/>
                <w:szCs w:val="21"/>
                <w:highlight w:val="none"/>
                <w:u w:val="single"/>
                <w:lang w:val="en-US" w:eastAsia="zh-CN" w:bidi="ar"/>
              </w:rPr>
              <w:t>0.13~0.20</w:t>
            </w:r>
          </w:p>
        </w:tc>
        <w:tc>
          <w:tcPr>
            <w:tcW w:w="818" w:type="dxa"/>
            <w:tcBorders>
              <w:tl2br w:val="nil"/>
              <w:tr2bl w:val="nil"/>
            </w:tcBorders>
            <w:noWrap w:val="0"/>
            <w:vAlign w:val="center"/>
          </w:tcPr>
          <w:p w14:paraId="4C5C8AFE">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0</w:t>
            </w:r>
          </w:p>
        </w:tc>
        <w:tc>
          <w:tcPr>
            <w:tcW w:w="844" w:type="dxa"/>
            <w:tcBorders>
              <w:tl2br w:val="nil"/>
              <w:tr2bl w:val="nil"/>
            </w:tcBorders>
            <w:noWrap w:val="0"/>
            <w:vAlign w:val="center"/>
          </w:tcPr>
          <w:p w14:paraId="3825960B">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0</w:t>
            </w:r>
          </w:p>
        </w:tc>
        <w:tc>
          <w:tcPr>
            <w:tcW w:w="710" w:type="dxa"/>
            <w:tcBorders>
              <w:tl2br w:val="nil"/>
              <w:tr2bl w:val="nil"/>
            </w:tcBorders>
            <w:noWrap w:val="0"/>
            <w:vAlign w:val="center"/>
          </w:tcPr>
          <w:p w14:paraId="1AAD9311">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达标</w:t>
            </w:r>
          </w:p>
        </w:tc>
      </w:tr>
      <w:tr w14:paraId="2B9AFD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44" w:type="dxa"/>
            <w:tcBorders>
              <w:tl2br w:val="nil"/>
              <w:tr2bl w:val="nil"/>
            </w:tcBorders>
            <w:noWrap w:val="0"/>
            <w:vAlign w:val="center"/>
          </w:tcPr>
          <w:p w14:paraId="79A46F14">
            <w:pPr>
              <w:keepNext w:val="0"/>
              <w:keepLines w:val="0"/>
              <w:pageBreakBefore w:val="0"/>
              <w:widowControl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阴离子表面活性剂</w:t>
            </w:r>
          </w:p>
        </w:tc>
        <w:tc>
          <w:tcPr>
            <w:tcW w:w="928" w:type="dxa"/>
            <w:tcBorders>
              <w:tl2br w:val="nil"/>
              <w:tr2bl w:val="nil"/>
            </w:tcBorders>
            <w:noWrap w:val="0"/>
            <w:vAlign w:val="center"/>
          </w:tcPr>
          <w:p w14:paraId="170A4AF2">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42" w:type="dxa"/>
            <w:tcBorders>
              <w:tl2br w:val="nil"/>
              <w:tr2bl w:val="nil"/>
            </w:tcBorders>
            <w:noWrap w:val="0"/>
            <w:vAlign w:val="center"/>
          </w:tcPr>
          <w:p w14:paraId="50163024">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70" w:type="dxa"/>
            <w:tcBorders>
              <w:tl2br w:val="nil"/>
              <w:tr2bl w:val="nil"/>
            </w:tcBorders>
            <w:noWrap w:val="0"/>
            <w:vAlign w:val="center"/>
          </w:tcPr>
          <w:p w14:paraId="6A5CE687">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1099" w:type="dxa"/>
            <w:tcBorders>
              <w:tl2br w:val="nil"/>
              <w:tr2bl w:val="nil"/>
            </w:tcBorders>
            <w:noWrap w:val="0"/>
            <w:vAlign w:val="center"/>
          </w:tcPr>
          <w:p w14:paraId="08A5B54A">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0.3</w:t>
            </w:r>
          </w:p>
        </w:tc>
        <w:tc>
          <w:tcPr>
            <w:tcW w:w="1367" w:type="dxa"/>
            <w:tcBorders>
              <w:tl2br w:val="nil"/>
              <w:tr2bl w:val="nil"/>
            </w:tcBorders>
            <w:noWrap w:val="0"/>
            <w:vAlign w:val="center"/>
          </w:tcPr>
          <w:p w14:paraId="262A896E">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sz w:val="21"/>
                <w:szCs w:val="21"/>
                <w:highlight w:val="none"/>
                <w:u w:val="single"/>
                <w:lang w:val="en-US" w:eastAsia="zh-CN"/>
              </w:rPr>
            </w:pPr>
            <w:r>
              <w:rPr>
                <w:rFonts w:hint="eastAsia" w:ascii="Times New Roman" w:cs="Times New Roman"/>
                <w:b w:val="0"/>
                <w:bCs/>
                <w:color w:val="auto"/>
                <w:sz w:val="21"/>
                <w:szCs w:val="21"/>
                <w:highlight w:val="none"/>
                <w:u w:val="single"/>
                <w:lang w:val="en-US" w:eastAsia="zh-CN"/>
              </w:rPr>
              <w:t>0.08</w:t>
            </w:r>
          </w:p>
        </w:tc>
        <w:tc>
          <w:tcPr>
            <w:tcW w:w="818" w:type="dxa"/>
            <w:tcBorders>
              <w:tl2br w:val="nil"/>
              <w:tr2bl w:val="nil"/>
            </w:tcBorders>
            <w:noWrap w:val="0"/>
            <w:vAlign w:val="center"/>
          </w:tcPr>
          <w:p w14:paraId="159F6A00">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0</w:t>
            </w:r>
          </w:p>
        </w:tc>
        <w:tc>
          <w:tcPr>
            <w:tcW w:w="844" w:type="dxa"/>
            <w:tcBorders>
              <w:tl2br w:val="nil"/>
              <w:tr2bl w:val="nil"/>
            </w:tcBorders>
            <w:noWrap w:val="0"/>
            <w:vAlign w:val="center"/>
          </w:tcPr>
          <w:p w14:paraId="199724BB">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0</w:t>
            </w:r>
          </w:p>
        </w:tc>
        <w:tc>
          <w:tcPr>
            <w:tcW w:w="710" w:type="dxa"/>
            <w:tcBorders>
              <w:tl2br w:val="nil"/>
              <w:tr2bl w:val="nil"/>
            </w:tcBorders>
            <w:noWrap w:val="0"/>
            <w:vAlign w:val="center"/>
          </w:tcPr>
          <w:p w14:paraId="049E2B62">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达标</w:t>
            </w:r>
          </w:p>
        </w:tc>
      </w:tr>
      <w:tr w14:paraId="4BD5D4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44" w:type="dxa"/>
            <w:tcBorders>
              <w:tl2br w:val="nil"/>
              <w:tr2bl w:val="nil"/>
            </w:tcBorders>
            <w:noWrap w:val="0"/>
            <w:vAlign w:val="center"/>
          </w:tcPr>
          <w:p w14:paraId="446F02BD">
            <w:pPr>
              <w:keepNext w:val="0"/>
              <w:keepLines w:val="0"/>
              <w:pageBreakBefore w:val="0"/>
              <w:widowControl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石油类</w:t>
            </w:r>
          </w:p>
        </w:tc>
        <w:tc>
          <w:tcPr>
            <w:tcW w:w="928" w:type="dxa"/>
            <w:tcBorders>
              <w:tl2br w:val="nil"/>
              <w:tr2bl w:val="nil"/>
            </w:tcBorders>
            <w:noWrap w:val="0"/>
            <w:vAlign w:val="center"/>
          </w:tcPr>
          <w:p w14:paraId="2F38687C">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42" w:type="dxa"/>
            <w:tcBorders>
              <w:tl2br w:val="nil"/>
              <w:tr2bl w:val="nil"/>
            </w:tcBorders>
            <w:noWrap w:val="0"/>
            <w:vAlign w:val="center"/>
          </w:tcPr>
          <w:p w14:paraId="18CB8515">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70" w:type="dxa"/>
            <w:tcBorders>
              <w:tl2br w:val="nil"/>
              <w:tr2bl w:val="nil"/>
            </w:tcBorders>
            <w:noWrap w:val="0"/>
            <w:vAlign w:val="center"/>
          </w:tcPr>
          <w:p w14:paraId="78AF1621">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1099" w:type="dxa"/>
            <w:tcBorders>
              <w:tl2br w:val="nil"/>
              <w:tr2bl w:val="nil"/>
            </w:tcBorders>
            <w:noWrap w:val="0"/>
            <w:vAlign w:val="center"/>
          </w:tcPr>
          <w:p w14:paraId="416B15D9">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0.5</w:t>
            </w:r>
          </w:p>
        </w:tc>
        <w:tc>
          <w:tcPr>
            <w:tcW w:w="1367" w:type="dxa"/>
            <w:tcBorders>
              <w:tl2br w:val="nil"/>
              <w:tr2bl w:val="nil"/>
            </w:tcBorders>
            <w:noWrap w:val="0"/>
            <w:vAlign w:val="center"/>
          </w:tcPr>
          <w:p w14:paraId="639D9AEA">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sz w:val="21"/>
                <w:szCs w:val="21"/>
                <w:highlight w:val="none"/>
                <w:u w:val="single"/>
                <w:lang w:val="en-US" w:eastAsia="zh-CN"/>
              </w:rPr>
            </w:pPr>
            <w:r>
              <w:rPr>
                <w:rFonts w:hint="eastAsia" w:ascii="Times New Roman" w:cs="Times New Roman"/>
                <w:b w:val="0"/>
                <w:bCs/>
                <w:color w:val="auto"/>
                <w:sz w:val="21"/>
                <w:szCs w:val="21"/>
                <w:highlight w:val="none"/>
                <w:u w:val="single"/>
                <w:lang w:val="en-US" w:eastAsia="zh-CN"/>
              </w:rPr>
              <w:t>0.01</w:t>
            </w:r>
          </w:p>
        </w:tc>
        <w:tc>
          <w:tcPr>
            <w:tcW w:w="818" w:type="dxa"/>
            <w:tcBorders>
              <w:tl2br w:val="nil"/>
              <w:tr2bl w:val="nil"/>
            </w:tcBorders>
            <w:noWrap w:val="0"/>
            <w:vAlign w:val="center"/>
          </w:tcPr>
          <w:p w14:paraId="5BBCA65B">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w:t>
            </w:r>
          </w:p>
        </w:tc>
        <w:tc>
          <w:tcPr>
            <w:tcW w:w="844" w:type="dxa"/>
            <w:tcBorders>
              <w:tl2br w:val="nil"/>
              <w:tr2bl w:val="nil"/>
            </w:tcBorders>
            <w:noWrap w:val="0"/>
            <w:vAlign w:val="center"/>
          </w:tcPr>
          <w:p w14:paraId="451AE809">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w:t>
            </w:r>
          </w:p>
        </w:tc>
        <w:tc>
          <w:tcPr>
            <w:tcW w:w="710" w:type="dxa"/>
            <w:tcBorders>
              <w:tl2br w:val="nil"/>
              <w:tr2bl w:val="nil"/>
            </w:tcBorders>
            <w:noWrap w:val="0"/>
            <w:vAlign w:val="center"/>
          </w:tcPr>
          <w:p w14:paraId="16CBA93A">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达标</w:t>
            </w:r>
          </w:p>
        </w:tc>
      </w:tr>
      <w:tr w14:paraId="7C1670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44" w:type="dxa"/>
            <w:tcBorders>
              <w:tl2br w:val="nil"/>
              <w:tr2bl w:val="nil"/>
            </w:tcBorders>
            <w:noWrap w:val="0"/>
            <w:vAlign w:val="center"/>
          </w:tcPr>
          <w:p w14:paraId="66CBDAC1">
            <w:pPr>
              <w:keepNext w:val="0"/>
              <w:keepLines w:val="0"/>
              <w:pageBreakBefore w:val="0"/>
              <w:widowControl w:val="0"/>
              <w:suppressLineNumbers w:val="0"/>
              <w:kinsoku/>
              <w:wordWrap/>
              <w:overflowPunct/>
              <w:topLinePunct w:val="0"/>
              <w:autoSpaceDE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lang w:eastAsia="zh-CN"/>
              </w:rPr>
              <w:t>粪大肠菌群（</w:t>
            </w:r>
            <w:r>
              <w:rPr>
                <w:rFonts w:hint="default" w:ascii="Times New Roman" w:hAnsi="Times New Roman" w:eastAsia="宋体" w:cs="Times New Roman"/>
                <w:color w:val="auto"/>
                <w:sz w:val="21"/>
                <w:szCs w:val="21"/>
                <w:highlight w:val="none"/>
                <w:lang w:val="en-US" w:eastAsia="zh-CN"/>
              </w:rPr>
              <w:t>个/L</w:t>
            </w:r>
            <w:r>
              <w:rPr>
                <w:rFonts w:hint="default" w:ascii="Times New Roman" w:hAnsi="Times New Roman" w:eastAsia="宋体" w:cs="Times New Roman"/>
                <w:color w:val="auto"/>
                <w:sz w:val="21"/>
                <w:szCs w:val="21"/>
                <w:highlight w:val="none"/>
                <w:lang w:eastAsia="zh-CN"/>
              </w:rPr>
              <w:t>）</w:t>
            </w:r>
          </w:p>
        </w:tc>
        <w:tc>
          <w:tcPr>
            <w:tcW w:w="928" w:type="dxa"/>
            <w:tcBorders>
              <w:tl2br w:val="nil"/>
              <w:tr2bl w:val="nil"/>
            </w:tcBorders>
            <w:noWrap w:val="0"/>
            <w:vAlign w:val="center"/>
          </w:tcPr>
          <w:p w14:paraId="21F8E4DD">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42" w:type="dxa"/>
            <w:tcBorders>
              <w:tl2br w:val="nil"/>
              <w:tr2bl w:val="nil"/>
            </w:tcBorders>
            <w:noWrap w:val="0"/>
            <w:vAlign w:val="center"/>
          </w:tcPr>
          <w:p w14:paraId="41C68CCE">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970" w:type="dxa"/>
            <w:tcBorders>
              <w:tl2br w:val="nil"/>
              <w:tr2bl w:val="nil"/>
            </w:tcBorders>
            <w:noWrap w:val="0"/>
            <w:vAlign w:val="center"/>
          </w:tcPr>
          <w:p w14:paraId="25E371F0">
            <w:pPr>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1099" w:type="dxa"/>
            <w:tcBorders>
              <w:tl2br w:val="nil"/>
              <w:tr2bl w:val="nil"/>
            </w:tcBorders>
            <w:noWrap w:val="0"/>
            <w:vAlign w:val="center"/>
          </w:tcPr>
          <w:p w14:paraId="76E3B4A6">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20000</w:t>
            </w:r>
          </w:p>
        </w:tc>
        <w:tc>
          <w:tcPr>
            <w:tcW w:w="1367" w:type="dxa"/>
            <w:tcBorders>
              <w:tl2br w:val="nil"/>
              <w:tr2bl w:val="nil"/>
            </w:tcBorders>
            <w:noWrap w:val="0"/>
            <w:vAlign w:val="center"/>
          </w:tcPr>
          <w:p w14:paraId="39E8E9BB">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w:t>
            </w:r>
          </w:p>
        </w:tc>
        <w:tc>
          <w:tcPr>
            <w:tcW w:w="818" w:type="dxa"/>
            <w:tcBorders>
              <w:tl2br w:val="nil"/>
              <w:tr2bl w:val="nil"/>
            </w:tcBorders>
            <w:noWrap w:val="0"/>
            <w:vAlign w:val="center"/>
          </w:tcPr>
          <w:p w14:paraId="1E9F792B">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w:t>
            </w:r>
          </w:p>
        </w:tc>
        <w:tc>
          <w:tcPr>
            <w:tcW w:w="844" w:type="dxa"/>
            <w:tcBorders>
              <w:tl2br w:val="nil"/>
              <w:tr2bl w:val="nil"/>
            </w:tcBorders>
            <w:noWrap w:val="0"/>
            <w:vAlign w:val="center"/>
          </w:tcPr>
          <w:p w14:paraId="5F46A950">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w:t>
            </w:r>
          </w:p>
        </w:tc>
        <w:tc>
          <w:tcPr>
            <w:tcW w:w="710" w:type="dxa"/>
            <w:tcBorders>
              <w:tl2br w:val="nil"/>
              <w:tr2bl w:val="nil"/>
            </w:tcBorders>
            <w:noWrap w:val="0"/>
            <w:vAlign w:val="center"/>
          </w:tcPr>
          <w:p w14:paraId="076D3E13">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w:t>
            </w:r>
          </w:p>
        </w:tc>
      </w:tr>
      <w:tr w14:paraId="4B9A2C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822" w:type="dxa"/>
            <w:gridSpan w:val="9"/>
            <w:tcBorders>
              <w:tl2br w:val="nil"/>
              <w:tr2bl w:val="nil"/>
            </w:tcBorders>
            <w:noWrap w:val="0"/>
            <w:vAlign w:val="center"/>
          </w:tcPr>
          <w:p w14:paraId="23A22919">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left"/>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说明：（1）由于《地表水环境质量标准》（GB3838-2002）中没有悬浮物指标，本环评不对悬浮物进行评价。</w:t>
            </w:r>
          </w:p>
          <w:p w14:paraId="0A9F6BF9">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573" w:firstLineChars="300"/>
              <w:jc w:val="both"/>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（2）低于检出限按1/2最低检出限参与统计计算。</w:t>
            </w:r>
          </w:p>
        </w:tc>
      </w:tr>
    </w:tbl>
    <w:p w14:paraId="3D706C95">
      <w:pPr>
        <w:pStyle w:val="41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监测数据表明，项目地表水各监测</w:t>
      </w:r>
      <w:r>
        <w:rPr>
          <w:rFonts w:hint="eastAsia" w:ascii="Times New Roman" w:cs="Times New Roman"/>
          <w:color w:val="auto"/>
          <w:sz w:val="24"/>
          <w:szCs w:val="24"/>
          <w:highlight w:val="none"/>
          <w:lang w:val="en-US" w:eastAsia="zh-CN"/>
        </w:rPr>
        <w:t>断面</w:t>
      </w:r>
      <w:r>
        <w:rPr>
          <w:rFonts w:hint="eastAsia" w:ascii="Times New Roman" w:hAnsi="Times New Roman" w:eastAsia="宋体" w:cs="Times New Roman"/>
          <w:color w:val="auto"/>
          <w:sz w:val="24"/>
          <w:szCs w:val="24"/>
          <w:highlight w:val="none"/>
          <w:lang w:val="en-US" w:eastAsia="zh-CN"/>
        </w:rPr>
        <w:t>的监测因子pH值、氨氮、阴离子表面活性剂、石油类、均能达到</w:t>
      </w:r>
      <w:r>
        <w:rPr>
          <w:rFonts w:hint="default" w:cs="Times New Roman"/>
          <w:color w:val="auto"/>
          <w:sz w:val="24"/>
          <w:szCs w:val="24"/>
          <w:highlight w:val="none"/>
          <w:u w:val="single"/>
        </w:rPr>
        <w:t>《地表水环境质量标准》（GB3838-2002）</w:t>
      </w:r>
      <w:r>
        <w:rPr>
          <w:rFonts w:hint="eastAsia" w:cs="Times New Roman"/>
          <w:color w:val="auto"/>
          <w:sz w:val="24"/>
          <w:szCs w:val="24"/>
          <w:highlight w:val="none"/>
          <w:u w:val="single"/>
          <w:lang w:val="en-US" w:eastAsia="zh-CN"/>
        </w:rPr>
        <w:t>Ⅳ</w:t>
      </w:r>
      <w:r>
        <w:rPr>
          <w:rFonts w:hint="default" w:cs="Times New Roman"/>
          <w:color w:val="auto"/>
          <w:sz w:val="24"/>
          <w:szCs w:val="24"/>
          <w:highlight w:val="none"/>
          <w:u w:val="single"/>
        </w:rPr>
        <w:t>类标准</w:t>
      </w:r>
      <w:r>
        <w:rPr>
          <w:rFonts w:hint="eastAsia" w:cs="Times New Roman"/>
          <w:color w:val="auto"/>
          <w:sz w:val="24"/>
          <w:szCs w:val="24"/>
          <w:highlight w:val="none"/>
          <w:u w:val="single"/>
          <w:lang w:eastAsia="zh-CN"/>
        </w:rPr>
        <w:t>限值要求</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化学需氧量、五日生化需氧量、总氮、总磷存在不同程度超标，地表水环境质量一般。</w:t>
      </w:r>
    </w:p>
    <w:p w14:paraId="75A7CDAF">
      <w:pPr>
        <w:pStyle w:val="410"/>
        <w:jc w:val="both"/>
        <w:rPr>
          <w:rFonts w:hint="default" w:ascii="Times New Roman" w:hAnsi="Times New Roman" w:cs="Times New Roman"/>
          <w:color w:val="auto"/>
          <w:highlight w:val="none"/>
        </w:rPr>
      </w:pPr>
      <w:r>
        <w:rPr>
          <w:rFonts w:hint="eastAsia" w:ascii="Times New Roman" w:hAnsi="Times New Roman" w:eastAsia="宋体" w:cs="Times New Roman"/>
          <w:color w:val="auto"/>
          <w:sz w:val="24"/>
          <w:szCs w:val="24"/>
          <w:highlight w:val="none"/>
          <w:lang w:val="en-US" w:eastAsia="zh-CN"/>
        </w:rPr>
        <w:t>经现场调查，</w:t>
      </w:r>
      <w:r>
        <w:rPr>
          <w:rFonts w:hint="eastAsia" w:ascii="Times New Roman" w:cs="Times New Roman"/>
          <w:color w:val="auto"/>
          <w:sz w:val="24"/>
          <w:szCs w:val="24"/>
          <w:highlight w:val="none"/>
          <w:lang w:val="en-US" w:eastAsia="zh-CN"/>
        </w:rPr>
        <w:t>超标原因可能为</w:t>
      </w:r>
      <w:r>
        <w:rPr>
          <w:rFonts w:hint="eastAsia" w:ascii="宋体" w:hAnsi="宋体" w:eastAsia="宋体" w:cs="宋体"/>
          <w:b w:val="0"/>
          <w:bCs w:val="0"/>
          <w:color w:val="auto"/>
          <w:sz w:val="24"/>
          <w:szCs w:val="24"/>
          <w:highlight w:val="none"/>
        </w:rPr>
        <w:t>农业污染源及农村生活污染源导致，如农业生产施用的化肥进入农田、土地等，营养盐不能完全被农作物吸收，残留部分随着地表径流进入水体</w:t>
      </w:r>
      <w:r>
        <w:rPr>
          <w:rFonts w:hint="eastAsia" w:hAnsi="宋体" w:cs="宋体"/>
          <w:b w:val="0"/>
          <w:bCs w:val="0"/>
          <w:color w:val="auto"/>
          <w:sz w:val="24"/>
          <w:szCs w:val="24"/>
          <w:highlight w:val="none"/>
          <w:lang w:eastAsia="zh-CN"/>
        </w:rPr>
        <w:t>，</w:t>
      </w:r>
      <w:r>
        <w:rPr>
          <w:rFonts w:hint="eastAsia" w:hAnsi="宋体" w:cs="宋体"/>
          <w:b w:val="0"/>
          <w:bCs w:val="0"/>
          <w:color w:val="auto"/>
          <w:sz w:val="24"/>
          <w:szCs w:val="24"/>
          <w:highlight w:val="none"/>
          <w:lang w:val="en-US" w:eastAsia="zh-CN"/>
        </w:rPr>
        <w:t>周边村民养殖的鸭、鹅等畜禽活动，周边池塘养殖区养殖水流入地表水</w:t>
      </w:r>
      <w:r>
        <w:rPr>
          <w:rFonts w:hint="eastAsia" w:ascii="宋体" w:hAnsi="宋体" w:eastAsia="宋体" w:cs="宋体"/>
          <w:b w:val="0"/>
          <w:bCs w:val="0"/>
          <w:color w:val="auto"/>
          <w:sz w:val="24"/>
          <w:szCs w:val="24"/>
          <w:highlight w:val="none"/>
        </w:rPr>
        <w:t>；农村生活污染主要是生活中产生的污水、垃圾、人畜粪便排放到周围农田、沟渠，污染物经地表径流部分进入水体，导致超标。</w:t>
      </w:r>
    </w:p>
    <w:p w14:paraId="75230F5A">
      <w:pPr>
        <w:pStyle w:val="4"/>
        <w:numPr>
          <w:ilvl w:val="1"/>
          <w:numId w:val="40"/>
        </w:numPr>
        <w:bidi w:val="0"/>
        <w:ind w:left="678" w:leftChars="0" w:firstLine="0" w:firstLineChars="0"/>
        <w:rPr>
          <w:rFonts w:hint="default"/>
          <w:color w:val="auto"/>
          <w:highlight w:val="none"/>
        </w:rPr>
      </w:pPr>
      <w:bookmarkStart w:id="80" w:name="_Toc23697"/>
      <w:r>
        <w:rPr>
          <w:rFonts w:hint="default"/>
          <w:color w:val="auto"/>
          <w:highlight w:val="none"/>
        </w:rPr>
        <w:t>底泥环境质量现状调查与评价</w:t>
      </w:r>
      <w:bookmarkEnd w:id="80"/>
    </w:p>
    <w:p w14:paraId="425FED09">
      <w:pPr>
        <w:pStyle w:val="20"/>
        <w:numPr>
          <w:ilvl w:val="0"/>
          <w:numId w:val="42"/>
        </w:numPr>
        <w:spacing w:line="500" w:lineRule="exact"/>
        <w:ind w:firstLine="442" w:firstLineChars="2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监测断面</w:t>
      </w:r>
    </w:p>
    <w:p w14:paraId="627BC154">
      <w:pPr>
        <w:pStyle w:val="20"/>
        <w:spacing w:line="500" w:lineRule="exact"/>
        <w:ind w:firstLine="442" w:firstLineChars="2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地表水监测期间，项目对水系改造中段处的底泥进行监测，底泥监测值仅做本底值调查，监测结果详见下表。，具体位置详见附图。</w:t>
      </w:r>
    </w:p>
    <w:p w14:paraId="25014207">
      <w:pPr>
        <w:pStyle w:val="20"/>
        <w:spacing w:line="500" w:lineRule="exact"/>
        <w:ind w:firstLine="442" w:firstLineChars="2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（2）监测因子</w:t>
      </w:r>
    </w:p>
    <w:p w14:paraId="1F3AA243">
      <w:pPr>
        <w:pStyle w:val="20"/>
        <w:spacing w:line="500" w:lineRule="exact"/>
        <w:ind w:firstLine="442" w:firstLineChars="2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底泥现状监测因子：pH值、铅、锌、铜、镉、汞、砷、铬、镍共</w:t>
      </w:r>
      <w:r>
        <w:rPr>
          <w:rFonts w:hint="eastAsia" w:ascii="Times New Roman" w:hAnsi="Times New Roman" w:cs="Times New Roman"/>
          <w:color w:val="auto"/>
          <w:highlight w:val="none"/>
          <w:u w:val="none"/>
          <w:lang w:val="en-US" w:eastAsia="zh-CN"/>
        </w:rPr>
        <w:t>9</w:t>
      </w:r>
      <w:r>
        <w:rPr>
          <w:rFonts w:hint="default" w:ascii="Times New Roman" w:hAnsi="Times New Roman" w:cs="Times New Roman"/>
          <w:color w:val="auto"/>
          <w:highlight w:val="none"/>
          <w:u w:val="none"/>
        </w:rPr>
        <w:t>项。</w:t>
      </w:r>
    </w:p>
    <w:p w14:paraId="2CA723B1">
      <w:pPr>
        <w:pStyle w:val="20"/>
        <w:spacing w:line="500" w:lineRule="exact"/>
        <w:ind w:left="1174" w:hanging="72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（3）监测频次</w:t>
      </w:r>
    </w:p>
    <w:p w14:paraId="2DB73EEF">
      <w:pPr>
        <w:pStyle w:val="20"/>
        <w:spacing w:line="500" w:lineRule="exact"/>
        <w:ind w:firstLine="442" w:firstLineChars="2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底泥监测频次为：连续监测1天，每天采样1次；</w:t>
      </w:r>
      <w:r>
        <w:rPr>
          <w:rFonts w:hint="eastAsia" w:ascii="Times New Roman" w:cs="Times New Roman"/>
          <w:color w:val="auto"/>
          <w:highlight w:val="none"/>
          <w:u w:val="none"/>
          <w:lang w:val="en-US" w:eastAsia="zh-CN"/>
        </w:rPr>
        <w:t>采样</w:t>
      </w:r>
      <w:r>
        <w:rPr>
          <w:rFonts w:hint="default" w:ascii="Times New Roman" w:hAnsi="Times New Roman" w:cs="Times New Roman"/>
          <w:color w:val="auto"/>
          <w:highlight w:val="none"/>
          <w:u w:val="none"/>
        </w:rPr>
        <w:t>时间为</w:t>
      </w:r>
      <w:r>
        <w:rPr>
          <w:rFonts w:hint="eastAsia" w:ascii="Times New Roman" w:cs="Times New Roman"/>
          <w:color w:val="auto"/>
          <w:highlight w:val="none"/>
          <w:u w:val="none"/>
          <w:lang w:val="en-US" w:eastAsia="zh-CN"/>
        </w:rPr>
        <w:t>2024</w:t>
      </w:r>
      <w:r>
        <w:rPr>
          <w:rFonts w:hint="default" w:ascii="Times New Roman" w:hAnsi="Times New Roman" w:cs="Times New Roman"/>
          <w:color w:val="auto"/>
          <w:highlight w:val="none"/>
          <w:u w:val="none"/>
        </w:rPr>
        <w:t>年</w:t>
      </w:r>
      <w:r>
        <w:rPr>
          <w:rFonts w:hint="eastAsia" w:ascii="Times New Roman" w:cs="Times New Roman"/>
          <w:color w:val="auto"/>
          <w:highlight w:val="none"/>
          <w:u w:val="none"/>
          <w:lang w:val="en-US" w:eastAsia="zh-CN"/>
        </w:rPr>
        <w:t>12</w:t>
      </w:r>
      <w:r>
        <w:rPr>
          <w:rFonts w:hint="default" w:ascii="Times New Roman" w:hAnsi="Times New Roman" w:cs="Times New Roman"/>
          <w:color w:val="auto"/>
          <w:highlight w:val="none"/>
          <w:u w:val="none"/>
        </w:rPr>
        <w:t>月</w:t>
      </w:r>
      <w:r>
        <w:rPr>
          <w:rFonts w:hint="eastAsia" w:ascii="Times New Roman" w:cs="Times New Roman"/>
          <w:color w:val="auto"/>
          <w:highlight w:val="none"/>
          <w:u w:val="none"/>
          <w:lang w:val="en-US" w:eastAsia="zh-CN"/>
        </w:rPr>
        <w:t>7</w:t>
      </w:r>
      <w:r>
        <w:rPr>
          <w:rFonts w:hint="default" w:ascii="Times New Roman" w:hAnsi="Times New Roman" w:cs="Times New Roman"/>
          <w:color w:val="auto"/>
          <w:highlight w:val="none"/>
          <w:u w:val="none"/>
        </w:rPr>
        <w:t>日。</w:t>
      </w:r>
    </w:p>
    <w:p w14:paraId="4D9C630F">
      <w:pPr>
        <w:ind w:left="1174" w:hanging="72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（4）评价标准</w:t>
      </w:r>
    </w:p>
    <w:p w14:paraId="0E860CC6">
      <w:pPr>
        <w:ind w:firstLine="442" w:firstLineChars="200"/>
        <w:rPr>
          <w:rFonts w:hint="default" w:ascii="Times New Roman" w:hAnsi="Times New Roman" w:cs="Times New Roman"/>
          <w:color w:val="auto"/>
          <w:highlight w:val="none"/>
          <w:u w:val="none"/>
        </w:rPr>
      </w:pPr>
      <w:r>
        <w:rPr>
          <w:rFonts w:hint="eastAsia" w:ascii="Times New Roman" w:hAnsi="Times New Roman" w:cs="Times New Roman"/>
          <w:color w:val="auto"/>
          <w:highlight w:val="none"/>
          <w:u w:val="none"/>
          <w:lang w:eastAsia="zh-CN"/>
        </w:rPr>
        <w:t>项目淤泥换填至表层，</w:t>
      </w:r>
      <w:r>
        <w:rPr>
          <w:rFonts w:hint="default" w:ascii="Times New Roman" w:hAnsi="Times New Roman" w:cs="Times New Roman"/>
          <w:color w:val="auto"/>
          <w:highlight w:val="none"/>
          <w:u w:val="none"/>
        </w:rPr>
        <w:t>底泥质量参考《土壤环境质量 农用地土壤污染风险管控标准（试行）》（GB15618-2018）风险筛选值。</w:t>
      </w:r>
    </w:p>
    <w:p w14:paraId="51588A9A">
      <w:pPr>
        <w:ind w:left="1174" w:hanging="72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（5）现状监测结果</w:t>
      </w:r>
    </w:p>
    <w:p w14:paraId="00AD5254">
      <w:pPr>
        <w:ind w:left="454"/>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底泥现状监测结果见下表。</w:t>
      </w:r>
    </w:p>
    <w:p w14:paraId="7B841311">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r>
        <w:rPr>
          <w:rFonts w:hint="default"/>
          <w:color w:val="auto"/>
          <w:highlight w:val="none"/>
        </w:rPr>
        <w:t>底泥监测结果表</w:t>
      </w:r>
      <w:r>
        <w:rPr>
          <w:rFonts w:hint="eastAsia"/>
          <w:color w:val="auto"/>
          <w:highlight w:val="none"/>
          <w:lang w:val="en-US" w:eastAsia="zh-CN"/>
        </w:rPr>
        <w:t xml:space="preserve">  单位： </w:t>
      </w:r>
      <w:r>
        <w:rPr>
          <w:rFonts w:hint="eastAsia"/>
          <w:color w:val="auto"/>
          <w:highlight w:val="none"/>
        </w:rPr>
        <w:t>mg/kg</w:t>
      </w:r>
      <w:r>
        <w:rPr>
          <w:rFonts w:hint="eastAsia"/>
          <w:color w:val="auto"/>
          <w:highlight w:val="none"/>
          <w:lang w:val="en-US" w:eastAsia="zh-CN"/>
        </w:rPr>
        <w:t xml:space="preserve">     pH值无量纲</w:t>
      </w:r>
    </w:p>
    <w:tbl>
      <w:tblPr>
        <w:tblStyle w:val="87"/>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46"/>
        <w:gridCol w:w="1091"/>
        <w:gridCol w:w="1250"/>
        <w:gridCol w:w="1264"/>
        <w:gridCol w:w="837"/>
        <w:gridCol w:w="837"/>
        <w:gridCol w:w="837"/>
      </w:tblGrid>
      <w:tr w14:paraId="22815D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9" w:type="dxa"/>
            <w:tcBorders>
              <w:tl2br w:val="nil"/>
              <w:tr2bl w:val="nil"/>
            </w:tcBorders>
            <w:noWrap w:val="0"/>
            <w:vAlign w:val="center"/>
          </w:tcPr>
          <w:p w14:paraId="0A27CBD4">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监测点位</w:t>
            </w:r>
          </w:p>
        </w:tc>
        <w:tc>
          <w:tcPr>
            <w:tcW w:w="1746" w:type="dxa"/>
            <w:tcBorders>
              <w:tl2br w:val="nil"/>
              <w:tr2bl w:val="nil"/>
            </w:tcBorders>
            <w:noWrap w:val="0"/>
            <w:vAlign w:val="center"/>
          </w:tcPr>
          <w:p w14:paraId="358D1876">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监测项目</w:t>
            </w:r>
          </w:p>
        </w:tc>
        <w:tc>
          <w:tcPr>
            <w:tcW w:w="1091" w:type="dxa"/>
            <w:tcBorders>
              <w:tl2br w:val="nil"/>
              <w:tr2bl w:val="nil"/>
            </w:tcBorders>
            <w:noWrap w:val="0"/>
            <w:vAlign w:val="center"/>
          </w:tcPr>
          <w:p w14:paraId="149DC7C9">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监测结果</w:t>
            </w:r>
          </w:p>
        </w:tc>
        <w:tc>
          <w:tcPr>
            <w:tcW w:w="1250" w:type="dxa"/>
            <w:tcBorders>
              <w:tl2br w:val="nil"/>
              <w:tr2bl w:val="nil"/>
            </w:tcBorders>
            <w:noWrap w:val="0"/>
            <w:vAlign w:val="center"/>
          </w:tcPr>
          <w:p w14:paraId="49D8FD92">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评价标准</w:t>
            </w:r>
          </w:p>
        </w:tc>
        <w:tc>
          <w:tcPr>
            <w:tcW w:w="1264" w:type="dxa"/>
            <w:tcBorders>
              <w:tl2br w:val="nil"/>
              <w:tr2bl w:val="nil"/>
            </w:tcBorders>
            <w:noWrap w:val="0"/>
            <w:vAlign w:val="center"/>
          </w:tcPr>
          <w:p w14:paraId="39A70797">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指数范围</w:t>
            </w:r>
          </w:p>
        </w:tc>
        <w:tc>
          <w:tcPr>
            <w:tcW w:w="837" w:type="dxa"/>
            <w:tcBorders>
              <w:tl2br w:val="nil"/>
              <w:tr2bl w:val="nil"/>
            </w:tcBorders>
            <w:noWrap w:val="0"/>
            <w:vAlign w:val="center"/>
          </w:tcPr>
          <w:p w14:paraId="4417C293">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超标率/%</w:t>
            </w:r>
          </w:p>
        </w:tc>
        <w:tc>
          <w:tcPr>
            <w:tcW w:w="837" w:type="dxa"/>
            <w:tcBorders>
              <w:tl2br w:val="nil"/>
              <w:tr2bl w:val="nil"/>
            </w:tcBorders>
            <w:noWrap w:val="0"/>
            <w:vAlign w:val="center"/>
          </w:tcPr>
          <w:p w14:paraId="156BCAE3">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最大超标倍数</w:t>
            </w:r>
          </w:p>
        </w:tc>
        <w:tc>
          <w:tcPr>
            <w:tcW w:w="837" w:type="dxa"/>
            <w:tcBorders>
              <w:tl2br w:val="nil"/>
              <w:tr2bl w:val="nil"/>
            </w:tcBorders>
            <w:noWrap w:val="0"/>
            <w:vAlign w:val="center"/>
          </w:tcPr>
          <w:p w14:paraId="2A6F570D">
            <w:pPr>
              <w:keepNext w:val="0"/>
              <w:keepLines w:val="0"/>
              <w:pageBreakBefore w:val="0"/>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outlineLvl w:val="9"/>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达标情况</w:t>
            </w:r>
          </w:p>
        </w:tc>
      </w:tr>
      <w:tr w14:paraId="6383E3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9" w:type="dxa"/>
            <w:vMerge w:val="restart"/>
            <w:tcBorders>
              <w:tl2br w:val="nil"/>
              <w:tr2bl w:val="nil"/>
            </w:tcBorders>
            <w:noWrap w:val="0"/>
            <w:vAlign w:val="center"/>
          </w:tcPr>
          <w:p w14:paraId="4D6D34F5">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D1项目水系改造中段处</w:t>
            </w:r>
          </w:p>
        </w:tc>
        <w:tc>
          <w:tcPr>
            <w:tcW w:w="1746" w:type="dxa"/>
            <w:tcBorders>
              <w:tl2br w:val="nil"/>
              <w:tr2bl w:val="nil"/>
            </w:tcBorders>
            <w:noWrap w:val="0"/>
            <w:vAlign w:val="center"/>
          </w:tcPr>
          <w:p w14:paraId="7BE3D799">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pH值</w:t>
            </w:r>
            <w:r>
              <w:rPr>
                <w:rFonts w:hint="eastAsia" w:ascii="Times New Roman" w:hAnsi="Times New Roman" w:eastAsia="宋体" w:cs="Times New Roman"/>
                <w:color w:val="auto"/>
                <w:sz w:val="21"/>
                <w:szCs w:val="21"/>
                <w:highlight w:val="none"/>
                <w:lang w:val="en-US" w:eastAsia="zh-CN"/>
              </w:rPr>
              <w:t>（无量纲）</w:t>
            </w:r>
          </w:p>
        </w:tc>
        <w:tc>
          <w:tcPr>
            <w:tcW w:w="1091" w:type="dxa"/>
            <w:tcBorders>
              <w:tl2br w:val="nil"/>
              <w:tr2bl w:val="nil"/>
            </w:tcBorders>
            <w:noWrap w:val="0"/>
            <w:vAlign w:val="center"/>
          </w:tcPr>
          <w:p w14:paraId="732FBA51">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1250" w:type="dxa"/>
            <w:tcBorders>
              <w:tl2br w:val="nil"/>
              <w:tr2bl w:val="nil"/>
            </w:tcBorders>
            <w:noWrap w:val="0"/>
            <w:vAlign w:val="center"/>
          </w:tcPr>
          <w:p w14:paraId="7787B94A">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1264" w:type="dxa"/>
            <w:tcBorders>
              <w:tl2br w:val="nil"/>
              <w:tr2bl w:val="nil"/>
            </w:tcBorders>
            <w:noWrap w:val="0"/>
            <w:vAlign w:val="center"/>
          </w:tcPr>
          <w:p w14:paraId="3005F1CB">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837" w:type="dxa"/>
            <w:tcBorders>
              <w:tl2br w:val="nil"/>
              <w:tr2bl w:val="nil"/>
            </w:tcBorders>
            <w:noWrap w:val="0"/>
            <w:vAlign w:val="center"/>
          </w:tcPr>
          <w:p w14:paraId="2AD814C9">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837" w:type="dxa"/>
            <w:tcBorders>
              <w:tl2br w:val="nil"/>
              <w:tr2bl w:val="nil"/>
            </w:tcBorders>
            <w:noWrap w:val="0"/>
            <w:vAlign w:val="center"/>
          </w:tcPr>
          <w:p w14:paraId="55477749">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837" w:type="dxa"/>
            <w:tcBorders>
              <w:tl2br w:val="nil"/>
              <w:tr2bl w:val="nil"/>
            </w:tcBorders>
            <w:noWrap w:val="0"/>
            <w:vAlign w:val="center"/>
          </w:tcPr>
          <w:p w14:paraId="3AFBAC19">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58182B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9" w:type="dxa"/>
            <w:vMerge w:val="continue"/>
            <w:tcBorders>
              <w:tl2br w:val="nil"/>
              <w:tr2bl w:val="nil"/>
            </w:tcBorders>
            <w:noWrap w:val="0"/>
            <w:vAlign w:val="center"/>
          </w:tcPr>
          <w:p w14:paraId="1010932C">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p>
        </w:tc>
        <w:tc>
          <w:tcPr>
            <w:tcW w:w="1746" w:type="dxa"/>
            <w:tcBorders>
              <w:tl2br w:val="nil"/>
              <w:tr2bl w:val="nil"/>
            </w:tcBorders>
            <w:noWrap w:val="0"/>
            <w:vAlign w:val="center"/>
          </w:tcPr>
          <w:p w14:paraId="4815F6BE">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镉</w:t>
            </w:r>
          </w:p>
        </w:tc>
        <w:tc>
          <w:tcPr>
            <w:tcW w:w="1091" w:type="dxa"/>
            <w:tcBorders>
              <w:tl2br w:val="nil"/>
              <w:tr2bl w:val="nil"/>
            </w:tcBorders>
            <w:noWrap w:val="0"/>
            <w:vAlign w:val="center"/>
          </w:tcPr>
          <w:p w14:paraId="5C853E4D">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1250" w:type="dxa"/>
            <w:tcBorders>
              <w:tl2br w:val="nil"/>
              <w:tr2bl w:val="nil"/>
            </w:tcBorders>
            <w:noWrap w:val="0"/>
            <w:vAlign w:val="center"/>
          </w:tcPr>
          <w:p w14:paraId="1B101D9C">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1264" w:type="dxa"/>
            <w:tcBorders>
              <w:tl2br w:val="nil"/>
              <w:tr2bl w:val="nil"/>
            </w:tcBorders>
            <w:noWrap w:val="0"/>
            <w:vAlign w:val="center"/>
          </w:tcPr>
          <w:p w14:paraId="21991BC7">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0.35 </w:t>
            </w:r>
          </w:p>
        </w:tc>
        <w:tc>
          <w:tcPr>
            <w:tcW w:w="837" w:type="dxa"/>
            <w:tcBorders>
              <w:tl2br w:val="nil"/>
              <w:tr2bl w:val="nil"/>
            </w:tcBorders>
            <w:noWrap w:val="0"/>
            <w:vAlign w:val="center"/>
          </w:tcPr>
          <w:p w14:paraId="0A946C4D">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837" w:type="dxa"/>
            <w:tcBorders>
              <w:tl2br w:val="nil"/>
              <w:tr2bl w:val="nil"/>
            </w:tcBorders>
            <w:noWrap w:val="0"/>
            <w:vAlign w:val="center"/>
          </w:tcPr>
          <w:p w14:paraId="22E2E00B">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837" w:type="dxa"/>
            <w:tcBorders>
              <w:tl2br w:val="nil"/>
              <w:tr2bl w:val="nil"/>
            </w:tcBorders>
            <w:noWrap w:val="0"/>
            <w:vAlign w:val="center"/>
          </w:tcPr>
          <w:p w14:paraId="079610CB">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229D7F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9" w:type="dxa"/>
            <w:vMerge w:val="continue"/>
            <w:tcBorders>
              <w:tl2br w:val="nil"/>
              <w:tr2bl w:val="nil"/>
            </w:tcBorders>
            <w:noWrap w:val="0"/>
            <w:vAlign w:val="center"/>
          </w:tcPr>
          <w:p w14:paraId="1B103A56">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p>
        </w:tc>
        <w:tc>
          <w:tcPr>
            <w:tcW w:w="1746" w:type="dxa"/>
            <w:tcBorders>
              <w:tl2br w:val="nil"/>
              <w:tr2bl w:val="nil"/>
            </w:tcBorders>
            <w:noWrap w:val="0"/>
            <w:vAlign w:val="center"/>
          </w:tcPr>
          <w:p w14:paraId="722F0689">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汞</w:t>
            </w:r>
          </w:p>
        </w:tc>
        <w:tc>
          <w:tcPr>
            <w:tcW w:w="1091" w:type="dxa"/>
            <w:tcBorders>
              <w:tl2br w:val="nil"/>
              <w:tr2bl w:val="nil"/>
            </w:tcBorders>
            <w:noWrap w:val="0"/>
            <w:vAlign w:val="center"/>
          </w:tcPr>
          <w:p w14:paraId="291EC985">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1250" w:type="dxa"/>
            <w:tcBorders>
              <w:tl2br w:val="nil"/>
              <w:tr2bl w:val="nil"/>
            </w:tcBorders>
            <w:noWrap w:val="0"/>
            <w:vAlign w:val="center"/>
          </w:tcPr>
          <w:p w14:paraId="152196F8">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1264" w:type="dxa"/>
            <w:tcBorders>
              <w:tl2br w:val="nil"/>
              <w:tr2bl w:val="nil"/>
            </w:tcBorders>
            <w:noWrap w:val="0"/>
            <w:vAlign w:val="center"/>
          </w:tcPr>
          <w:p w14:paraId="32BE5972">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0.33 </w:t>
            </w:r>
          </w:p>
        </w:tc>
        <w:tc>
          <w:tcPr>
            <w:tcW w:w="837" w:type="dxa"/>
            <w:tcBorders>
              <w:tl2br w:val="nil"/>
              <w:tr2bl w:val="nil"/>
            </w:tcBorders>
            <w:noWrap w:val="0"/>
            <w:vAlign w:val="center"/>
          </w:tcPr>
          <w:p w14:paraId="6A0AC090">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837" w:type="dxa"/>
            <w:tcBorders>
              <w:tl2br w:val="nil"/>
              <w:tr2bl w:val="nil"/>
            </w:tcBorders>
            <w:noWrap w:val="0"/>
            <w:vAlign w:val="center"/>
          </w:tcPr>
          <w:p w14:paraId="768364F2">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837" w:type="dxa"/>
            <w:tcBorders>
              <w:tl2br w:val="nil"/>
              <w:tr2bl w:val="nil"/>
            </w:tcBorders>
            <w:noWrap w:val="0"/>
            <w:vAlign w:val="center"/>
          </w:tcPr>
          <w:p w14:paraId="1EB4414F">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7B7B03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9" w:type="dxa"/>
            <w:vMerge w:val="continue"/>
            <w:tcBorders>
              <w:tl2br w:val="nil"/>
              <w:tr2bl w:val="nil"/>
            </w:tcBorders>
            <w:noWrap w:val="0"/>
            <w:vAlign w:val="center"/>
          </w:tcPr>
          <w:p w14:paraId="5B8A7A46">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p>
        </w:tc>
        <w:tc>
          <w:tcPr>
            <w:tcW w:w="1746" w:type="dxa"/>
            <w:tcBorders>
              <w:tl2br w:val="nil"/>
              <w:tr2bl w:val="nil"/>
            </w:tcBorders>
            <w:noWrap w:val="0"/>
            <w:vAlign w:val="center"/>
          </w:tcPr>
          <w:p w14:paraId="507923BA">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砷</w:t>
            </w:r>
          </w:p>
        </w:tc>
        <w:tc>
          <w:tcPr>
            <w:tcW w:w="1091" w:type="dxa"/>
            <w:tcBorders>
              <w:tl2br w:val="nil"/>
              <w:tr2bl w:val="nil"/>
            </w:tcBorders>
            <w:noWrap w:val="0"/>
            <w:vAlign w:val="center"/>
          </w:tcPr>
          <w:p w14:paraId="7964586A">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1250" w:type="dxa"/>
            <w:tcBorders>
              <w:tl2br w:val="nil"/>
              <w:tr2bl w:val="nil"/>
            </w:tcBorders>
            <w:noWrap w:val="0"/>
            <w:vAlign w:val="center"/>
          </w:tcPr>
          <w:p w14:paraId="53BB3546">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1264" w:type="dxa"/>
            <w:tcBorders>
              <w:tl2br w:val="nil"/>
              <w:tr2bl w:val="nil"/>
            </w:tcBorders>
            <w:noWrap w:val="0"/>
            <w:vAlign w:val="center"/>
          </w:tcPr>
          <w:p w14:paraId="78C791AD">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0.25 </w:t>
            </w:r>
          </w:p>
        </w:tc>
        <w:tc>
          <w:tcPr>
            <w:tcW w:w="837" w:type="dxa"/>
            <w:tcBorders>
              <w:tl2br w:val="nil"/>
              <w:tr2bl w:val="nil"/>
            </w:tcBorders>
            <w:noWrap w:val="0"/>
            <w:vAlign w:val="center"/>
          </w:tcPr>
          <w:p w14:paraId="7FCDCD80">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837" w:type="dxa"/>
            <w:tcBorders>
              <w:tl2br w:val="nil"/>
              <w:tr2bl w:val="nil"/>
            </w:tcBorders>
            <w:noWrap w:val="0"/>
            <w:vAlign w:val="center"/>
          </w:tcPr>
          <w:p w14:paraId="452EE250">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837" w:type="dxa"/>
            <w:tcBorders>
              <w:tl2br w:val="nil"/>
              <w:tr2bl w:val="nil"/>
            </w:tcBorders>
            <w:noWrap w:val="0"/>
            <w:vAlign w:val="center"/>
          </w:tcPr>
          <w:p w14:paraId="10D1D2BC">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5C0BBF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9" w:type="dxa"/>
            <w:vMerge w:val="continue"/>
            <w:tcBorders>
              <w:tl2br w:val="nil"/>
              <w:tr2bl w:val="nil"/>
            </w:tcBorders>
            <w:noWrap w:val="0"/>
            <w:vAlign w:val="center"/>
          </w:tcPr>
          <w:p w14:paraId="66159710">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p>
        </w:tc>
        <w:tc>
          <w:tcPr>
            <w:tcW w:w="1746" w:type="dxa"/>
            <w:tcBorders>
              <w:tl2br w:val="nil"/>
              <w:tr2bl w:val="nil"/>
            </w:tcBorders>
            <w:noWrap w:val="0"/>
            <w:vAlign w:val="center"/>
          </w:tcPr>
          <w:p w14:paraId="21BBCB64">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铜</w:t>
            </w:r>
          </w:p>
        </w:tc>
        <w:tc>
          <w:tcPr>
            <w:tcW w:w="1091" w:type="dxa"/>
            <w:tcBorders>
              <w:tl2br w:val="nil"/>
              <w:tr2bl w:val="nil"/>
            </w:tcBorders>
            <w:noWrap w:val="0"/>
            <w:vAlign w:val="center"/>
          </w:tcPr>
          <w:p w14:paraId="2496A3CA">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1250" w:type="dxa"/>
            <w:tcBorders>
              <w:tl2br w:val="nil"/>
              <w:tr2bl w:val="nil"/>
            </w:tcBorders>
            <w:noWrap w:val="0"/>
            <w:vAlign w:val="center"/>
          </w:tcPr>
          <w:p w14:paraId="55985F38">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1264" w:type="dxa"/>
            <w:tcBorders>
              <w:tl2br w:val="nil"/>
              <w:tr2bl w:val="nil"/>
            </w:tcBorders>
            <w:noWrap w:val="0"/>
            <w:vAlign w:val="center"/>
          </w:tcPr>
          <w:p w14:paraId="1AAF1BD2">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0.20 </w:t>
            </w:r>
          </w:p>
        </w:tc>
        <w:tc>
          <w:tcPr>
            <w:tcW w:w="837" w:type="dxa"/>
            <w:tcBorders>
              <w:tl2br w:val="nil"/>
              <w:tr2bl w:val="nil"/>
            </w:tcBorders>
            <w:noWrap w:val="0"/>
            <w:vAlign w:val="center"/>
          </w:tcPr>
          <w:p w14:paraId="1637EA53">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837" w:type="dxa"/>
            <w:tcBorders>
              <w:tl2br w:val="nil"/>
              <w:tr2bl w:val="nil"/>
            </w:tcBorders>
            <w:noWrap w:val="0"/>
            <w:vAlign w:val="center"/>
          </w:tcPr>
          <w:p w14:paraId="7455DB80">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837" w:type="dxa"/>
            <w:tcBorders>
              <w:tl2br w:val="nil"/>
              <w:tr2bl w:val="nil"/>
            </w:tcBorders>
            <w:noWrap w:val="0"/>
            <w:vAlign w:val="center"/>
          </w:tcPr>
          <w:p w14:paraId="345E311D">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04D3C6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9" w:type="dxa"/>
            <w:vMerge w:val="continue"/>
            <w:tcBorders>
              <w:tl2br w:val="nil"/>
              <w:tr2bl w:val="nil"/>
            </w:tcBorders>
            <w:noWrap w:val="0"/>
            <w:vAlign w:val="center"/>
          </w:tcPr>
          <w:p w14:paraId="4223D26D">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p>
        </w:tc>
        <w:tc>
          <w:tcPr>
            <w:tcW w:w="1746" w:type="dxa"/>
            <w:tcBorders>
              <w:tl2br w:val="nil"/>
              <w:tr2bl w:val="nil"/>
            </w:tcBorders>
            <w:noWrap w:val="0"/>
            <w:vAlign w:val="center"/>
          </w:tcPr>
          <w:p w14:paraId="043F7135">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铅</w:t>
            </w:r>
          </w:p>
        </w:tc>
        <w:tc>
          <w:tcPr>
            <w:tcW w:w="1091" w:type="dxa"/>
            <w:tcBorders>
              <w:tl2br w:val="nil"/>
              <w:tr2bl w:val="nil"/>
            </w:tcBorders>
            <w:noWrap w:val="0"/>
            <w:vAlign w:val="center"/>
          </w:tcPr>
          <w:p w14:paraId="1F88CC05">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1250" w:type="dxa"/>
            <w:tcBorders>
              <w:tl2br w:val="nil"/>
              <w:tr2bl w:val="nil"/>
            </w:tcBorders>
            <w:noWrap w:val="0"/>
            <w:vAlign w:val="center"/>
          </w:tcPr>
          <w:p w14:paraId="4516FF6C">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1264" w:type="dxa"/>
            <w:tcBorders>
              <w:tl2br w:val="nil"/>
              <w:tr2bl w:val="nil"/>
            </w:tcBorders>
            <w:noWrap w:val="0"/>
            <w:vAlign w:val="center"/>
          </w:tcPr>
          <w:p w14:paraId="00A08219">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0.18 </w:t>
            </w:r>
          </w:p>
        </w:tc>
        <w:tc>
          <w:tcPr>
            <w:tcW w:w="837" w:type="dxa"/>
            <w:tcBorders>
              <w:tl2br w:val="nil"/>
              <w:tr2bl w:val="nil"/>
            </w:tcBorders>
            <w:noWrap w:val="0"/>
            <w:vAlign w:val="center"/>
          </w:tcPr>
          <w:p w14:paraId="353059E8">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837" w:type="dxa"/>
            <w:tcBorders>
              <w:tl2br w:val="nil"/>
              <w:tr2bl w:val="nil"/>
            </w:tcBorders>
            <w:noWrap w:val="0"/>
            <w:vAlign w:val="center"/>
          </w:tcPr>
          <w:p w14:paraId="45BB70CF">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837" w:type="dxa"/>
            <w:tcBorders>
              <w:tl2br w:val="nil"/>
              <w:tr2bl w:val="nil"/>
            </w:tcBorders>
            <w:noWrap w:val="0"/>
            <w:vAlign w:val="center"/>
          </w:tcPr>
          <w:p w14:paraId="4305CA1D">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59E38A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9" w:type="dxa"/>
            <w:vMerge w:val="continue"/>
            <w:tcBorders>
              <w:tl2br w:val="nil"/>
              <w:tr2bl w:val="nil"/>
            </w:tcBorders>
            <w:noWrap w:val="0"/>
            <w:vAlign w:val="center"/>
          </w:tcPr>
          <w:p w14:paraId="44C2585B">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p>
        </w:tc>
        <w:tc>
          <w:tcPr>
            <w:tcW w:w="1746" w:type="dxa"/>
            <w:tcBorders>
              <w:tl2br w:val="nil"/>
              <w:tr2bl w:val="nil"/>
            </w:tcBorders>
            <w:noWrap w:val="0"/>
            <w:vAlign w:val="center"/>
          </w:tcPr>
          <w:p w14:paraId="7E848D11">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总铬</w:t>
            </w:r>
          </w:p>
        </w:tc>
        <w:tc>
          <w:tcPr>
            <w:tcW w:w="1091" w:type="dxa"/>
            <w:tcBorders>
              <w:tl2br w:val="nil"/>
              <w:tr2bl w:val="nil"/>
            </w:tcBorders>
            <w:noWrap w:val="0"/>
            <w:vAlign w:val="center"/>
          </w:tcPr>
          <w:p w14:paraId="4545FCA1">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1250" w:type="dxa"/>
            <w:tcBorders>
              <w:tl2br w:val="nil"/>
              <w:tr2bl w:val="nil"/>
            </w:tcBorders>
            <w:noWrap w:val="0"/>
            <w:vAlign w:val="center"/>
          </w:tcPr>
          <w:p w14:paraId="23D88CD9">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1264" w:type="dxa"/>
            <w:tcBorders>
              <w:tl2br w:val="nil"/>
              <w:tr2bl w:val="nil"/>
            </w:tcBorders>
            <w:noWrap w:val="0"/>
            <w:vAlign w:val="center"/>
          </w:tcPr>
          <w:p w14:paraId="17C68D49">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0.09 </w:t>
            </w:r>
          </w:p>
        </w:tc>
        <w:tc>
          <w:tcPr>
            <w:tcW w:w="837" w:type="dxa"/>
            <w:tcBorders>
              <w:tl2br w:val="nil"/>
              <w:tr2bl w:val="nil"/>
            </w:tcBorders>
            <w:noWrap w:val="0"/>
            <w:vAlign w:val="center"/>
          </w:tcPr>
          <w:p w14:paraId="42B91DB3">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837" w:type="dxa"/>
            <w:tcBorders>
              <w:tl2br w:val="nil"/>
              <w:tr2bl w:val="nil"/>
            </w:tcBorders>
            <w:noWrap w:val="0"/>
            <w:vAlign w:val="center"/>
          </w:tcPr>
          <w:p w14:paraId="2BC83845">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837" w:type="dxa"/>
            <w:tcBorders>
              <w:tl2br w:val="nil"/>
              <w:tr2bl w:val="nil"/>
            </w:tcBorders>
            <w:noWrap w:val="0"/>
            <w:vAlign w:val="center"/>
          </w:tcPr>
          <w:p w14:paraId="5BEF2BD8">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34828C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9" w:type="dxa"/>
            <w:vMerge w:val="continue"/>
            <w:tcBorders>
              <w:tl2br w:val="nil"/>
              <w:tr2bl w:val="nil"/>
            </w:tcBorders>
            <w:noWrap w:val="0"/>
            <w:vAlign w:val="center"/>
          </w:tcPr>
          <w:p w14:paraId="3201E917">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p>
        </w:tc>
        <w:tc>
          <w:tcPr>
            <w:tcW w:w="1746" w:type="dxa"/>
            <w:tcBorders>
              <w:tl2br w:val="nil"/>
              <w:tr2bl w:val="nil"/>
            </w:tcBorders>
            <w:noWrap w:val="0"/>
            <w:vAlign w:val="center"/>
          </w:tcPr>
          <w:p w14:paraId="5DDA995E">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锌</w:t>
            </w:r>
          </w:p>
        </w:tc>
        <w:tc>
          <w:tcPr>
            <w:tcW w:w="1091" w:type="dxa"/>
            <w:tcBorders>
              <w:tl2br w:val="nil"/>
              <w:tr2bl w:val="nil"/>
            </w:tcBorders>
            <w:noWrap w:val="0"/>
            <w:vAlign w:val="center"/>
          </w:tcPr>
          <w:p w14:paraId="20F9D963">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1250" w:type="dxa"/>
            <w:tcBorders>
              <w:tl2br w:val="nil"/>
              <w:tr2bl w:val="nil"/>
            </w:tcBorders>
            <w:noWrap w:val="0"/>
            <w:vAlign w:val="center"/>
          </w:tcPr>
          <w:p w14:paraId="3BFC50AC">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1264" w:type="dxa"/>
            <w:tcBorders>
              <w:tl2br w:val="nil"/>
              <w:tr2bl w:val="nil"/>
            </w:tcBorders>
            <w:noWrap w:val="0"/>
            <w:vAlign w:val="center"/>
          </w:tcPr>
          <w:p w14:paraId="48253D02">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0.15 </w:t>
            </w:r>
          </w:p>
        </w:tc>
        <w:tc>
          <w:tcPr>
            <w:tcW w:w="837" w:type="dxa"/>
            <w:tcBorders>
              <w:tl2br w:val="nil"/>
              <w:tr2bl w:val="nil"/>
            </w:tcBorders>
            <w:noWrap w:val="0"/>
            <w:vAlign w:val="center"/>
          </w:tcPr>
          <w:p w14:paraId="172AD6C7">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837" w:type="dxa"/>
            <w:tcBorders>
              <w:tl2br w:val="nil"/>
              <w:tr2bl w:val="nil"/>
            </w:tcBorders>
            <w:noWrap w:val="0"/>
            <w:vAlign w:val="center"/>
          </w:tcPr>
          <w:p w14:paraId="78D599CB">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837" w:type="dxa"/>
            <w:tcBorders>
              <w:tl2br w:val="nil"/>
              <w:tr2bl w:val="nil"/>
            </w:tcBorders>
            <w:noWrap w:val="0"/>
            <w:vAlign w:val="center"/>
          </w:tcPr>
          <w:p w14:paraId="472AA48B">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r w14:paraId="27F592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9" w:type="dxa"/>
            <w:vMerge w:val="continue"/>
            <w:tcBorders>
              <w:tl2br w:val="nil"/>
              <w:tr2bl w:val="nil"/>
            </w:tcBorders>
            <w:noWrap w:val="0"/>
            <w:vAlign w:val="center"/>
          </w:tcPr>
          <w:p w14:paraId="54924AA3">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p>
        </w:tc>
        <w:tc>
          <w:tcPr>
            <w:tcW w:w="1746" w:type="dxa"/>
            <w:tcBorders>
              <w:tl2br w:val="nil"/>
              <w:tr2bl w:val="nil"/>
            </w:tcBorders>
            <w:noWrap w:val="0"/>
            <w:vAlign w:val="center"/>
          </w:tcPr>
          <w:p w14:paraId="2D2D1C89">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zh-CN" w:eastAsia="zh-CN"/>
              </w:rPr>
              <w:t>镍</w:t>
            </w:r>
          </w:p>
        </w:tc>
        <w:tc>
          <w:tcPr>
            <w:tcW w:w="1091" w:type="dxa"/>
            <w:tcBorders>
              <w:tl2br w:val="nil"/>
              <w:tr2bl w:val="nil"/>
            </w:tcBorders>
            <w:noWrap w:val="0"/>
            <w:vAlign w:val="center"/>
          </w:tcPr>
          <w:p w14:paraId="3A18AFCC">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1250" w:type="dxa"/>
            <w:tcBorders>
              <w:tl2br w:val="nil"/>
              <w:tr2bl w:val="nil"/>
            </w:tcBorders>
            <w:noWrap w:val="0"/>
            <w:vAlign w:val="center"/>
          </w:tcPr>
          <w:p w14:paraId="529DE1D0">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1264" w:type="dxa"/>
            <w:tcBorders>
              <w:tl2br w:val="nil"/>
              <w:tr2bl w:val="nil"/>
            </w:tcBorders>
            <w:noWrap w:val="0"/>
            <w:vAlign w:val="center"/>
          </w:tcPr>
          <w:p w14:paraId="38CF5DBD">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0.06 </w:t>
            </w:r>
          </w:p>
        </w:tc>
        <w:tc>
          <w:tcPr>
            <w:tcW w:w="837" w:type="dxa"/>
            <w:tcBorders>
              <w:tl2br w:val="nil"/>
              <w:tr2bl w:val="nil"/>
            </w:tcBorders>
            <w:noWrap w:val="0"/>
            <w:vAlign w:val="center"/>
          </w:tcPr>
          <w:p w14:paraId="17ABEF44">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837" w:type="dxa"/>
            <w:tcBorders>
              <w:tl2br w:val="nil"/>
              <w:tr2bl w:val="nil"/>
            </w:tcBorders>
            <w:noWrap w:val="0"/>
            <w:vAlign w:val="center"/>
          </w:tcPr>
          <w:p w14:paraId="6BAC1A7A">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837" w:type="dxa"/>
            <w:tcBorders>
              <w:tl2br w:val="nil"/>
              <w:tr2bl w:val="nil"/>
            </w:tcBorders>
            <w:noWrap w:val="0"/>
            <w:vAlign w:val="center"/>
          </w:tcPr>
          <w:p w14:paraId="26F16A73">
            <w:pPr>
              <w:keepNext w:val="0"/>
              <w:keepLines w:val="0"/>
              <w:pageBreakBefore w:val="0"/>
              <w:widowControl/>
              <w:suppressLineNumbers w:val="0"/>
              <w:kinsoku/>
              <w:wordWrap/>
              <w:overflowPunct/>
              <w:topLinePunct w:val="0"/>
              <w:autoSpaceDN/>
              <w:bidi w:val="0"/>
              <w:adjustRightInd/>
              <w:snapToGrid w:val="0"/>
              <w:spacing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r>
    </w:tbl>
    <w:p w14:paraId="5AA3758D">
      <w:pPr>
        <w:ind w:firstLine="442" w:firstLineChars="2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根据调查结果，监测断面监测因子均低于《土壤环境质量 农用地土壤污染风险管控标准（试行）》（GB15618-2018）中风险筛选值，监测断面所在河段底泥现状环境良好。</w:t>
      </w:r>
    </w:p>
    <w:bookmarkEnd w:id="78"/>
    <w:p w14:paraId="0F15261F">
      <w:pPr>
        <w:pStyle w:val="4"/>
        <w:numPr>
          <w:ilvl w:val="1"/>
          <w:numId w:val="40"/>
        </w:numPr>
        <w:bidi w:val="0"/>
        <w:ind w:left="678" w:leftChars="0" w:firstLine="0" w:firstLineChars="0"/>
        <w:rPr>
          <w:rFonts w:hint="default"/>
          <w:color w:val="auto"/>
          <w:highlight w:val="none"/>
        </w:rPr>
      </w:pPr>
      <w:bookmarkStart w:id="81" w:name="_Toc149836153"/>
      <w:bookmarkStart w:id="82" w:name="_Toc7943"/>
      <w:r>
        <w:rPr>
          <w:rFonts w:hint="default"/>
          <w:color w:val="auto"/>
          <w:highlight w:val="none"/>
        </w:rPr>
        <w:t>声环境质量现状调查与评价</w:t>
      </w:r>
      <w:bookmarkEnd w:id="81"/>
      <w:bookmarkEnd w:id="82"/>
    </w:p>
    <w:p w14:paraId="494715D0">
      <w:pPr>
        <w:pStyle w:val="5"/>
        <w:numPr>
          <w:ilvl w:val="2"/>
          <w:numId w:val="40"/>
        </w:numPr>
        <w:bidi w:val="0"/>
        <w:ind w:left="452" w:leftChars="0" w:firstLine="0" w:firstLineChars="0"/>
        <w:rPr>
          <w:rFonts w:hint="default"/>
          <w:color w:val="auto"/>
          <w:highlight w:val="none"/>
        </w:rPr>
      </w:pPr>
      <w:r>
        <w:rPr>
          <w:rFonts w:hint="default"/>
          <w:color w:val="auto"/>
          <w:highlight w:val="none"/>
        </w:rPr>
        <w:t>监测布点</w:t>
      </w:r>
    </w:p>
    <w:p w14:paraId="0AF66F7B">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根据区域环境功能区划和项目情况，布设</w:t>
      </w:r>
      <w:r>
        <w:rPr>
          <w:rFonts w:hint="eastAsia" w:ascii="Times New Roman" w:cs="Times New Roman"/>
          <w:color w:val="auto"/>
          <w:highlight w:val="none"/>
          <w:lang w:val="en-US" w:eastAsia="zh-CN"/>
        </w:rPr>
        <w:t>3</w:t>
      </w:r>
      <w:r>
        <w:rPr>
          <w:rFonts w:hint="default" w:ascii="Times New Roman" w:hAnsi="Times New Roman" w:cs="Times New Roman"/>
          <w:color w:val="auto"/>
          <w:highlight w:val="none"/>
        </w:rPr>
        <w:t>个监测点，各监测点布设情况见下表。</w:t>
      </w:r>
    </w:p>
    <w:p w14:paraId="20A04872">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r>
        <w:rPr>
          <w:rFonts w:hint="default"/>
          <w:color w:val="auto"/>
          <w:highlight w:val="none"/>
        </w:rPr>
        <w:t>环境噪声现状监测布点情况表</w:t>
      </w:r>
    </w:p>
    <w:tbl>
      <w:tblPr>
        <w:tblStyle w:val="87"/>
        <w:tblW w:w="8828"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07"/>
        <w:gridCol w:w="2207"/>
        <w:gridCol w:w="2207"/>
        <w:gridCol w:w="2207"/>
      </w:tblGrid>
      <w:tr w14:paraId="05FF22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07" w:type="dxa"/>
            <w:noWrap w:val="0"/>
            <w:vAlign w:val="center"/>
          </w:tcPr>
          <w:p w14:paraId="020E702C">
            <w:pPr>
              <w:pStyle w:val="698"/>
              <w:rPr>
                <w:rFonts w:hint="default" w:ascii="Times New Roman" w:hAnsi="Times New Roman" w:cs="Times New Roman"/>
                <w:b/>
                <w:bCs/>
                <w:color w:val="auto"/>
                <w:highlight w:val="none"/>
                <w:u w:val="single"/>
              </w:rPr>
            </w:pPr>
            <w:r>
              <w:rPr>
                <w:rFonts w:hint="default" w:ascii="Times New Roman" w:hAnsi="Times New Roman" w:cs="Times New Roman"/>
                <w:b/>
                <w:bCs/>
                <w:color w:val="auto"/>
                <w:highlight w:val="none"/>
                <w:u w:val="single"/>
              </w:rPr>
              <w:t>编号</w:t>
            </w:r>
          </w:p>
        </w:tc>
        <w:tc>
          <w:tcPr>
            <w:tcW w:w="2207" w:type="dxa"/>
            <w:noWrap w:val="0"/>
            <w:vAlign w:val="center"/>
          </w:tcPr>
          <w:p w14:paraId="7F79D5D0">
            <w:pPr>
              <w:pStyle w:val="698"/>
              <w:rPr>
                <w:rFonts w:hint="default" w:ascii="Times New Roman" w:hAnsi="Times New Roman" w:cs="Times New Roman"/>
                <w:b/>
                <w:bCs/>
                <w:color w:val="auto"/>
                <w:highlight w:val="none"/>
                <w:u w:val="single"/>
              </w:rPr>
            </w:pPr>
            <w:r>
              <w:rPr>
                <w:rFonts w:hint="default" w:ascii="Times New Roman" w:hAnsi="Times New Roman" w:cs="Times New Roman"/>
                <w:b/>
                <w:bCs/>
                <w:color w:val="auto"/>
                <w:highlight w:val="none"/>
                <w:u w:val="single"/>
              </w:rPr>
              <w:t>监测点名称</w:t>
            </w:r>
          </w:p>
        </w:tc>
        <w:tc>
          <w:tcPr>
            <w:tcW w:w="2207" w:type="dxa"/>
            <w:noWrap w:val="0"/>
            <w:vAlign w:val="center"/>
          </w:tcPr>
          <w:p w14:paraId="79CB5233">
            <w:pPr>
              <w:pStyle w:val="698"/>
              <w:rPr>
                <w:rFonts w:hint="default" w:ascii="Times New Roman" w:hAnsi="Times New Roman" w:cs="Times New Roman"/>
                <w:b/>
                <w:bCs/>
                <w:color w:val="auto"/>
                <w:highlight w:val="none"/>
                <w:u w:val="single"/>
              </w:rPr>
            </w:pPr>
            <w:r>
              <w:rPr>
                <w:rFonts w:hint="default" w:ascii="Times New Roman" w:hAnsi="Times New Roman" w:cs="Times New Roman"/>
                <w:b/>
                <w:bCs/>
                <w:color w:val="auto"/>
                <w:highlight w:val="none"/>
                <w:u w:val="single"/>
              </w:rPr>
              <w:t>属性</w:t>
            </w:r>
          </w:p>
        </w:tc>
        <w:tc>
          <w:tcPr>
            <w:tcW w:w="2207" w:type="dxa"/>
            <w:noWrap w:val="0"/>
            <w:vAlign w:val="center"/>
          </w:tcPr>
          <w:p w14:paraId="7698743B">
            <w:pPr>
              <w:pStyle w:val="698"/>
              <w:rPr>
                <w:rFonts w:hint="default" w:ascii="Times New Roman" w:hAnsi="Times New Roman" w:cs="Times New Roman"/>
                <w:b/>
                <w:bCs/>
                <w:color w:val="auto"/>
                <w:highlight w:val="none"/>
                <w:u w:val="single"/>
              </w:rPr>
            </w:pPr>
            <w:r>
              <w:rPr>
                <w:rFonts w:hint="default" w:ascii="Times New Roman" w:hAnsi="Times New Roman" w:cs="Times New Roman"/>
                <w:b/>
                <w:bCs/>
                <w:color w:val="auto"/>
                <w:highlight w:val="none"/>
                <w:u w:val="single"/>
              </w:rPr>
              <w:t>距离</w:t>
            </w:r>
          </w:p>
        </w:tc>
      </w:tr>
      <w:tr w14:paraId="7CDC64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07" w:type="dxa"/>
            <w:noWrap w:val="0"/>
            <w:vAlign w:val="center"/>
          </w:tcPr>
          <w:p w14:paraId="2460F153">
            <w:pPr>
              <w:pStyle w:val="698"/>
              <w:rPr>
                <w:rFonts w:hint="default" w:ascii="Times New Roman" w:hAnsi="Times New Roman" w:cs="Times New Roman"/>
                <w:color w:val="auto"/>
                <w:kern w:val="0"/>
                <w:highlight w:val="none"/>
                <w:u w:val="single"/>
              </w:rPr>
            </w:pPr>
            <w:r>
              <w:rPr>
                <w:rFonts w:hint="default" w:ascii="Times New Roman" w:hAnsi="Times New Roman" w:cs="Times New Roman"/>
                <w:color w:val="auto"/>
                <w:kern w:val="0"/>
                <w:highlight w:val="none"/>
                <w:u w:val="single"/>
              </w:rPr>
              <w:t>N1</w:t>
            </w:r>
          </w:p>
        </w:tc>
        <w:tc>
          <w:tcPr>
            <w:tcW w:w="2207" w:type="dxa"/>
            <w:noWrap w:val="0"/>
            <w:vAlign w:val="center"/>
          </w:tcPr>
          <w:p w14:paraId="33D46220">
            <w:pPr>
              <w:pStyle w:val="698"/>
              <w:rPr>
                <w:rFonts w:hint="eastAsia" w:ascii="Times New Roman" w:hAnsi="Times New Roman" w:eastAsia="宋体" w:cs="Times New Roman"/>
                <w:color w:val="auto"/>
                <w:kern w:val="0"/>
                <w:highlight w:val="none"/>
                <w:u w:val="single"/>
                <w:lang w:eastAsia="zh-CN"/>
              </w:rPr>
            </w:pPr>
            <w:r>
              <w:rPr>
                <w:rFonts w:hint="eastAsia" w:ascii="Times New Roman" w:cs="Times New Roman"/>
                <w:color w:val="auto"/>
                <w:kern w:val="0"/>
                <w:highlight w:val="none"/>
                <w:u w:val="single"/>
                <w:lang w:eastAsia="zh-CN"/>
              </w:rPr>
              <w:t>大岭脚村</w:t>
            </w:r>
          </w:p>
        </w:tc>
        <w:tc>
          <w:tcPr>
            <w:tcW w:w="2207" w:type="dxa"/>
            <w:noWrap w:val="0"/>
            <w:vAlign w:val="center"/>
          </w:tcPr>
          <w:p w14:paraId="4B7AE4B3">
            <w:pPr>
              <w:pStyle w:val="698"/>
              <w:rPr>
                <w:rFonts w:hint="eastAsia" w:ascii="Times New Roman" w:hAnsi="Times New Roman" w:eastAsia="宋体" w:cs="Times New Roman"/>
                <w:color w:val="auto"/>
                <w:kern w:val="0"/>
                <w:highlight w:val="none"/>
                <w:u w:val="single"/>
                <w:lang w:eastAsia="zh-CN"/>
              </w:rPr>
            </w:pPr>
            <w:r>
              <w:rPr>
                <w:rFonts w:hint="eastAsia" w:ascii="Times New Roman" w:cs="Times New Roman"/>
                <w:color w:val="auto"/>
                <w:kern w:val="0"/>
                <w:highlight w:val="none"/>
                <w:u w:val="single"/>
                <w:lang w:eastAsia="zh-CN"/>
              </w:rPr>
              <w:t>敏感点</w:t>
            </w:r>
          </w:p>
        </w:tc>
        <w:tc>
          <w:tcPr>
            <w:tcW w:w="2207" w:type="dxa"/>
            <w:noWrap w:val="0"/>
            <w:vAlign w:val="center"/>
          </w:tcPr>
          <w:p w14:paraId="551842E1">
            <w:pPr>
              <w:pStyle w:val="698"/>
              <w:rPr>
                <w:rFonts w:hint="eastAsia" w:ascii="Times New Roman" w:hAnsi="Times New Roman" w:eastAsia="宋体" w:cs="Times New Roman"/>
                <w:color w:val="auto"/>
                <w:kern w:val="0"/>
                <w:highlight w:val="none"/>
                <w:u w:val="single"/>
                <w:lang w:eastAsia="zh-CN"/>
              </w:rPr>
            </w:pPr>
            <w:r>
              <w:rPr>
                <w:rFonts w:hint="eastAsia" w:ascii="Times New Roman" w:cs="Times New Roman"/>
                <w:color w:val="auto"/>
                <w:kern w:val="0"/>
                <w:highlight w:val="none"/>
                <w:u w:val="single"/>
                <w:lang w:eastAsia="zh-CN"/>
              </w:rPr>
              <w:t>相邻</w:t>
            </w:r>
          </w:p>
        </w:tc>
      </w:tr>
      <w:tr w14:paraId="2C8596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07" w:type="dxa"/>
            <w:noWrap w:val="0"/>
            <w:vAlign w:val="center"/>
          </w:tcPr>
          <w:p w14:paraId="36AD0C33">
            <w:pPr>
              <w:pStyle w:val="698"/>
              <w:rPr>
                <w:rFonts w:hint="eastAsia" w:ascii="Times New Roman" w:hAnsi="Times New Roman" w:eastAsia="宋体" w:cs="Times New Roman"/>
                <w:color w:val="auto"/>
                <w:kern w:val="0"/>
                <w:highlight w:val="none"/>
                <w:u w:val="single"/>
                <w:lang w:eastAsia="zh-CN"/>
              </w:rPr>
            </w:pPr>
            <w:r>
              <w:rPr>
                <w:rFonts w:hint="default" w:ascii="Times New Roman" w:hAnsi="Times New Roman" w:cs="Times New Roman"/>
                <w:color w:val="auto"/>
                <w:kern w:val="0"/>
                <w:highlight w:val="none"/>
                <w:u w:val="single"/>
              </w:rPr>
              <w:t>N</w:t>
            </w:r>
            <w:r>
              <w:rPr>
                <w:rFonts w:hint="eastAsia" w:ascii="Times New Roman" w:hAnsi="Times New Roman" w:cs="Times New Roman"/>
                <w:color w:val="auto"/>
                <w:kern w:val="0"/>
                <w:highlight w:val="none"/>
                <w:u w:val="single"/>
                <w:lang w:val="en-US" w:eastAsia="zh-CN"/>
              </w:rPr>
              <w:t>2</w:t>
            </w:r>
          </w:p>
        </w:tc>
        <w:tc>
          <w:tcPr>
            <w:tcW w:w="2207" w:type="dxa"/>
            <w:noWrap w:val="0"/>
            <w:vAlign w:val="center"/>
          </w:tcPr>
          <w:p w14:paraId="526D0EA2">
            <w:pPr>
              <w:pStyle w:val="698"/>
              <w:rPr>
                <w:rFonts w:hint="eastAsia" w:ascii="Times New Roman" w:cs="Times New Roman"/>
                <w:color w:val="auto"/>
                <w:kern w:val="0"/>
                <w:highlight w:val="none"/>
                <w:u w:val="single"/>
                <w:lang w:eastAsia="zh-CN"/>
              </w:rPr>
            </w:pPr>
            <w:r>
              <w:rPr>
                <w:rFonts w:hint="eastAsia" w:ascii="Times New Roman" w:cs="Times New Roman"/>
                <w:color w:val="auto"/>
                <w:kern w:val="0"/>
                <w:highlight w:val="none"/>
                <w:u w:val="single"/>
                <w:lang w:eastAsia="zh-CN"/>
              </w:rPr>
              <w:t>大垌口村</w:t>
            </w:r>
          </w:p>
        </w:tc>
        <w:tc>
          <w:tcPr>
            <w:tcW w:w="2207" w:type="dxa"/>
            <w:noWrap w:val="0"/>
            <w:vAlign w:val="center"/>
          </w:tcPr>
          <w:p w14:paraId="60923159">
            <w:pPr>
              <w:pStyle w:val="698"/>
              <w:rPr>
                <w:rFonts w:hint="eastAsia" w:ascii="Times New Roman" w:cs="Times New Roman"/>
                <w:color w:val="auto"/>
                <w:kern w:val="0"/>
                <w:highlight w:val="none"/>
                <w:u w:val="single"/>
                <w:lang w:eastAsia="zh-CN"/>
              </w:rPr>
            </w:pPr>
            <w:r>
              <w:rPr>
                <w:rFonts w:hint="eastAsia" w:ascii="Times New Roman" w:cs="Times New Roman"/>
                <w:color w:val="auto"/>
                <w:kern w:val="0"/>
                <w:highlight w:val="none"/>
                <w:u w:val="single"/>
                <w:lang w:eastAsia="zh-CN"/>
              </w:rPr>
              <w:t>敏感点</w:t>
            </w:r>
          </w:p>
        </w:tc>
        <w:tc>
          <w:tcPr>
            <w:tcW w:w="2207" w:type="dxa"/>
            <w:noWrap w:val="0"/>
            <w:vAlign w:val="center"/>
          </w:tcPr>
          <w:p w14:paraId="390D83A8">
            <w:pPr>
              <w:pStyle w:val="698"/>
              <w:rPr>
                <w:rFonts w:hint="default" w:ascii="Times New Roman" w:cs="Times New Roman"/>
                <w:color w:val="auto"/>
                <w:kern w:val="0"/>
                <w:highlight w:val="none"/>
                <w:u w:val="single"/>
                <w:lang w:val="en-US" w:eastAsia="zh-CN"/>
              </w:rPr>
            </w:pPr>
            <w:r>
              <w:rPr>
                <w:rFonts w:hint="eastAsia" w:ascii="Times New Roman" w:hAnsi="Times New Roman" w:eastAsia="宋体" w:cs="Times New Roman"/>
                <w:color w:val="auto"/>
                <w:kern w:val="0"/>
                <w:highlight w:val="none"/>
                <w:u w:val="single"/>
                <w:lang w:eastAsia="zh-CN"/>
              </w:rPr>
              <w:t>北侧</w:t>
            </w:r>
            <w:r>
              <w:rPr>
                <w:rFonts w:hint="eastAsia" w:ascii="Times New Roman" w:hAnsi="Times New Roman" w:eastAsia="宋体" w:cs="Times New Roman"/>
                <w:color w:val="auto"/>
                <w:kern w:val="0"/>
                <w:highlight w:val="none"/>
                <w:u w:val="single"/>
                <w:lang w:val="en-US" w:eastAsia="zh-CN"/>
              </w:rPr>
              <w:t>145m</w:t>
            </w:r>
          </w:p>
        </w:tc>
      </w:tr>
      <w:tr w14:paraId="617504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207" w:type="dxa"/>
            <w:noWrap w:val="0"/>
            <w:vAlign w:val="center"/>
          </w:tcPr>
          <w:p w14:paraId="01C52ECF">
            <w:pPr>
              <w:pStyle w:val="698"/>
              <w:rPr>
                <w:rFonts w:hint="eastAsia" w:ascii="Times New Roman" w:hAnsi="Times New Roman" w:eastAsia="宋体" w:cs="Times New Roman"/>
                <w:color w:val="auto"/>
                <w:kern w:val="0"/>
                <w:highlight w:val="none"/>
                <w:u w:val="single"/>
                <w:lang w:eastAsia="zh-CN"/>
              </w:rPr>
            </w:pPr>
            <w:r>
              <w:rPr>
                <w:rFonts w:hint="default" w:ascii="Times New Roman" w:hAnsi="Times New Roman" w:cs="Times New Roman"/>
                <w:color w:val="auto"/>
                <w:kern w:val="0"/>
                <w:highlight w:val="none"/>
                <w:u w:val="single"/>
              </w:rPr>
              <w:t>N</w:t>
            </w:r>
            <w:r>
              <w:rPr>
                <w:rFonts w:hint="eastAsia" w:ascii="Times New Roman" w:hAnsi="Times New Roman" w:cs="Times New Roman"/>
                <w:color w:val="auto"/>
                <w:kern w:val="0"/>
                <w:highlight w:val="none"/>
                <w:u w:val="single"/>
                <w:lang w:val="en-US" w:eastAsia="zh-CN"/>
              </w:rPr>
              <w:t>3</w:t>
            </w:r>
          </w:p>
        </w:tc>
        <w:tc>
          <w:tcPr>
            <w:tcW w:w="2207" w:type="dxa"/>
            <w:noWrap w:val="0"/>
            <w:vAlign w:val="center"/>
          </w:tcPr>
          <w:p w14:paraId="4DFFB9EC">
            <w:pPr>
              <w:pStyle w:val="698"/>
              <w:rPr>
                <w:rFonts w:hint="eastAsia" w:ascii="Times New Roman" w:cs="Times New Roman"/>
                <w:color w:val="auto"/>
                <w:kern w:val="0"/>
                <w:highlight w:val="none"/>
                <w:u w:val="single"/>
                <w:lang w:eastAsia="zh-CN"/>
              </w:rPr>
            </w:pPr>
            <w:r>
              <w:rPr>
                <w:rFonts w:hint="eastAsia" w:ascii="Times New Roman" w:cs="Times New Roman"/>
                <w:color w:val="auto"/>
                <w:kern w:val="0"/>
                <w:highlight w:val="none"/>
                <w:u w:val="single"/>
                <w:lang w:eastAsia="zh-CN"/>
              </w:rPr>
              <w:t>巨龙如意城</w:t>
            </w:r>
          </w:p>
        </w:tc>
        <w:tc>
          <w:tcPr>
            <w:tcW w:w="2207" w:type="dxa"/>
            <w:noWrap w:val="0"/>
            <w:vAlign w:val="center"/>
          </w:tcPr>
          <w:p w14:paraId="5497BA1E">
            <w:pPr>
              <w:pStyle w:val="698"/>
              <w:rPr>
                <w:rFonts w:hint="eastAsia" w:ascii="Times New Roman" w:cs="Times New Roman"/>
                <w:color w:val="auto"/>
                <w:kern w:val="0"/>
                <w:highlight w:val="none"/>
                <w:u w:val="single"/>
                <w:lang w:eastAsia="zh-CN"/>
              </w:rPr>
            </w:pPr>
            <w:r>
              <w:rPr>
                <w:rFonts w:hint="eastAsia" w:ascii="Times New Roman" w:cs="Times New Roman"/>
                <w:color w:val="auto"/>
                <w:kern w:val="0"/>
                <w:highlight w:val="none"/>
                <w:u w:val="single"/>
                <w:lang w:eastAsia="zh-CN"/>
              </w:rPr>
              <w:t>敏感点</w:t>
            </w:r>
          </w:p>
        </w:tc>
        <w:tc>
          <w:tcPr>
            <w:tcW w:w="2207" w:type="dxa"/>
            <w:noWrap w:val="0"/>
            <w:vAlign w:val="center"/>
          </w:tcPr>
          <w:p w14:paraId="6F9D91A0">
            <w:pPr>
              <w:pStyle w:val="698"/>
              <w:rPr>
                <w:rFonts w:hint="default" w:ascii="Times New Roman" w:cs="Times New Roman"/>
                <w:color w:val="auto"/>
                <w:kern w:val="0"/>
                <w:highlight w:val="none"/>
                <w:u w:val="single"/>
                <w:lang w:val="en-US" w:eastAsia="zh-CN"/>
              </w:rPr>
            </w:pPr>
            <w:r>
              <w:rPr>
                <w:rFonts w:hint="eastAsia" w:ascii="Times New Roman" w:cs="Times New Roman"/>
                <w:color w:val="auto"/>
                <w:kern w:val="0"/>
                <w:highlight w:val="none"/>
                <w:u w:val="single"/>
                <w:lang w:eastAsia="zh-CN"/>
              </w:rPr>
              <w:t>东南</w:t>
            </w:r>
            <w:r>
              <w:rPr>
                <w:rFonts w:hint="eastAsia" w:ascii="Times New Roman" w:cs="Times New Roman"/>
                <w:color w:val="auto"/>
                <w:kern w:val="0"/>
                <w:highlight w:val="none"/>
                <w:u w:val="single"/>
                <w:lang w:val="en-US" w:eastAsia="zh-CN"/>
              </w:rPr>
              <w:t>153m</w:t>
            </w:r>
          </w:p>
        </w:tc>
      </w:tr>
    </w:tbl>
    <w:p w14:paraId="5C7AE9FE">
      <w:pPr>
        <w:pStyle w:val="5"/>
        <w:numPr>
          <w:ilvl w:val="2"/>
          <w:numId w:val="40"/>
        </w:numPr>
        <w:bidi w:val="0"/>
        <w:ind w:left="452" w:leftChars="0"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监测项目及分析方法</w:t>
      </w:r>
    </w:p>
    <w:p w14:paraId="7C3EA4ED">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监测项目：等效连续A声级LAeq。</w:t>
      </w:r>
    </w:p>
    <w:p w14:paraId="4C2A51E5">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监测方法与数据处理按《声环境质量标准》（GB3096-2008）中的有关规定进行，使用仪器为</w:t>
      </w:r>
      <w:r>
        <w:rPr>
          <w:rFonts w:hint="default" w:ascii="Times New Roman" w:hAnsi="Times New Roman" w:cs="Times New Roman"/>
          <w:color w:val="auto"/>
          <w:highlight w:val="none"/>
          <w:u w:val="single"/>
        </w:rPr>
        <w:t>“AWA5688</w:t>
      </w:r>
      <w:r>
        <w:rPr>
          <w:rFonts w:hint="eastAsia" w:ascii="Times New Roman" w:cs="Times New Roman"/>
          <w:color w:val="auto"/>
          <w:highlight w:val="none"/>
          <w:u w:val="single"/>
          <w:lang w:eastAsia="zh-CN"/>
        </w:rPr>
        <w:t>型</w:t>
      </w:r>
      <w:r>
        <w:rPr>
          <w:rFonts w:hint="default" w:ascii="Times New Roman" w:hAnsi="Times New Roman" w:cs="Times New Roman"/>
          <w:color w:val="auto"/>
          <w:highlight w:val="none"/>
          <w:u w:val="single"/>
        </w:rPr>
        <w:t>多功能声级计”。</w:t>
      </w:r>
    </w:p>
    <w:p w14:paraId="7EE9AF20">
      <w:pPr>
        <w:pStyle w:val="5"/>
        <w:numPr>
          <w:ilvl w:val="2"/>
          <w:numId w:val="40"/>
        </w:numPr>
        <w:bidi w:val="0"/>
        <w:ind w:left="452" w:leftChars="0"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监测时间及频率</w:t>
      </w:r>
    </w:p>
    <w:p w14:paraId="4201CBC4">
      <w:pPr>
        <w:pStyle w:val="41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监测时间</w:t>
      </w:r>
      <w:r>
        <w:rPr>
          <w:rFonts w:hint="default" w:ascii="Times New Roman" w:hAnsi="Times New Roman" w:cs="Times New Roman"/>
          <w:color w:val="auto"/>
          <w:highlight w:val="none"/>
          <w:u w:val="single"/>
        </w:rPr>
        <w:t>：</w:t>
      </w:r>
      <w:r>
        <w:rPr>
          <w:rFonts w:hint="eastAsia" w:ascii="Times New Roman" w:eastAsia="仿宋" w:cs="Times New Roman"/>
          <w:color w:val="auto"/>
          <w:highlight w:val="none"/>
          <w:u w:val="single"/>
          <w:lang w:val="en-US" w:eastAsia="zh-CN"/>
        </w:rPr>
        <w:t>2025</w:t>
      </w:r>
      <w:r>
        <w:rPr>
          <w:rFonts w:hint="default" w:ascii="Times New Roman" w:hAnsi="Times New Roman" w:eastAsia="仿宋" w:cs="Times New Roman"/>
          <w:color w:val="auto"/>
          <w:highlight w:val="none"/>
          <w:u w:val="single"/>
        </w:rPr>
        <w:t>年</w:t>
      </w:r>
      <w:r>
        <w:rPr>
          <w:rFonts w:hint="eastAsia" w:ascii="Times New Roman" w:eastAsia="仿宋" w:cs="Times New Roman"/>
          <w:color w:val="auto"/>
          <w:highlight w:val="none"/>
          <w:u w:val="single"/>
          <w:lang w:val="en-US" w:eastAsia="zh-CN"/>
        </w:rPr>
        <w:t>5</w:t>
      </w:r>
      <w:r>
        <w:rPr>
          <w:rFonts w:hint="default" w:ascii="Times New Roman" w:hAnsi="Times New Roman" w:eastAsia="仿宋" w:cs="Times New Roman"/>
          <w:color w:val="auto"/>
          <w:highlight w:val="none"/>
          <w:u w:val="single"/>
        </w:rPr>
        <w:t>月</w:t>
      </w:r>
      <w:r>
        <w:rPr>
          <w:rFonts w:hint="eastAsia" w:ascii="Times New Roman" w:eastAsia="仿宋" w:cs="Times New Roman"/>
          <w:color w:val="auto"/>
          <w:highlight w:val="none"/>
          <w:u w:val="single"/>
          <w:lang w:val="en-US" w:eastAsia="zh-CN"/>
        </w:rPr>
        <w:t>28</w:t>
      </w:r>
      <w:r>
        <w:rPr>
          <w:rFonts w:hint="default" w:ascii="Times New Roman" w:hAnsi="Times New Roman" w:eastAsia="仿宋" w:cs="Times New Roman"/>
          <w:color w:val="auto"/>
          <w:highlight w:val="none"/>
          <w:u w:val="single"/>
        </w:rPr>
        <w:t>日</w:t>
      </w:r>
      <w:r>
        <w:rPr>
          <w:rFonts w:hint="eastAsia" w:ascii="Times New Roman" w:eastAsia="仿宋" w:cs="Times New Roman"/>
          <w:color w:val="auto"/>
          <w:highlight w:val="none"/>
          <w:u w:val="single"/>
          <w:lang w:val="en-US" w:eastAsia="zh-CN"/>
        </w:rPr>
        <w:t>~2025年5月29日</w:t>
      </w:r>
      <w:r>
        <w:rPr>
          <w:rFonts w:hint="eastAsia" w:ascii="Times New Roman" w:eastAsia="仿宋" w:cs="Times New Roman"/>
          <w:color w:val="auto"/>
          <w:highlight w:val="none"/>
          <w:u w:val="single"/>
          <w:lang w:eastAsia="zh-CN"/>
        </w:rPr>
        <w:t>，</w:t>
      </w:r>
      <w:r>
        <w:rPr>
          <w:rFonts w:hint="default" w:ascii="Times New Roman" w:hAnsi="Times New Roman" w:cs="Times New Roman"/>
          <w:color w:val="auto"/>
          <w:highlight w:val="none"/>
          <w:u w:val="single"/>
        </w:rPr>
        <w:t>连续监测</w:t>
      </w:r>
      <w:r>
        <w:rPr>
          <w:rFonts w:hint="eastAsia" w:ascii="Times New Roman" w:cs="Times New Roman"/>
          <w:color w:val="auto"/>
          <w:highlight w:val="none"/>
          <w:u w:val="single"/>
          <w:lang w:val="en-US" w:eastAsia="zh-CN"/>
        </w:rPr>
        <w:t>2</w:t>
      </w:r>
      <w:r>
        <w:rPr>
          <w:rFonts w:hint="default" w:ascii="Times New Roman" w:hAnsi="Times New Roman" w:cs="Times New Roman"/>
          <w:color w:val="auto"/>
          <w:highlight w:val="none"/>
          <w:u w:val="single"/>
        </w:rPr>
        <w:t>天。</w:t>
      </w:r>
    </w:p>
    <w:p w14:paraId="0DA6EAD0">
      <w:pPr>
        <w:pStyle w:val="41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监测频率：昼间（06</w:t>
      </w:r>
      <w:r>
        <w:rPr>
          <w:rFonts w:hint="eastAsia" w:ascii="Times New Roman" w:cs="Times New Roman"/>
          <w:color w:val="auto"/>
          <w:highlight w:val="none"/>
          <w:u w:val="none"/>
          <w:lang w:eastAsia="zh-CN"/>
        </w:rPr>
        <w:t>：</w:t>
      </w:r>
      <w:r>
        <w:rPr>
          <w:rFonts w:hint="default" w:ascii="Times New Roman" w:hAnsi="Times New Roman" w:cs="Times New Roman"/>
          <w:color w:val="auto"/>
          <w:highlight w:val="none"/>
          <w:u w:val="none"/>
        </w:rPr>
        <w:t>00~22</w:t>
      </w:r>
      <w:r>
        <w:rPr>
          <w:rFonts w:hint="eastAsia" w:ascii="Times New Roman" w:cs="Times New Roman"/>
          <w:color w:val="auto"/>
          <w:highlight w:val="none"/>
          <w:u w:val="none"/>
          <w:lang w:eastAsia="zh-CN"/>
        </w:rPr>
        <w:t>：</w:t>
      </w:r>
      <w:r>
        <w:rPr>
          <w:rFonts w:hint="default" w:ascii="Times New Roman" w:hAnsi="Times New Roman" w:cs="Times New Roman"/>
          <w:color w:val="auto"/>
          <w:highlight w:val="none"/>
          <w:u w:val="none"/>
        </w:rPr>
        <w:t>00）和夜间（22</w:t>
      </w:r>
      <w:r>
        <w:rPr>
          <w:rFonts w:hint="eastAsia" w:ascii="Times New Roman" w:cs="Times New Roman"/>
          <w:color w:val="auto"/>
          <w:highlight w:val="none"/>
          <w:u w:val="none"/>
          <w:lang w:eastAsia="zh-CN"/>
        </w:rPr>
        <w:t>：</w:t>
      </w:r>
      <w:r>
        <w:rPr>
          <w:rFonts w:hint="default" w:ascii="Times New Roman" w:hAnsi="Times New Roman" w:cs="Times New Roman"/>
          <w:color w:val="auto"/>
          <w:highlight w:val="none"/>
          <w:u w:val="none"/>
        </w:rPr>
        <w:t>00~次日06：00）各监测1次。</w:t>
      </w:r>
    </w:p>
    <w:p w14:paraId="1AFD81B0">
      <w:pPr>
        <w:pStyle w:val="5"/>
        <w:numPr>
          <w:ilvl w:val="2"/>
          <w:numId w:val="40"/>
        </w:numPr>
        <w:bidi w:val="0"/>
        <w:ind w:left="452" w:leftChars="0"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评价标准</w:t>
      </w:r>
    </w:p>
    <w:p w14:paraId="6EF3B665">
      <w:pPr>
        <w:pStyle w:val="41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rPr>
        <w:t>根据项目用地所在声环境功能区规划，</w:t>
      </w:r>
      <w:r>
        <w:rPr>
          <w:rFonts w:hint="eastAsia" w:ascii="Times New Roman" w:cs="Times New Roman"/>
          <w:color w:val="auto"/>
          <w:highlight w:val="none"/>
          <w:lang w:eastAsia="zh-CN"/>
        </w:rPr>
        <w:t>敏感点大岭脚村</w:t>
      </w:r>
      <w:r>
        <w:rPr>
          <w:rFonts w:hint="default" w:ascii="Times New Roman" w:hAnsi="Times New Roman" w:cs="Times New Roman"/>
          <w:color w:val="auto"/>
          <w:highlight w:val="none"/>
        </w:rPr>
        <w:t>执行《声环境质量标准》（GB3096-2008）4a类标准</w:t>
      </w:r>
      <w:r>
        <w:rPr>
          <w:rFonts w:hint="eastAsia" w:ascii="Times New Roman" w:cs="Times New Roman"/>
          <w:color w:val="auto"/>
          <w:highlight w:val="none"/>
          <w:lang w:eastAsia="zh-CN"/>
        </w:rPr>
        <w:t>，</w:t>
      </w:r>
      <w:r>
        <w:rPr>
          <w:rFonts w:hint="eastAsia" w:ascii="Times New Roman" w:cs="Times New Roman"/>
          <w:color w:val="auto"/>
          <w:highlight w:val="none"/>
          <w:u w:val="single"/>
          <w:lang w:eastAsia="zh-CN"/>
        </w:rPr>
        <w:t>大垌口村、巨龙如意城执行</w:t>
      </w:r>
      <w:r>
        <w:rPr>
          <w:rFonts w:hint="default" w:ascii="Times New Roman" w:hAnsi="Times New Roman" w:cs="Times New Roman"/>
          <w:color w:val="auto"/>
          <w:highlight w:val="none"/>
          <w:u w:val="single"/>
        </w:rPr>
        <w:t>《声环境质量标准》（GB3096-2008）</w:t>
      </w:r>
      <w:r>
        <w:rPr>
          <w:rFonts w:hint="eastAsia" w:ascii="Times New Roman" w:hAnsi="Times New Roman" w:cs="Times New Roman"/>
          <w:color w:val="auto"/>
          <w:highlight w:val="none"/>
          <w:u w:val="single"/>
          <w:lang w:val="en-US" w:eastAsia="zh-CN"/>
        </w:rPr>
        <w:t>2</w:t>
      </w:r>
      <w:r>
        <w:rPr>
          <w:rFonts w:hint="default" w:ascii="Times New Roman" w:hAnsi="Times New Roman" w:cs="Times New Roman"/>
          <w:color w:val="auto"/>
          <w:highlight w:val="none"/>
          <w:u w:val="single"/>
        </w:rPr>
        <w:t xml:space="preserve">类标准。 </w:t>
      </w:r>
    </w:p>
    <w:p w14:paraId="26F0A773">
      <w:pPr>
        <w:pStyle w:val="5"/>
        <w:numPr>
          <w:ilvl w:val="2"/>
          <w:numId w:val="40"/>
        </w:numPr>
        <w:bidi w:val="0"/>
        <w:ind w:left="452" w:leftChars="0"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监测结果及评价</w:t>
      </w:r>
    </w:p>
    <w:p w14:paraId="1E81BAD0">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环境噪声现状监测结果及评价见</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_Ref97741365 \r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表3.7-2</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w:t>
      </w:r>
    </w:p>
    <w:p w14:paraId="4EB1D6C2">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u w:val="single"/>
        </w:rPr>
      </w:pPr>
      <w:bookmarkStart w:id="83" w:name="_Ref97741365"/>
      <w:r>
        <w:rPr>
          <w:rFonts w:hint="default"/>
          <w:color w:val="auto"/>
          <w:highlight w:val="none"/>
          <w:u w:val="single"/>
        </w:rPr>
        <w:t>项目环境噪声监测结果表  单位：dB（A）</w:t>
      </w:r>
      <w:bookmarkEnd w:id="83"/>
    </w:p>
    <w:tbl>
      <w:tblPr>
        <w:tblStyle w:val="87"/>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961"/>
        <w:gridCol w:w="1662"/>
        <w:gridCol w:w="867"/>
        <w:gridCol w:w="867"/>
        <w:gridCol w:w="748"/>
        <w:gridCol w:w="882"/>
        <w:gridCol w:w="1128"/>
        <w:gridCol w:w="710"/>
      </w:tblGrid>
      <w:tr w14:paraId="725465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11" w:type="pct"/>
            <w:vMerge w:val="restart"/>
            <w:tcBorders>
              <w:tl2br w:val="nil"/>
              <w:tr2bl w:val="nil"/>
            </w:tcBorders>
            <w:noWrap w:val="0"/>
            <w:vAlign w:val="center"/>
          </w:tcPr>
          <w:p w14:paraId="71486EA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监测位置</w:t>
            </w:r>
          </w:p>
        </w:tc>
        <w:tc>
          <w:tcPr>
            <w:tcW w:w="941" w:type="pct"/>
            <w:vMerge w:val="restart"/>
            <w:tcBorders>
              <w:tl2br w:val="nil"/>
              <w:tr2bl w:val="nil"/>
            </w:tcBorders>
            <w:noWrap w:val="0"/>
            <w:vAlign w:val="center"/>
          </w:tcPr>
          <w:p w14:paraId="5949516B">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highlight w:val="none"/>
                <w:u w:val="single"/>
                <w:lang w:eastAsia="zh-CN"/>
              </w:rPr>
            </w:pPr>
            <w:r>
              <w:rPr>
                <w:rFonts w:hint="eastAsia" w:ascii="Times New Roman" w:cs="Times New Roman"/>
                <w:b/>
                <w:bCs/>
                <w:color w:val="auto"/>
                <w:sz w:val="21"/>
                <w:szCs w:val="21"/>
                <w:highlight w:val="none"/>
                <w:u w:val="single"/>
                <w:lang w:eastAsia="zh-CN"/>
              </w:rPr>
              <w:t>时段</w:t>
            </w:r>
          </w:p>
        </w:tc>
        <w:tc>
          <w:tcPr>
            <w:tcW w:w="2947" w:type="pct"/>
            <w:gridSpan w:val="6"/>
            <w:tcBorders>
              <w:tl2br w:val="nil"/>
              <w:tr2bl w:val="nil"/>
            </w:tcBorders>
            <w:noWrap w:val="0"/>
            <w:vAlign w:val="center"/>
          </w:tcPr>
          <w:p w14:paraId="525A6B7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u w:val="single"/>
                <w:lang w:bidi="ar"/>
              </w:rPr>
            </w:pPr>
            <w:r>
              <w:rPr>
                <w:rFonts w:hint="default" w:ascii="Times New Roman" w:hAnsi="Times New Roman" w:cs="Times New Roman"/>
                <w:b/>
                <w:bCs/>
                <w:color w:val="auto"/>
                <w:sz w:val="21"/>
                <w:szCs w:val="21"/>
                <w:highlight w:val="none"/>
                <w:u w:val="single"/>
              </w:rPr>
              <w:t>监测结果</w:t>
            </w:r>
            <w:r>
              <w:rPr>
                <w:rFonts w:hint="default" w:ascii="Times New Roman" w:hAnsi="Times New Roman" w:cs="Times New Roman"/>
                <w:b/>
                <w:bCs/>
                <w:i/>
                <w:iCs/>
                <w:color w:val="auto"/>
                <w:kern w:val="0"/>
                <w:sz w:val="21"/>
                <w:szCs w:val="21"/>
                <w:highlight w:val="none"/>
                <w:u w:val="single"/>
              </w:rPr>
              <w:t>L</w:t>
            </w:r>
            <w:r>
              <w:rPr>
                <w:rFonts w:hint="default" w:ascii="Times New Roman" w:hAnsi="Times New Roman" w:cs="Times New Roman"/>
                <w:b/>
                <w:bCs/>
                <w:color w:val="auto"/>
                <w:kern w:val="0"/>
                <w:sz w:val="21"/>
                <w:szCs w:val="21"/>
                <w:highlight w:val="none"/>
                <w:u w:val="single"/>
                <w:vertAlign w:val="subscript"/>
              </w:rPr>
              <w:t>eq</w:t>
            </w:r>
            <w:r>
              <w:rPr>
                <w:rFonts w:hint="default" w:ascii="Times New Roman" w:hAnsi="Times New Roman" w:cs="Times New Roman"/>
                <w:b/>
                <w:bCs/>
                <w:color w:val="auto"/>
                <w:kern w:val="0"/>
                <w:sz w:val="21"/>
                <w:szCs w:val="21"/>
                <w:highlight w:val="none"/>
                <w:u w:val="single"/>
              </w:rPr>
              <w:t>[dB(A)]</w:t>
            </w:r>
          </w:p>
        </w:tc>
      </w:tr>
      <w:tr w14:paraId="42507B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11" w:type="pct"/>
            <w:vMerge w:val="continue"/>
            <w:tcBorders>
              <w:tl2br w:val="nil"/>
              <w:tr2bl w:val="nil"/>
            </w:tcBorders>
            <w:noWrap w:val="0"/>
            <w:vAlign w:val="center"/>
          </w:tcPr>
          <w:p w14:paraId="747A545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u w:val="single"/>
                <w:lang w:bidi="ar"/>
              </w:rPr>
            </w:pPr>
          </w:p>
        </w:tc>
        <w:tc>
          <w:tcPr>
            <w:tcW w:w="941" w:type="pct"/>
            <w:vMerge w:val="continue"/>
            <w:tcBorders>
              <w:tl2br w:val="nil"/>
              <w:tr2bl w:val="nil"/>
            </w:tcBorders>
            <w:noWrap w:val="0"/>
            <w:vAlign w:val="center"/>
          </w:tcPr>
          <w:p w14:paraId="39AC4B6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u w:val="single"/>
                <w:lang w:bidi="ar"/>
              </w:rPr>
            </w:pPr>
          </w:p>
        </w:tc>
        <w:tc>
          <w:tcPr>
            <w:tcW w:w="1406" w:type="pct"/>
            <w:gridSpan w:val="3"/>
            <w:tcBorders>
              <w:right w:val="single" w:color="auto" w:sz="12" w:space="0"/>
              <w:tl2br w:val="nil"/>
              <w:tr2bl w:val="nil"/>
            </w:tcBorders>
            <w:noWrap w:val="0"/>
            <w:vAlign w:val="center"/>
          </w:tcPr>
          <w:p w14:paraId="3CE4FCE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u w:val="single"/>
                <w:lang w:val="en-US" w:eastAsia="zh-CN" w:bidi="ar"/>
              </w:rPr>
            </w:pPr>
            <w:r>
              <w:rPr>
                <w:rFonts w:hint="eastAsia" w:ascii="Times New Roman" w:cs="Times New Roman"/>
                <w:b/>
                <w:bCs/>
                <w:color w:val="auto"/>
                <w:sz w:val="21"/>
                <w:szCs w:val="21"/>
                <w:highlight w:val="none"/>
                <w:u w:val="single"/>
                <w:lang w:val="en-US" w:eastAsia="zh-CN" w:bidi="ar"/>
              </w:rPr>
              <w:t>2025</w:t>
            </w:r>
            <w:r>
              <w:rPr>
                <w:rFonts w:hint="default" w:ascii="Times New Roman" w:hAnsi="Times New Roman" w:cs="Times New Roman"/>
                <w:b/>
                <w:bCs/>
                <w:color w:val="auto"/>
                <w:sz w:val="21"/>
                <w:szCs w:val="21"/>
                <w:highlight w:val="none"/>
                <w:u w:val="single"/>
                <w:lang w:bidi="ar"/>
              </w:rPr>
              <w:t>年</w:t>
            </w:r>
            <w:r>
              <w:rPr>
                <w:rFonts w:hint="eastAsia" w:ascii="Times New Roman" w:cs="Times New Roman"/>
                <w:b/>
                <w:bCs/>
                <w:color w:val="auto"/>
                <w:sz w:val="21"/>
                <w:szCs w:val="21"/>
                <w:highlight w:val="none"/>
                <w:u w:val="single"/>
                <w:lang w:val="en-US" w:eastAsia="zh-CN" w:bidi="ar"/>
              </w:rPr>
              <w:t>5</w:t>
            </w:r>
            <w:r>
              <w:rPr>
                <w:rFonts w:hint="default" w:ascii="Times New Roman" w:hAnsi="Times New Roman" w:cs="Times New Roman"/>
                <w:b/>
                <w:bCs/>
                <w:color w:val="auto"/>
                <w:sz w:val="21"/>
                <w:szCs w:val="21"/>
                <w:highlight w:val="none"/>
                <w:u w:val="single"/>
                <w:lang w:bidi="ar"/>
              </w:rPr>
              <w:t>月</w:t>
            </w:r>
            <w:r>
              <w:rPr>
                <w:rFonts w:hint="eastAsia" w:ascii="Times New Roman" w:cs="Times New Roman"/>
                <w:b/>
                <w:bCs/>
                <w:color w:val="auto"/>
                <w:sz w:val="21"/>
                <w:szCs w:val="21"/>
                <w:highlight w:val="none"/>
                <w:u w:val="single"/>
                <w:lang w:val="en-US" w:eastAsia="zh-CN" w:bidi="ar"/>
              </w:rPr>
              <w:t>28</w:t>
            </w:r>
            <w:r>
              <w:rPr>
                <w:rFonts w:hint="default" w:ascii="Times New Roman" w:hAnsi="Times New Roman" w:cs="Times New Roman"/>
                <w:b/>
                <w:bCs/>
                <w:color w:val="auto"/>
                <w:sz w:val="21"/>
                <w:szCs w:val="21"/>
                <w:highlight w:val="none"/>
                <w:u w:val="single"/>
                <w:lang w:bidi="ar"/>
              </w:rPr>
              <w:t>日</w:t>
            </w:r>
          </w:p>
        </w:tc>
        <w:tc>
          <w:tcPr>
            <w:tcW w:w="1541" w:type="pct"/>
            <w:gridSpan w:val="3"/>
            <w:tcBorders>
              <w:left w:val="single" w:color="auto" w:sz="12" w:space="0"/>
              <w:tl2br w:val="nil"/>
              <w:tr2bl w:val="nil"/>
            </w:tcBorders>
            <w:noWrap w:val="0"/>
            <w:vAlign w:val="center"/>
          </w:tcPr>
          <w:p w14:paraId="3D898BF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u w:val="single"/>
                <w:lang w:bidi="ar"/>
              </w:rPr>
            </w:pPr>
            <w:r>
              <w:rPr>
                <w:rFonts w:hint="eastAsia" w:ascii="Times New Roman" w:hAnsi="Times New Roman" w:cs="Times New Roman"/>
                <w:b/>
                <w:bCs/>
                <w:color w:val="auto"/>
                <w:sz w:val="21"/>
                <w:szCs w:val="21"/>
                <w:highlight w:val="none"/>
                <w:u w:val="single"/>
                <w:lang w:val="en-US" w:eastAsia="zh-CN" w:bidi="ar"/>
              </w:rPr>
              <w:t>2025</w:t>
            </w:r>
            <w:r>
              <w:rPr>
                <w:rFonts w:hint="default" w:ascii="Times New Roman" w:hAnsi="Times New Roman" w:cs="Times New Roman"/>
                <w:b/>
                <w:bCs/>
                <w:color w:val="auto"/>
                <w:sz w:val="21"/>
                <w:szCs w:val="21"/>
                <w:highlight w:val="none"/>
                <w:u w:val="single"/>
                <w:lang w:bidi="ar"/>
              </w:rPr>
              <w:t>年</w:t>
            </w:r>
            <w:r>
              <w:rPr>
                <w:rFonts w:hint="eastAsia" w:ascii="Times New Roman" w:hAnsi="Times New Roman" w:cs="Times New Roman"/>
                <w:b/>
                <w:bCs/>
                <w:color w:val="auto"/>
                <w:sz w:val="21"/>
                <w:szCs w:val="21"/>
                <w:highlight w:val="none"/>
                <w:u w:val="single"/>
                <w:lang w:val="en-US" w:eastAsia="zh-CN" w:bidi="ar"/>
              </w:rPr>
              <w:t>5</w:t>
            </w:r>
            <w:r>
              <w:rPr>
                <w:rFonts w:hint="default" w:ascii="Times New Roman" w:hAnsi="Times New Roman" w:cs="Times New Roman"/>
                <w:b/>
                <w:bCs/>
                <w:color w:val="auto"/>
                <w:sz w:val="21"/>
                <w:szCs w:val="21"/>
                <w:highlight w:val="none"/>
                <w:u w:val="single"/>
                <w:lang w:bidi="ar"/>
              </w:rPr>
              <w:t>月</w:t>
            </w:r>
            <w:r>
              <w:rPr>
                <w:rFonts w:hint="eastAsia" w:ascii="Times New Roman" w:hAnsi="Times New Roman" w:cs="Times New Roman"/>
                <w:b/>
                <w:bCs/>
                <w:color w:val="auto"/>
                <w:sz w:val="21"/>
                <w:szCs w:val="21"/>
                <w:highlight w:val="none"/>
                <w:u w:val="single"/>
                <w:lang w:val="en-US" w:eastAsia="zh-CN" w:bidi="ar"/>
              </w:rPr>
              <w:t>29</w:t>
            </w:r>
            <w:r>
              <w:rPr>
                <w:rFonts w:hint="default" w:ascii="Times New Roman" w:hAnsi="Times New Roman" w:cs="Times New Roman"/>
                <w:b/>
                <w:bCs/>
                <w:color w:val="auto"/>
                <w:sz w:val="21"/>
                <w:szCs w:val="21"/>
                <w:highlight w:val="none"/>
                <w:u w:val="single"/>
                <w:lang w:bidi="ar"/>
              </w:rPr>
              <w:t>日</w:t>
            </w:r>
          </w:p>
        </w:tc>
      </w:tr>
      <w:tr w14:paraId="1EC125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11" w:type="pct"/>
            <w:vMerge w:val="continue"/>
            <w:tcBorders>
              <w:tl2br w:val="nil"/>
              <w:tr2bl w:val="nil"/>
            </w:tcBorders>
            <w:noWrap w:val="0"/>
            <w:vAlign w:val="center"/>
          </w:tcPr>
          <w:p w14:paraId="4A288B5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u w:val="single"/>
              </w:rPr>
            </w:pPr>
          </w:p>
        </w:tc>
        <w:tc>
          <w:tcPr>
            <w:tcW w:w="941" w:type="pct"/>
            <w:vMerge w:val="continue"/>
            <w:tcBorders>
              <w:tl2br w:val="nil"/>
              <w:tr2bl w:val="nil"/>
            </w:tcBorders>
            <w:noWrap w:val="0"/>
            <w:vAlign w:val="center"/>
          </w:tcPr>
          <w:p w14:paraId="61FD0F8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u w:val="single"/>
              </w:rPr>
            </w:pPr>
          </w:p>
        </w:tc>
        <w:tc>
          <w:tcPr>
            <w:tcW w:w="491" w:type="pct"/>
            <w:tcBorders>
              <w:tl2br w:val="nil"/>
              <w:tr2bl w:val="nil"/>
            </w:tcBorders>
            <w:noWrap w:val="0"/>
            <w:vAlign w:val="center"/>
          </w:tcPr>
          <w:p w14:paraId="4BC5FF8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u w:val="single"/>
                <w:lang w:bidi="ar"/>
              </w:rPr>
            </w:pPr>
            <w:r>
              <w:rPr>
                <w:rFonts w:hint="default" w:ascii="Times New Roman" w:hAnsi="Times New Roman" w:cs="Times New Roman"/>
                <w:b/>
                <w:bCs/>
                <w:color w:val="auto"/>
                <w:kern w:val="0"/>
                <w:sz w:val="21"/>
                <w:szCs w:val="21"/>
                <w:highlight w:val="none"/>
                <w:u w:val="single"/>
              </w:rPr>
              <w:t>监测值</w:t>
            </w:r>
          </w:p>
        </w:tc>
        <w:tc>
          <w:tcPr>
            <w:tcW w:w="491" w:type="pct"/>
            <w:tcBorders>
              <w:tl2br w:val="nil"/>
              <w:tr2bl w:val="nil"/>
            </w:tcBorders>
            <w:noWrap w:val="0"/>
            <w:vAlign w:val="center"/>
          </w:tcPr>
          <w:p w14:paraId="414A316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highlight w:val="none"/>
                <w:u w:val="single"/>
                <w:lang w:eastAsia="zh-CN"/>
              </w:rPr>
            </w:pPr>
            <w:r>
              <w:rPr>
                <w:rFonts w:hint="default" w:ascii="Times New Roman" w:hAnsi="Times New Roman" w:cs="Times New Roman"/>
                <w:b/>
                <w:bCs/>
                <w:color w:val="auto"/>
                <w:kern w:val="0"/>
                <w:sz w:val="21"/>
                <w:szCs w:val="21"/>
                <w:highlight w:val="none"/>
                <w:u w:val="single"/>
                <w:lang w:eastAsia="zh-CN"/>
              </w:rPr>
              <w:t>标准值</w:t>
            </w:r>
          </w:p>
        </w:tc>
        <w:tc>
          <w:tcPr>
            <w:tcW w:w="423" w:type="pct"/>
            <w:tcBorders>
              <w:tl2br w:val="nil"/>
              <w:tr2bl w:val="nil"/>
            </w:tcBorders>
            <w:noWrap w:val="0"/>
            <w:vAlign w:val="center"/>
          </w:tcPr>
          <w:p w14:paraId="7A71138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highlight w:val="none"/>
                <w:u w:val="single"/>
                <w:lang w:eastAsia="zh-CN"/>
              </w:rPr>
            </w:pPr>
            <w:r>
              <w:rPr>
                <w:rFonts w:hint="default" w:ascii="Times New Roman" w:hAnsi="Times New Roman" w:cs="Times New Roman"/>
                <w:b/>
                <w:bCs/>
                <w:color w:val="auto"/>
                <w:kern w:val="0"/>
                <w:sz w:val="21"/>
                <w:szCs w:val="21"/>
                <w:highlight w:val="none"/>
                <w:u w:val="single"/>
                <w:lang w:eastAsia="zh-CN"/>
              </w:rPr>
              <w:t>达标情况</w:t>
            </w:r>
          </w:p>
        </w:tc>
        <w:tc>
          <w:tcPr>
            <w:tcW w:w="499" w:type="pct"/>
            <w:tcBorders>
              <w:tl2br w:val="nil"/>
              <w:tr2bl w:val="nil"/>
            </w:tcBorders>
            <w:noWrap w:val="0"/>
            <w:vAlign w:val="center"/>
          </w:tcPr>
          <w:p w14:paraId="4C4AB69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夜间</w:t>
            </w:r>
            <w:r>
              <w:rPr>
                <w:rFonts w:hint="default" w:ascii="Times New Roman" w:hAnsi="Times New Roman" w:cs="Times New Roman"/>
                <w:b/>
                <w:bCs/>
                <w:color w:val="auto"/>
                <w:kern w:val="0"/>
                <w:sz w:val="21"/>
                <w:szCs w:val="21"/>
                <w:highlight w:val="none"/>
                <w:u w:val="single"/>
              </w:rPr>
              <w:t>监测值</w:t>
            </w:r>
          </w:p>
        </w:tc>
        <w:tc>
          <w:tcPr>
            <w:tcW w:w="639" w:type="pct"/>
            <w:tcBorders>
              <w:tl2br w:val="nil"/>
              <w:tr2bl w:val="nil"/>
            </w:tcBorders>
            <w:noWrap w:val="0"/>
            <w:vAlign w:val="center"/>
          </w:tcPr>
          <w:p w14:paraId="1E16564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kern w:val="0"/>
                <w:sz w:val="21"/>
                <w:szCs w:val="21"/>
                <w:highlight w:val="none"/>
                <w:u w:val="single"/>
                <w:lang w:eastAsia="zh-CN"/>
              </w:rPr>
              <w:t>标准值</w:t>
            </w:r>
          </w:p>
        </w:tc>
        <w:tc>
          <w:tcPr>
            <w:tcW w:w="402" w:type="pct"/>
            <w:tcBorders>
              <w:tl2br w:val="nil"/>
              <w:tr2bl w:val="nil"/>
            </w:tcBorders>
            <w:noWrap w:val="0"/>
            <w:vAlign w:val="center"/>
          </w:tcPr>
          <w:p w14:paraId="2393463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kern w:val="0"/>
                <w:sz w:val="21"/>
                <w:szCs w:val="21"/>
                <w:highlight w:val="none"/>
                <w:u w:val="single"/>
                <w:lang w:eastAsia="zh-CN"/>
              </w:rPr>
              <w:t>达标情况</w:t>
            </w:r>
          </w:p>
        </w:tc>
      </w:tr>
      <w:tr w14:paraId="69DA2B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11" w:type="pct"/>
            <w:vMerge w:val="restart"/>
            <w:tcBorders>
              <w:tl2br w:val="nil"/>
              <w:tr2bl w:val="nil"/>
            </w:tcBorders>
            <w:noWrap w:val="0"/>
            <w:vAlign w:val="center"/>
          </w:tcPr>
          <w:p w14:paraId="2AD77978">
            <w:pPr>
              <w:pStyle w:val="20"/>
              <w:ind w:firstLine="0" w:firstLineChars="0"/>
              <w:jc w:val="center"/>
              <w:rPr>
                <w:rFonts w:hint="default" w:ascii="Times New Roman" w:hAnsi="Times New Roman" w:cs="Times New Roman"/>
                <w:color w:val="auto"/>
                <w:sz w:val="21"/>
                <w:szCs w:val="21"/>
                <w:highlight w:val="none"/>
                <w:u w:val="single"/>
                <w:lang w:val="en-US"/>
              </w:rPr>
            </w:pPr>
            <w:r>
              <w:rPr>
                <w:rFonts w:hint="eastAsia" w:ascii="Times New Roman" w:hAnsi="Times New Roman" w:eastAsia="宋体" w:cs="Times New Roman"/>
                <w:color w:val="auto"/>
                <w:sz w:val="21"/>
                <w:szCs w:val="21"/>
                <w:highlight w:val="none"/>
                <w:u w:val="single"/>
                <w:lang w:val="en-US" w:eastAsia="zh-CN"/>
              </w:rPr>
              <w:t>N1大岭脚村</w:t>
            </w:r>
          </w:p>
        </w:tc>
        <w:tc>
          <w:tcPr>
            <w:tcW w:w="941" w:type="pct"/>
            <w:tcBorders>
              <w:tl2br w:val="nil"/>
              <w:tr2bl w:val="nil"/>
            </w:tcBorders>
            <w:noWrap w:val="0"/>
            <w:vAlign w:val="center"/>
          </w:tcPr>
          <w:p w14:paraId="0EDCEFF6">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u w:val="single"/>
                <w:lang w:eastAsia="zh-CN"/>
              </w:rPr>
            </w:pPr>
            <w:r>
              <w:rPr>
                <w:rFonts w:hint="eastAsia" w:ascii="Times New Roman" w:cs="Times New Roman"/>
                <w:color w:val="auto"/>
                <w:sz w:val="21"/>
                <w:szCs w:val="21"/>
                <w:highlight w:val="none"/>
                <w:u w:val="single"/>
                <w:lang w:eastAsia="zh-CN"/>
              </w:rPr>
              <w:t>昼间</w:t>
            </w:r>
          </w:p>
        </w:tc>
        <w:tc>
          <w:tcPr>
            <w:tcW w:w="491" w:type="pct"/>
            <w:tcBorders>
              <w:tl2br w:val="nil"/>
              <w:tr2bl w:val="nil"/>
            </w:tcBorders>
            <w:noWrap w:val="0"/>
            <w:vAlign w:val="center"/>
          </w:tcPr>
          <w:p w14:paraId="4EC41C3A">
            <w:pPr>
              <w:jc w:val="center"/>
              <w:rPr>
                <w:rFonts w:hint="default" w:ascii="Times New Roman" w:hAnsi="Times New Roman" w:eastAsia="宋体" w:cs="Times New Roman"/>
                <w:color w:val="auto"/>
                <w:sz w:val="21"/>
                <w:szCs w:val="21"/>
                <w:highlight w:val="none"/>
                <w:u w:val="single"/>
                <w:lang w:val="en-US" w:eastAsia="zh-CN" w:bidi="ar"/>
              </w:rPr>
            </w:pPr>
            <w:r>
              <w:rPr>
                <w:rFonts w:hint="eastAsia" w:ascii="Times New Roman" w:cs="Times New Roman"/>
                <w:color w:val="auto"/>
                <w:highlight w:val="none"/>
                <w:u w:val="single"/>
                <w:lang w:val="en-US" w:eastAsia="zh-CN"/>
              </w:rPr>
              <w:t>****</w:t>
            </w:r>
          </w:p>
        </w:tc>
        <w:tc>
          <w:tcPr>
            <w:tcW w:w="491" w:type="pct"/>
            <w:tcBorders>
              <w:tl2br w:val="nil"/>
              <w:tr2bl w:val="nil"/>
            </w:tcBorders>
            <w:noWrap w:val="0"/>
            <w:vAlign w:val="center"/>
          </w:tcPr>
          <w:p w14:paraId="772DBCB2">
            <w:pPr>
              <w:keepNext w:val="0"/>
              <w:keepLines w:val="0"/>
              <w:suppressLineNumbers w:val="0"/>
              <w:tabs>
                <w:tab w:val="left" w:pos="900"/>
              </w:tabs>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u w:val="single"/>
                <w:lang w:val="en-US" w:eastAsia="zh-CN" w:bidi="ar"/>
              </w:rPr>
            </w:pPr>
            <w:r>
              <w:rPr>
                <w:rFonts w:hint="default" w:ascii="Times New Roman" w:hAnsi="Times New Roman" w:cs="Times New Roman"/>
                <w:color w:val="auto"/>
                <w:sz w:val="21"/>
                <w:szCs w:val="21"/>
                <w:highlight w:val="none"/>
                <w:u w:val="single"/>
                <w:lang w:val="en-US" w:eastAsia="zh-CN" w:bidi="ar"/>
              </w:rPr>
              <w:t>70</w:t>
            </w:r>
          </w:p>
        </w:tc>
        <w:tc>
          <w:tcPr>
            <w:tcW w:w="423" w:type="pct"/>
            <w:tcBorders>
              <w:tl2br w:val="nil"/>
              <w:tr2bl w:val="nil"/>
            </w:tcBorders>
            <w:noWrap w:val="0"/>
            <w:vAlign w:val="center"/>
          </w:tcPr>
          <w:p w14:paraId="44E578DF">
            <w:pPr>
              <w:keepNext w:val="0"/>
              <w:keepLines w:val="0"/>
              <w:suppressLineNumbers w:val="0"/>
              <w:tabs>
                <w:tab w:val="left" w:pos="900"/>
              </w:tabs>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u w:val="single"/>
                <w:lang w:val="en-US" w:eastAsia="zh-CN" w:bidi="ar"/>
              </w:rPr>
            </w:pPr>
            <w:r>
              <w:rPr>
                <w:rFonts w:hint="default" w:ascii="Times New Roman" w:hAnsi="Times New Roman" w:cs="Times New Roman"/>
                <w:color w:val="auto"/>
                <w:sz w:val="21"/>
                <w:szCs w:val="21"/>
                <w:highlight w:val="none"/>
                <w:u w:val="single"/>
                <w:lang w:val="en-US" w:eastAsia="zh-CN" w:bidi="ar"/>
              </w:rPr>
              <w:t>达标</w:t>
            </w:r>
          </w:p>
        </w:tc>
        <w:tc>
          <w:tcPr>
            <w:tcW w:w="882" w:type="dxa"/>
            <w:tcBorders>
              <w:tl2br w:val="nil"/>
              <w:tr2bl w:val="nil"/>
            </w:tcBorders>
            <w:noWrap w:val="0"/>
            <w:vAlign w:val="center"/>
          </w:tcPr>
          <w:p w14:paraId="01FEA9B1">
            <w:pPr>
              <w:jc w:val="center"/>
              <w:rPr>
                <w:rFonts w:hint="default" w:ascii="Times New Roman" w:hAnsi="Times New Roman" w:eastAsia="宋体" w:cs="Times New Roman"/>
                <w:color w:val="auto"/>
                <w:sz w:val="21"/>
                <w:szCs w:val="21"/>
                <w:highlight w:val="none"/>
                <w:u w:val="single"/>
                <w:lang w:val="en-US" w:eastAsia="zh-CN" w:bidi="ar"/>
              </w:rPr>
            </w:pPr>
            <w:r>
              <w:rPr>
                <w:rFonts w:hint="eastAsia" w:ascii="Times New Roman" w:cs="Times New Roman"/>
                <w:color w:val="auto"/>
                <w:highlight w:val="none"/>
                <w:u w:val="single"/>
                <w:lang w:val="en-US" w:eastAsia="zh-CN"/>
              </w:rPr>
              <w:t>****</w:t>
            </w:r>
          </w:p>
        </w:tc>
        <w:tc>
          <w:tcPr>
            <w:tcW w:w="1128" w:type="dxa"/>
            <w:tcBorders>
              <w:tl2br w:val="nil"/>
              <w:tr2bl w:val="nil"/>
            </w:tcBorders>
            <w:noWrap w:val="0"/>
            <w:vAlign w:val="center"/>
          </w:tcPr>
          <w:p w14:paraId="50193DB4">
            <w:pPr>
              <w:keepNext w:val="0"/>
              <w:keepLines w:val="0"/>
              <w:suppressLineNumbers w:val="0"/>
              <w:tabs>
                <w:tab w:val="left" w:pos="900"/>
              </w:tabs>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u w:val="single"/>
                <w:lang w:val="en-US" w:eastAsia="zh-CN" w:bidi="ar"/>
              </w:rPr>
            </w:pPr>
            <w:r>
              <w:rPr>
                <w:rFonts w:hint="default" w:ascii="Times New Roman" w:hAnsi="Times New Roman" w:cs="Times New Roman"/>
                <w:color w:val="auto"/>
                <w:sz w:val="21"/>
                <w:szCs w:val="21"/>
                <w:highlight w:val="none"/>
                <w:u w:val="single"/>
                <w:lang w:val="en-US" w:eastAsia="zh-CN" w:bidi="ar"/>
              </w:rPr>
              <w:t>70</w:t>
            </w:r>
          </w:p>
        </w:tc>
        <w:tc>
          <w:tcPr>
            <w:tcW w:w="710" w:type="dxa"/>
            <w:tcBorders>
              <w:tl2br w:val="nil"/>
              <w:tr2bl w:val="nil"/>
            </w:tcBorders>
            <w:noWrap w:val="0"/>
            <w:vAlign w:val="center"/>
          </w:tcPr>
          <w:p w14:paraId="3C71B743">
            <w:pPr>
              <w:keepNext w:val="0"/>
              <w:keepLines w:val="0"/>
              <w:suppressLineNumbers w:val="0"/>
              <w:tabs>
                <w:tab w:val="left" w:pos="900"/>
              </w:tabs>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u w:val="single"/>
                <w:lang w:val="en-US" w:eastAsia="zh-CN" w:bidi="ar"/>
              </w:rPr>
            </w:pPr>
            <w:r>
              <w:rPr>
                <w:rFonts w:hint="default" w:ascii="Times New Roman" w:hAnsi="Times New Roman" w:cs="Times New Roman"/>
                <w:color w:val="auto"/>
                <w:sz w:val="21"/>
                <w:szCs w:val="21"/>
                <w:highlight w:val="none"/>
                <w:u w:val="single"/>
                <w:lang w:val="en-US" w:eastAsia="zh-CN" w:bidi="ar"/>
              </w:rPr>
              <w:t>达标</w:t>
            </w:r>
          </w:p>
        </w:tc>
      </w:tr>
      <w:tr w14:paraId="451DBA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11" w:type="pct"/>
            <w:vMerge w:val="continue"/>
            <w:tcBorders>
              <w:tl2br w:val="nil"/>
              <w:tr2bl w:val="nil"/>
            </w:tcBorders>
            <w:noWrap w:val="0"/>
            <w:vAlign w:val="center"/>
          </w:tcPr>
          <w:p w14:paraId="6F6AD35E">
            <w:pPr>
              <w:pStyle w:val="20"/>
              <w:ind w:firstLine="0" w:firstLineChars="0"/>
              <w:jc w:val="center"/>
              <w:rPr>
                <w:rFonts w:hint="eastAsia" w:ascii="Times New Roman" w:hAnsi="Times New Roman" w:eastAsia="宋体" w:cs="Times New Roman"/>
                <w:color w:val="auto"/>
                <w:sz w:val="21"/>
                <w:szCs w:val="21"/>
                <w:highlight w:val="none"/>
                <w:u w:val="single"/>
                <w:lang w:val="en-US" w:eastAsia="zh-CN"/>
              </w:rPr>
            </w:pPr>
          </w:p>
        </w:tc>
        <w:tc>
          <w:tcPr>
            <w:tcW w:w="941" w:type="pct"/>
            <w:tcBorders>
              <w:tl2br w:val="nil"/>
              <w:tr2bl w:val="nil"/>
            </w:tcBorders>
            <w:noWrap w:val="0"/>
            <w:vAlign w:val="center"/>
          </w:tcPr>
          <w:p w14:paraId="4F69EAFF">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u w:val="single"/>
                <w:lang w:eastAsia="zh-CN"/>
              </w:rPr>
            </w:pPr>
            <w:r>
              <w:rPr>
                <w:rFonts w:hint="eastAsia" w:ascii="Times New Roman" w:cs="Times New Roman"/>
                <w:color w:val="auto"/>
                <w:sz w:val="21"/>
                <w:szCs w:val="21"/>
                <w:highlight w:val="none"/>
                <w:u w:val="single"/>
                <w:lang w:eastAsia="zh-CN"/>
              </w:rPr>
              <w:t>夜间</w:t>
            </w:r>
          </w:p>
        </w:tc>
        <w:tc>
          <w:tcPr>
            <w:tcW w:w="491" w:type="pct"/>
            <w:tcBorders>
              <w:tl2br w:val="nil"/>
              <w:tr2bl w:val="nil"/>
            </w:tcBorders>
            <w:shd w:val="clear" w:color="auto" w:fill="auto"/>
            <w:noWrap w:val="0"/>
            <w:vAlign w:val="center"/>
          </w:tcPr>
          <w:p w14:paraId="45B0A719">
            <w:pPr>
              <w:jc w:val="center"/>
              <w:rPr>
                <w:rFonts w:hint="eastAsia" w:ascii="Times New Roman" w:hAnsi="Times New Roman" w:eastAsia="宋体" w:cs="Times New Roman"/>
                <w:color w:val="auto"/>
                <w:sz w:val="21"/>
                <w:szCs w:val="21"/>
                <w:highlight w:val="none"/>
                <w:u w:val="single"/>
                <w:lang w:val="en-US" w:eastAsia="zh-CN" w:bidi="ar"/>
              </w:rPr>
            </w:pPr>
            <w:r>
              <w:rPr>
                <w:rFonts w:hint="eastAsia" w:ascii="Times New Roman" w:cs="Times New Roman"/>
                <w:color w:val="auto"/>
                <w:highlight w:val="none"/>
                <w:u w:val="single"/>
                <w:lang w:val="en-US" w:eastAsia="zh-CN"/>
              </w:rPr>
              <w:t>****</w:t>
            </w:r>
          </w:p>
        </w:tc>
        <w:tc>
          <w:tcPr>
            <w:tcW w:w="491" w:type="pct"/>
            <w:tcBorders>
              <w:tl2br w:val="nil"/>
              <w:tr2bl w:val="nil"/>
            </w:tcBorders>
            <w:shd w:val="clear" w:color="auto" w:fill="auto"/>
            <w:noWrap w:val="0"/>
            <w:vAlign w:val="center"/>
          </w:tcPr>
          <w:p w14:paraId="365344D1">
            <w:pPr>
              <w:keepNext w:val="0"/>
              <w:keepLines w:val="0"/>
              <w:suppressLineNumbers w:val="0"/>
              <w:tabs>
                <w:tab w:val="left" w:pos="900"/>
              </w:tabs>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u w:val="single"/>
                <w:lang w:val="en-US" w:eastAsia="zh-CN" w:bidi="ar"/>
              </w:rPr>
            </w:pPr>
            <w:r>
              <w:rPr>
                <w:rFonts w:hint="default" w:ascii="Times New Roman" w:hAnsi="Times New Roman" w:cs="Times New Roman"/>
                <w:color w:val="auto"/>
                <w:sz w:val="21"/>
                <w:szCs w:val="21"/>
                <w:highlight w:val="none"/>
                <w:u w:val="single"/>
                <w:lang w:val="en-US" w:eastAsia="zh-CN" w:bidi="ar"/>
              </w:rPr>
              <w:t>55</w:t>
            </w:r>
          </w:p>
        </w:tc>
        <w:tc>
          <w:tcPr>
            <w:tcW w:w="423" w:type="pct"/>
            <w:tcBorders>
              <w:tl2br w:val="nil"/>
              <w:tr2bl w:val="nil"/>
            </w:tcBorders>
            <w:shd w:val="clear" w:color="auto" w:fill="auto"/>
            <w:noWrap w:val="0"/>
            <w:vAlign w:val="center"/>
          </w:tcPr>
          <w:p w14:paraId="7F152CFD">
            <w:pPr>
              <w:keepNext w:val="0"/>
              <w:keepLines w:val="0"/>
              <w:suppressLineNumbers w:val="0"/>
              <w:tabs>
                <w:tab w:val="left" w:pos="900"/>
              </w:tabs>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u w:val="single"/>
                <w:lang w:val="en-US" w:eastAsia="zh-CN" w:bidi="ar"/>
              </w:rPr>
            </w:pPr>
            <w:r>
              <w:rPr>
                <w:rFonts w:hint="default" w:ascii="Times New Roman" w:hAnsi="Times New Roman" w:cs="Times New Roman"/>
                <w:color w:val="auto"/>
                <w:sz w:val="21"/>
                <w:szCs w:val="21"/>
                <w:highlight w:val="none"/>
                <w:u w:val="single"/>
                <w:lang w:val="en-US" w:eastAsia="zh-CN" w:bidi="ar"/>
              </w:rPr>
              <w:t>达标</w:t>
            </w:r>
          </w:p>
        </w:tc>
        <w:tc>
          <w:tcPr>
            <w:tcW w:w="882" w:type="dxa"/>
            <w:tcBorders>
              <w:tl2br w:val="nil"/>
              <w:tr2bl w:val="nil"/>
            </w:tcBorders>
            <w:noWrap w:val="0"/>
            <w:vAlign w:val="center"/>
          </w:tcPr>
          <w:p w14:paraId="0271CE0F">
            <w:pPr>
              <w:jc w:val="center"/>
              <w:rPr>
                <w:rFonts w:hint="default" w:ascii="Times New Roman" w:cs="Times New Roman"/>
                <w:color w:val="auto"/>
                <w:sz w:val="21"/>
                <w:szCs w:val="21"/>
                <w:highlight w:val="none"/>
                <w:u w:val="single"/>
                <w:lang w:val="en-US" w:eastAsia="zh-CN" w:bidi="ar"/>
              </w:rPr>
            </w:pPr>
            <w:r>
              <w:rPr>
                <w:rFonts w:hint="eastAsia" w:ascii="Times New Roman" w:cs="Times New Roman"/>
                <w:color w:val="auto"/>
                <w:highlight w:val="none"/>
                <w:u w:val="single"/>
                <w:lang w:val="en-US" w:eastAsia="zh-CN"/>
              </w:rPr>
              <w:t>****</w:t>
            </w:r>
          </w:p>
        </w:tc>
        <w:tc>
          <w:tcPr>
            <w:tcW w:w="1128" w:type="dxa"/>
            <w:tcBorders>
              <w:tl2br w:val="nil"/>
              <w:tr2bl w:val="nil"/>
            </w:tcBorders>
            <w:noWrap w:val="0"/>
            <w:vAlign w:val="center"/>
          </w:tcPr>
          <w:p w14:paraId="578A447D">
            <w:pPr>
              <w:keepNext w:val="0"/>
              <w:keepLines w:val="0"/>
              <w:suppressLineNumbers w:val="0"/>
              <w:tabs>
                <w:tab w:val="left" w:pos="900"/>
              </w:tabs>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u w:val="single"/>
                <w:lang w:val="en-US" w:eastAsia="zh-CN" w:bidi="ar"/>
              </w:rPr>
            </w:pPr>
            <w:r>
              <w:rPr>
                <w:rFonts w:hint="default" w:ascii="Times New Roman" w:hAnsi="Times New Roman" w:cs="Times New Roman"/>
                <w:color w:val="auto"/>
                <w:sz w:val="21"/>
                <w:szCs w:val="21"/>
                <w:highlight w:val="none"/>
                <w:u w:val="single"/>
                <w:lang w:val="en-US" w:eastAsia="zh-CN" w:bidi="ar"/>
              </w:rPr>
              <w:t>55</w:t>
            </w:r>
          </w:p>
        </w:tc>
        <w:tc>
          <w:tcPr>
            <w:tcW w:w="710" w:type="dxa"/>
            <w:tcBorders>
              <w:tl2br w:val="nil"/>
              <w:tr2bl w:val="nil"/>
            </w:tcBorders>
            <w:noWrap w:val="0"/>
            <w:vAlign w:val="center"/>
          </w:tcPr>
          <w:p w14:paraId="5FB15EFF">
            <w:pPr>
              <w:keepNext w:val="0"/>
              <w:keepLines w:val="0"/>
              <w:suppressLineNumbers w:val="0"/>
              <w:tabs>
                <w:tab w:val="left" w:pos="900"/>
              </w:tabs>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u w:val="single"/>
                <w:lang w:val="en-US" w:eastAsia="zh-CN" w:bidi="ar"/>
              </w:rPr>
            </w:pPr>
            <w:r>
              <w:rPr>
                <w:rFonts w:hint="default" w:ascii="Times New Roman" w:hAnsi="Times New Roman" w:cs="Times New Roman"/>
                <w:color w:val="auto"/>
                <w:sz w:val="21"/>
                <w:szCs w:val="21"/>
                <w:highlight w:val="none"/>
                <w:u w:val="single"/>
                <w:lang w:val="en-US" w:eastAsia="zh-CN" w:bidi="ar"/>
              </w:rPr>
              <w:t>达标</w:t>
            </w:r>
          </w:p>
        </w:tc>
      </w:tr>
      <w:tr w14:paraId="68B02C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11" w:type="pct"/>
            <w:vMerge w:val="restart"/>
            <w:tcBorders>
              <w:tl2br w:val="nil"/>
              <w:tr2bl w:val="nil"/>
            </w:tcBorders>
            <w:noWrap w:val="0"/>
            <w:vAlign w:val="center"/>
          </w:tcPr>
          <w:p w14:paraId="0AB54AAB">
            <w:pPr>
              <w:pStyle w:val="20"/>
              <w:ind w:firstLine="0" w:firstLineChars="0"/>
              <w:jc w:val="center"/>
              <w:rPr>
                <w:rFonts w:hint="default" w:ascii="Times New Roman" w:hAnsi="Times New Roman" w:eastAsia="宋体" w:cs="Times New Roman"/>
                <w:bCs/>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N2大垌口村</w:t>
            </w:r>
          </w:p>
        </w:tc>
        <w:tc>
          <w:tcPr>
            <w:tcW w:w="941" w:type="pct"/>
            <w:tcBorders>
              <w:tl2br w:val="nil"/>
              <w:tr2bl w:val="nil"/>
            </w:tcBorders>
            <w:noWrap w:val="0"/>
            <w:vAlign w:val="center"/>
          </w:tcPr>
          <w:p w14:paraId="335565E7">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u w:val="single"/>
              </w:rPr>
            </w:pPr>
            <w:r>
              <w:rPr>
                <w:rFonts w:hint="eastAsia" w:ascii="Times New Roman" w:cs="Times New Roman"/>
                <w:color w:val="auto"/>
                <w:sz w:val="21"/>
                <w:szCs w:val="21"/>
                <w:highlight w:val="none"/>
                <w:u w:val="single"/>
                <w:lang w:eastAsia="zh-CN"/>
              </w:rPr>
              <w:t>昼间</w:t>
            </w:r>
          </w:p>
        </w:tc>
        <w:tc>
          <w:tcPr>
            <w:tcW w:w="491" w:type="pct"/>
            <w:tcBorders>
              <w:tl2br w:val="nil"/>
              <w:tr2bl w:val="nil"/>
            </w:tcBorders>
            <w:noWrap w:val="0"/>
            <w:vAlign w:val="center"/>
          </w:tcPr>
          <w:p w14:paraId="27397FC4">
            <w:pPr>
              <w:jc w:val="center"/>
              <w:rPr>
                <w:rFonts w:hint="default" w:ascii="Times New Roman" w:hAnsi="Times New Roman" w:eastAsia="宋体" w:cs="Times New Roman"/>
                <w:color w:val="auto"/>
                <w:kern w:val="0"/>
                <w:sz w:val="21"/>
                <w:szCs w:val="21"/>
                <w:highlight w:val="none"/>
                <w:u w:val="single"/>
                <w:lang w:val="en-US" w:eastAsia="zh-CN"/>
              </w:rPr>
            </w:pPr>
            <w:r>
              <w:rPr>
                <w:rFonts w:hint="eastAsia" w:ascii="Times New Roman" w:cs="Times New Roman"/>
                <w:color w:val="auto"/>
                <w:highlight w:val="none"/>
                <w:u w:val="single"/>
                <w:lang w:val="en-US" w:eastAsia="zh-CN"/>
              </w:rPr>
              <w:t>****</w:t>
            </w:r>
          </w:p>
        </w:tc>
        <w:tc>
          <w:tcPr>
            <w:tcW w:w="491" w:type="pct"/>
            <w:tcBorders>
              <w:tl2br w:val="nil"/>
              <w:tr2bl w:val="nil"/>
            </w:tcBorders>
            <w:noWrap w:val="0"/>
            <w:vAlign w:val="center"/>
          </w:tcPr>
          <w:p w14:paraId="7BF983D8">
            <w:pPr>
              <w:keepNext w:val="0"/>
              <w:keepLines w:val="0"/>
              <w:suppressLineNumbers w:val="0"/>
              <w:tabs>
                <w:tab w:val="left" w:pos="900"/>
              </w:tabs>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u w:val="single"/>
                <w:lang w:val="en-US" w:eastAsia="zh-CN" w:bidi="ar"/>
              </w:rPr>
            </w:pPr>
            <w:r>
              <w:rPr>
                <w:rFonts w:hint="eastAsia" w:ascii="Times New Roman" w:cs="Times New Roman"/>
                <w:color w:val="auto"/>
                <w:sz w:val="21"/>
                <w:szCs w:val="21"/>
                <w:highlight w:val="none"/>
                <w:u w:val="single"/>
                <w:lang w:val="en-US" w:eastAsia="zh-CN" w:bidi="ar"/>
              </w:rPr>
              <w:t>60</w:t>
            </w:r>
          </w:p>
        </w:tc>
        <w:tc>
          <w:tcPr>
            <w:tcW w:w="423" w:type="pct"/>
            <w:tcBorders>
              <w:tl2br w:val="nil"/>
              <w:tr2bl w:val="nil"/>
            </w:tcBorders>
            <w:noWrap w:val="0"/>
            <w:vAlign w:val="center"/>
          </w:tcPr>
          <w:p w14:paraId="63FDEB22">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u w:val="single"/>
                <w:lang w:val="en-US" w:eastAsia="zh-CN" w:bidi="ar"/>
              </w:rPr>
            </w:pPr>
            <w:r>
              <w:rPr>
                <w:rFonts w:hint="default" w:ascii="Times New Roman" w:hAnsi="Times New Roman" w:cs="Times New Roman"/>
                <w:color w:val="auto"/>
                <w:sz w:val="21"/>
                <w:szCs w:val="21"/>
                <w:highlight w:val="none"/>
                <w:u w:val="single"/>
                <w:lang w:val="en-US" w:eastAsia="zh-CN" w:bidi="ar"/>
              </w:rPr>
              <w:t>达标</w:t>
            </w:r>
          </w:p>
        </w:tc>
        <w:tc>
          <w:tcPr>
            <w:tcW w:w="882" w:type="dxa"/>
            <w:tcBorders>
              <w:tl2br w:val="nil"/>
              <w:tr2bl w:val="nil"/>
            </w:tcBorders>
            <w:noWrap w:val="0"/>
            <w:vAlign w:val="center"/>
          </w:tcPr>
          <w:p w14:paraId="01CB0BC0">
            <w:pPr>
              <w:jc w:val="center"/>
              <w:rPr>
                <w:rFonts w:hint="default" w:ascii="Times New Roman" w:hAnsi="Times New Roman" w:eastAsia="宋体" w:cs="Times New Roman"/>
                <w:color w:val="auto"/>
                <w:kern w:val="0"/>
                <w:sz w:val="21"/>
                <w:szCs w:val="21"/>
                <w:highlight w:val="none"/>
                <w:u w:val="single"/>
                <w:lang w:val="en-US" w:eastAsia="zh-CN"/>
              </w:rPr>
            </w:pPr>
            <w:r>
              <w:rPr>
                <w:rFonts w:hint="eastAsia" w:ascii="Times New Roman" w:cs="Times New Roman"/>
                <w:color w:val="auto"/>
                <w:highlight w:val="none"/>
                <w:u w:val="single"/>
                <w:lang w:val="en-US" w:eastAsia="zh-CN"/>
              </w:rPr>
              <w:t>****</w:t>
            </w:r>
          </w:p>
        </w:tc>
        <w:tc>
          <w:tcPr>
            <w:tcW w:w="1128" w:type="dxa"/>
            <w:tcBorders>
              <w:tl2br w:val="nil"/>
              <w:tr2bl w:val="nil"/>
            </w:tcBorders>
            <w:noWrap w:val="0"/>
            <w:vAlign w:val="center"/>
          </w:tcPr>
          <w:p w14:paraId="6C1E6CD9">
            <w:pPr>
              <w:keepNext w:val="0"/>
              <w:keepLines w:val="0"/>
              <w:suppressLineNumbers w:val="0"/>
              <w:tabs>
                <w:tab w:val="left" w:pos="900"/>
              </w:tabs>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u w:val="single"/>
                <w:lang w:val="en-US" w:eastAsia="zh-CN" w:bidi="ar"/>
              </w:rPr>
            </w:pPr>
            <w:r>
              <w:rPr>
                <w:rFonts w:hint="eastAsia" w:ascii="Times New Roman" w:cs="Times New Roman"/>
                <w:color w:val="auto"/>
                <w:sz w:val="21"/>
                <w:szCs w:val="21"/>
                <w:highlight w:val="none"/>
                <w:u w:val="single"/>
                <w:lang w:val="en-US" w:eastAsia="zh-CN" w:bidi="ar"/>
              </w:rPr>
              <w:t>60</w:t>
            </w:r>
          </w:p>
        </w:tc>
        <w:tc>
          <w:tcPr>
            <w:tcW w:w="710" w:type="dxa"/>
            <w:tcBorders>
              <w:tl2br w:val="nil"/>
              <w:tr2bl w:val="nil"/>
            </w:tcBorders>
            <w:noWrap w:val="0"/>
            <w:vAlign w:val="center"/>
          </w:tcPr>
          <w:p w14:paraId="0D3EFAD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u w:val="single"/>
                <w:lang w:val="en-US" w:eastAsia="zh-CN" w:bidi="ar"/>
              </w:rPr>
            </w:pPr>
            <w:r>
              <w:rPr>
                <w:rFonts w:hint="default" w:ascii="Times New Roman" w:hAnsi="Times New Roman" w:cs="Times New Roman"/>
                <w:color w:val="auto"/>
                <w:sz w:val="21"/>
                <w:szCs w:val="21"/>
                <w:highlight w:val="none"/>
                <w:u w:val="single"/>
                <w:lang w:val="en-US" w:eastAsia="zh-CN" w:bidi="ar"/>
              </w:rPr>
              <w:t>达标</w:t>
            </w:r>
          </w:p>
        </w:tc>
      </w:tr>
      <w:tr w14:paraId="24092A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11" w:type="pct"/>
            <w:vMerge w:val="continue"/>
            <w:tcBorders>
              <w:tl2br w:val="nil"/>
              <w:tr2bl w:val="nil"/>
            </w:tcBorders>
            <w:noWrap w:val="0"/>
            <w:vAlign w:val="center"/>
          </w:tcPr>
          <w:p w14:paraId="3C5280BE">
            <w:pPr>
              <w:pStyle w:val="20"/>
              <w:ind w:firstLine="0" w:firstLineChars="0"/>
              <w:jc w:val="center"/>
              <w:rPr>
                <w:rFonts w:hint="eastAsia" w:ascii="Times New Roman" w:hAnsi="Times New Roman" w:eastAsia="宋体" w:cs="Times New Roman"/>
                <w:color w:val="auto"/>
                <w:sz w:val="21"/>
                <w:szCs w:val="21"/>
                <w:highlight w:val="none"/>
                <w:u w:val="single"/>
                <w:lang w:val="en-US" w:eastAsia="zh-CN"/>
              </w:rPr>
            </w:pPr>
          </w:p>
        </w:tc>
        <w:tc>
          <w:tcPr>
            <w:tcW w:w="941" w:type="pct"/>
            <w:tcBorders>
              <w:tl2br w:val="nil"/>
              <w:tr2bl w:val="nil"/>
            </w:tcBorders>
            <w:noWrap w:val="0"/>
            <w:vAlign w:val="center"/>
          </w:tcPr>
          <w:p w14:paraId="52614C20">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u w:val="single"/>
              </w:rPr>
            </w:pPr>
            <w:r>
              <w:rPr>
                <w:rFonts w:hint="eastAsia" w:ascii="Times New Roman" w:cs="Times New Roman"/>
                <w:color w:val="auto"/>
                <w:sz w:val="21"/>
                <w:szCs w:val="21"/>
                <w:highlight w:val="none"/>
                <w:u w:val="single"/>
                <w:lang w:eastAsia="zh-CN"/>
              </w:rPr>
              <w:t>夜间</w:t>
            </w:r>
          </w:p>
        </w:tc>
        <w:tc>
          <w:tcPr>
            <w:tcW w:w="491" w:type="pct"/>
            <w:tcBorders>
              <w:tl2br w:val="nil"/>
              <w:tr2bl w:val="nil"/>
            </w:tcBorders>
            <w:shd w:val="clear" w:color="auto" w:fill="auto"/>
            <w:noWrap w:val="0"/>
            <w:vAlign w:val="center"/>
          </w:tcPr>
          <w:p w14:paraId="16FB9774">
            <w:pPr>
              <w:jc w:val="center"/>
              <w:rPr>
                <w:rFonts w:hint="eastAsia" w:ascii="Times New Roman" w:hAnsi="Times New Roman" w:eastAsia="宋体" w:cs="Times New Roman"/>
                <w:color w:val="auto"/>
                <w:kern w:val="0"/>
                <w:sz w:val="21"/>
                <w:szCs w:val="21"/>
                <w:highlight w:val="none"/>
                <w:u w:val="single"/>
                <w:lang w:val="en-US" w:eastAsia="zh-CN" w:bidi="ar-SA"/>
              </w:rPr>
            </w:pPr>
            <w:r>
              <w:rPr>
                <w:rFonts w:hint="eastAsia" w:ascii="Times New Roman" w:cs="Times New Roman"/>
                <w:color w:val="auto"/>
                <w:highlight w:val="none"/>
                <w:u w:val="single"/>
                <w:lang w:val="en-US" w:eastAsia="zh-CN"/>
              </w:rPr>
              <w:t>****</w:t>
            </w:r>
          </w:p>
        </w:tc>
        <w:tc>
          <w:tcPr>
            <w:tcW w:w="491" w:type="pct"/>
            <w:tcBorders>
              <w:tl2br w:val="nil"/>
              <w:tr2bl w:val="nil"/>
            </w:tcBorders>
            <w:shd w:val="clear" w:color="auto" w:fill="auto"/>
            <w:noWrap w:val="0"/>
            <w:vAlign w:val="center"/>
          </w:tcPr>
          <w:p w14:paraId="4CA23692">
            <w:pPr>
              <w:keepNext w:val="0"/>
              <w:keepLines w:val="0"/>
              <w:suppressLineNumbers w:val="0"/>
              <w:tabs>
                <w:tab w:val="left" w:pos="900"/>
              </w:tabs>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u w:val="single"/>
                <w:lang w:val="en-US" w:eastAsia="zh-CN" w:bidi="ar"/>
              </w:rPr>
            </w:pPr>
            <w:r>
              <w:rPr>
                <w:rFonts w:hint="eastAsia" w:ascii="Times New Roman" w:cs="Times New Roman"/>
                <w:color w:val="auto"/>
                <w:sz w:val="21"/>
                <w:szCs w:val="21"/>
                <w:highlight w:val="none"/>
                <w:u w:val="single"/>
                <w:lang w:val="en-US" w:eastAsia="zh-CN" w:bidi="ar"/>
              </w:rPr>
              <w:t>50</w:t>
            </w:r>
          </w:p>
        </w:tc>
        <w:tc>
          <w:tcPr>
            <w:tcW w:w="423" w:type="pct"/>
            <w:tcBorders>
              <w:tl2br w:val="nil"/>
              <w:tr2bl w:val="nil"/>
            </w:tcBorders>
            <w:shd w:val="clear" w:color="auto" w:fill="auto"/>
            <w:noWrap w:val="0"/>
            <w:vAlign w:val="center"/>
          </w:tcPr>
          <w:p w14:paraId="1ED4765B">
            <w:pPr>
              <w:keepNext w:val="0"/>
              <w:keepLines w:val="0"/>
              <w:suppressLineNumbers w:val="0"/>
              <w:tabs>
                <w:tab w:val="left" w:pos="900"/>
              </w:tabs>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u w:val="single"/>
                <w:lang w:val="en-US" w:eastAsia="zh-CN" w:bidi="ar"/>
              </w:rPr>
            </w:pPr>
            <w:r>
              <w:rPr>
                <w:rFonts w:hint="default" w:ascii="Times New Roman" w:hAnsi="Times New Roman" w:cs="Times New Roman"/>
                <w:color w:val="auto"/>
                <w:sz w:val="21"/>
                <w:szCs w:val="21"/>
                <w:highlight w:val="none"/>
                <w:u w:val="single"/>
                <w:lang w:val="en-US" w:eastAsia="zh-CN" w:bidi="ar"/>
              </w:rPr>
              <w:t>达标</w:t>
            </w:r>
          </w:p>
        </w:tc>
        <w:tc>
          <w:tcPr>
            <w:tcW w:w="882" w:type="dxa"/>
            <w:tcBorders>
              <w:tl2br w:val="nil"/>
              <w:tr2bl w:val="nil"/>
            </w:tcBorders>
            <w:noWrap w:val="0"/>
            <w:vAlign w:val="center"/>
          </w:tcPr>
          <w:p w14:paraId="508169B9">
            <w:pPr>
              <w:jc w:val="center"/>
              <w:rPr>
                <w:rFonts w:hint="default" w:ascii="Times New Roman" w:cs="Times New Roman"/>
                <w:color w:val="auto"/>
                <w:kern w:val="0"/>
                <w:sz w:val="21"/>
                <w:szCs w:val="21"/>
                <w:highlight w:val="none"/>
                <w:u w:val="single"/>
                <w:lang w:val="en-US" w:eastAsia="zh-CN"/>
              </w:rPr>
            </w:pPr>
            <w:r>
              <w:rPr>
                <w:rFonts w:hint="eastAsia" w:ascii="Times New Roman" w:cs="Times New Roman"/>
                <w:color w:val="auto"/>
                <w:highlight w:val="none"/>
                <w:u w:val="single"/>
                <w:lang w:val="en-US" w:eastAsia="zh-CN"/>
              </w:rPr>
              <w:t>****</w:t>
            </w:r>
          </w:p>
        </w:tc>
        <w:tc>
          <w:tcPr>
            <w:tcW w:w="1128" w:type="dxa"/>
            <w:tcBorders>
              <w:tl2br w:val="nil"/>
              <w:tr2bl w:val="nil"/>
            </w:tcBorders>
            <w:noWrap w:val="0"/>
            <w:vAlign w:val="center"/>
          </w:tcPr>
          <w:p w14:paraId="6D1526DD">
            <w:pPr>
              <w:keepNext w:val="0"/>
              <w:keepLines w:val="0"/>
              <w:suppressLineNumbers w:val="0"/>
              <w:tabs>
                <w:tab w:val="left" w:pos="900"/>
              </w:tabs>
              <w:spacing w:before="0" w:beforeAutospacing="0" w:after="0" w:afterAutospacing="0" w:line="240" w:lineRule="auto"/>
              <w:ind w:left="0" w:leftChars="0" w:right="0" w:rightChars="0"/>
              <w:jc w:val="center"/>
              <w:rPr>
                <w:rFonts w:hint="eastAsia" w:ascii="Times New Roman" w:cs="Times New Roman"/>
                <w:color w:val="auto"/>
                <w:sz w:val="21"/>
                <w:szCs w:val="21"/>
                <w:highlight w:val="none"/>
                <w:u w:val="single"/>
                <w:lang w:val="en-US" w:eastAsia="zh-CN" w:bidi="ar"/>
              </w:rPr>
            </w:pPr>
            <w:r>
              <w:rPr>
                <w:rFonts w:hint="eastAsia" w:ascii="Times New Roman" w:cs="Times New Roman"/>
                <w:color w:val="auto"/>
                <w:sz w:val="21"/>
                <w:szCs w:val="21"/>
                <w:highlight w:val="none"/>
                <w:u w:val="single"/>
                <w:lang w:val="en-US" w:eastAsia="zh-CN" w:bidi="ar"/>
              </w:rPr>
              <w:t>50</w:t>
            </w:r>
          </w:p>
        </w:tc>
        <w:tc>
          <w:tcPr>
            <w:tcW w:w="710" w:type="dxa"/>
            <w:tcBorders>
              <w:tl2br w:val="nil"/>
              <w:tr2bl w:val="nil"/>
            </w:tcBorders>
            <w:noWrap w:val="0"/>
            <w:vAlign w:val="center"/>
          </w:tcPr>
          <w:p w14:paraId="62721F84">
            <w:pPr>
              <w:keepNext w:val="0"/>
              <w:keepLines w:val="0"/>
              <w:suppressLineNumbers w:val="0"/>
              <w:tabs>
                <w:tab w:val="left" w:pos="900"/>
              </w:tabs>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u w:val="single"/>
                <w:lang w:val="en-US" w:eastAsia="zh-CN" w:bidi="ar"/>
              </w:rPr>
            </w:pPr>
            <w:r>
              <w:rPr>
                <w:rFonts w:hint="default" w:ascii="Times New Roman" w:hAnsi="Times New Roman" w:cs="Times New Roman"/>
                <w:color w:val="auto"/>
                <w:sz w:val="21"/>
                <w:szCs w:val="21"/>
                <w:highlight w:val="none"/>
                <w:u w:val="single"/>
                <w:lang w:val="en-US" w:eastAsia="zh-CN" w:bidi="ar"/>
              </w:rPr>
              <w:t>达标</w:t>
            </w:r>
          </w:p>
        </w:tc>
      </w:tr>
      <w:tr w14:paraId="4C544E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11" w:type="pct"/>
            <w:vMerge w:val="restart"/>
            <w:tcBorders>
              <w:tl2br w:val="nil"/>
              <w:tr2bl w:val="nil"/>
            </w:tcBorders>
            <w:noWrap w:val="0"/>
            <w:vAlign w:val="center"/>
          </w:tcPr>
          <w:p w14:paraId="3DF741E0">
            <w:pPr>
              <w:pStyle w:val="20"/>
              <w:ind w:firstLine="0" w:firstLineChars="0"/>
              <w:jc w:val="center"/>
              <w:rPr>
                <w:rFonts w:hint="default" w:ascii="Times New Roman" w:hAnsi="Times New Roman" w:eastAsia="宋体" w:cs="Times New Roman"/>
                <w:bCs/>
                <w:color w:val="auto"/>
                <w:kern w:val="2"/>
                <w:sz w:val="21"/>
                <w:szCs w:val="21"/>
                <w:highlight w:val="none"/>
                <w:u w:val="single"/>
                <w:lang w:val="en-US" w:eastAsia="zh-CN" w:bidi="ar-SA"/>
              </w:rPr>
            </w:pPr>
            <w:r>
              <w:rPr>
                <w:rFonts w:hint="eastAsia" w:ascii="Times New Roman" w:hAnsi="Times New Roman" w:eastAsia="宋体" w:cs="Times New Roman"/>
                <w:color w:val="auto"/>
                <w:sz w:val="21"/>
                <w:szCs w:val="21"/>
                <w:highlight w:val="none"/>
                <w:u w:val="single"/>
                <w:lang w:val="en-US" w:eastAsia="zh-CN"/>
              </w:rPr>
              <w:t>N3巨龙如意城</w:t>
            </w:r>
          </w:p>
        </w:tc>
        <w:tc>
          <w:tcPr>
            <w:tcW w:w="941" w:type="pct"/>
            <w:tcBorders>
              <w:tl2br w:val="nil"/>
              <w:tr2bl w:val="nil"/>
            </w:tcBorders>
            <w:noWrap w:val="0"/>
            <w:vAlign w:val="center"/>
          </w:tcPr>
          <w:p w14:paraId="56C9A60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u w:val="single"/>
              </w:rPr>
            </w:pPr>
            <w:r>
              <w:rPr>
                <w:rFonts w:hint="eastAsia" w:ascii="Times New Roman" w:cs="Times New Roman"/>
                <w:color w:val="auto"/>
                <w:sz w:val="21"/>
                <w:szCs w:val="21"/>
                <w:highlight w:val="none"/>
                <w:u w:val="single"/>
                <w:lang w:eastAsia="zh-CN"/>
              </w:rPr>
              <w:t>昼间</w:t>
            </w:r>
          </w:p>
        </w:tc>
        <w:tc>
          <w:tcPr>
            <w:tcW w:w="491" w:type="pct"/>
            <w:tcBorders>
              <w:tl2br w:val="nil"/>
              <w:tr2bl w:val="nil"/>
            </w:tcBorders>
            <w:noWrap w:val="0"/>
            <w:vAlign w:val="center"/>
          </w:tcPr>
          <w:p w14:paraId="7CCEC931">
            <w:pPr>
              <w:jc w:val="center"/>
              <w:rPr>
                <w:rFonts w:hint="default" w:ascii="Times New Roman" w:hAnsi="Times New Roman" w:eastAsia="宋体" w:cs="Times New Roman"/>
                <w:color w:val="auto"/>
                <w:kern w:val="0"/>
                <w:sz w:val="21"/>
                <w:szCs w:val="21"/>
                <w:highlight w:val="none"/>
                <w:u w:val="single"/>
                <w:lang w:val="en-US" w:eastAsia="zh-CN"/>
              </w:rPr>
            </w:pPr>
            <w:r>
              <w:rPr>
                <w:rFonts w:hint="eastAsia" w:ascii="Times New Roman" w:cs="Times New Roman"/>
                <w:color w:val="auto"/>
                <w:highlight w:val="none"/>
                <w:u w:val="single"/>
                <w:lang w:val="en-US" w:eastAsia="zh-CN"/>
              </w:rPr>
              <w:t>****</w:t>
            </w:r>
          </w:p>
        </w:tc>
        <w:tc>
          <w:tcPr>
            <w:tcW w:w="491" w:type="pct"/>
            <w:tcBorders>
              <w:tl2br w:val="nil"/>
              <w:tr2bl w:val="nil"/>
            </w:tcBorders>
            <w:noWrap w:val="0"/>
            <w:vAlign w:val="center"/>
          </w:tcPr>
          <w:p w14:paraId="1229C831">
            <w:pPr>
              <w:keepNext w:val="0"/>
              <w:keepLines w:val="0"/>
              <w:suppressLineNumbers w:val="0"/>
              <w:tabs>
                <w:tab w:val="left" w:pos="900"/>
              </w:tabs>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u w:val="single"/>
                <w:lang w:val="en-US" w:eastAsia="zh-CN" w:bidi="ar"/>
              </w:rPr>
            </w:pPr>
            <w:r>
              <w:rPr>
                <w:rFonts w:hint="eastAsia" w:ascii="Times New Roman" w:cs="Times New Roman"/>
                <w:color w:val="auto"/>
                <w:sz w:val="21"/>
                <w:szCs w:val="21"/>
                <w:highlight w:val="none"/>
                <w:u w:val="single"/>
                <w:lang w:val="en-US" w:eastAsia="zh-CN" w:bidi="ar"/>
              </w:rPr>
              <w:t>60</w:t>
            </w:r>
          </w:p>
        </w:tc>
        <w:tc>
          <w:tcPr>
            <w:tcW w:w="423" w:type="pct"/>
            <w:tcBorders>
              <w:tl2br w:val="nil"/>
              <w:tr2bl w:val="nil"/>
            </w:tcBorders>
            <w:noWrap w:val="0"/>
            <w:vAlign w:val="center"/>
          </w:tcPr>
          <w:p w14:paraId="6C5AC60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u w:val="single"/>
                <w:lang w:val="en-US" w:eastAsia="zh-CN" w:bidi="ar"/>
              </w:rPr>
            </w:pPr>
            <w:r>
              <w:rPr>
                <w:rFonts w:hint="default" w:ascii="Times New Roman" w:hAnsi="Times New Roman" w:cs="Times New Roman"/>
                <w:color w:val="auto"/>
                <w:sz w:val="21"/>
                <w:szCs w:val="21"/>
                <w:highlight w:val="none"/>
                <w:u w:val="single"/>
                <w:lang w:val="en-US" w:eastAsia="zh-CN" w:bidi="ar"/>
              </w:rPr>
              <w:t>达标</w:t>
            </w:r>
          </w:p>
        </w:tc>
        <w:tc>
          <w:tcPr>
            <w:tcW w:w="882" w:type="dxa"/>
            <w:tcBorders>
              <w:tl2br w:val="nil"/>
              <w:tr2bl w:val="nil"/>
            </w:tcBorders>
            <w:noWrap w:val="0"/>
            <w:vAlign w:val="center"/>
          </w:tcPr>
          <w:p w14:paraId="4D1893A9">
            <w:pPr>
              <w:jc w:val="center"/>
              <w:rPr>
                <w:rFonts w:hint="default" w:ascii="Times New Roman" w:hAnsi="Times New Roman" w:eastAsia="宋体" w:cs="Times New Roman"/>
                <w:color w:val="auto"/>
                <w:kern w:val="0"/>
                <w:sz w:val="21"/>
                <w:szCs w:val="21"/>
                <w:highlight w:val="none"/>
                <w:u w:val="single"/>
                <w:lang w:val="en-US" w:eastAsia="zh-CN"/>
              </w:rPr>
            </w:pPr>
            <w:r>
              <w:rPr>
                <w:rFonts w:hint="eastAsia" w:ascii="Times New Roman" w:cs="Times New Roman"/>
                <w:color w:val="auto"/>
                <w:highlight w:val="none"/>
                <w:u w:val="single"/>
                <w:lang w:val="en-US" w:eastAsia="zh-CN"/>
              </w:rPr>
              <w:t>****</w:t>
            </w:r>
          </w:p>
        </w:tc>
        <w:tc>
          <w:tcPr>
            <w:tcW w:w="1128" w:type="dxa"/>
            <w:tcBorders>
              <w:tl2br w:val="nil"/>
              <w:tr2bl w:val="nil"/>
            </w:tcBorders>
            <w:noWrap w:val="0"/>
            <w:vAlign w:val="center"/>
          </w:tcPr>
          <w:p w14:paraId="02D83C58">
            <w:pPr>
              <w:keepNext w:val="0"/>
              <w:keepLines w:val="0"/>
              <w:suppressLineNumbers w:val="0"/>
              <w:tabs>
                <w:tab w:val="left" w:pos="900"/>
              </w:tabs>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u w:val="single"/>
                <w:lang w:val="en-US" w:eastAsia="zh-CN" w:bidi="ar"/>
              </w:rPr>
            </w:pPr>
            <w:r>
              <w:rPr>
                <w:rFonts w:hint="eastAsia" w:ascii="Times New Roman" w:cs="Times New Roman"/>
                <w:color w:val="auto"/>
                <w:sz w:val="21"/>
                <w:szCs w:val="21"/>
                <w:highlight w:val="none"/>
                <w:u w:val="single"/>
                <w:lang w:val="en-US" w:eastAsia="zh-CN" w:bidi="ar"/>
              </w:rPr>
              <w:t>60</w:t>
            </w:r>
          </w:p>
        </w:tc>
        <w:tc>
          <w:tcPr>
            <w:tcW w:w="710" w:type="dxa"/>
            <w:tcBorders>
              <w:tl2br w:val="nil"/>
              <w:tr2bl w:val="nil"/>
            </w:tcBorders>
            <w:noWrap w:val="0"/>
            <w:vAlign w:val="center"/>
          </w:tcPr>
          <w:p w14:paraId="35B952A4">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u w:val="single"/>
                <w:lang w:val="en-US" w:eastAsia="zh-CN" w:bidi="ar"/>
              </w:rPr>
            </w:pPr>
            <w:r>
              <w:rPr>
                <w:rFonts w:hint="default" w:ascii="Times New Roman" w:hAnsi="Times New Roman" w:cs="Times New Roman"/>
                <w:color w:val="auto"/>
                <w:sz w:val="21"/>
                <w:szCs w:val="21"/>
                <w:highlight w:val="none"/>
                <w:u w:val="single"/>
                <w:lang w:val="en-US" w:eastAsia="zh-CN" w:bidi="ar"/>
              </w:rPr>
              <w:t>达标</w:t>
            </w:r>
          </w:p>
        </w:tc>
      </w:tr>
      <w:tr w14:paraId="41D72D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11" w:type="pct"/>
            <w:vMerge w:val="continue"/>
            <w:tcBorders>
              <w:tl2br w:val="nil"/>
              <w:tr2bl w:val="nil"/>
            </w:tcBorders>
            <w:noWrap w:val="0"/>
            <w:vAlign w:val="center"/>
          </w:tcPr>
          <w:p w14:paraId="047D0F8D">
            <w:pPr>
              <w:pStyle w:val="20"/>
              <w:ind w:firstLine="0" w:firstLineChars="0"/>
              <w:jc w:val="center"/>
              <w:rPr>
                <w:rFonts w:hint="eastAsia" w:ascii="Times New Roman" w:hAnsi="Times New Roman" w:eastAsia="宋体" w:cs="Times New Roman"/>
                <w:color w:val="auto"/>
                <w:sz w:val="21"/>
                <w:szCs w:val="21"/>
                <w:highlight w:val="none"/>
                <w:u w:val="single"/>
                <w:lang w:val="en-US" w:eastAsia="zh-CN"/>
              </w:rPr>
            </w:pPr>
          </w:p>
        </w:tc>
        <w:tc>
          <w:tcPr>
            <w:tcW w:w="941" w:type="pct"/>
            <w:tcBorders>
              <w:tl2br w:val="nil"/>
              <w:tr2bl w:val="nil"/>
            </w:tcBorders>
            <w:noWrap w:val="0"/>
            <w:vAlign w:val="center"/>
          </w:tcPr>
          <w:p w14:paraId="029CB8D2">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u w:val="single"/>
              </w:rPr>
            </w:pPr>
            <w:r>
              <w:rPr>
                <w:rFonts w:hint="eastAsia" w:ascii="Times New Roman" w:cs="Times New Roman"/>
                <w:color w:val="auto"/>
                <w:sz w:val="21"/>
                <w:szCs w:val="21"/>
                <w:highlight w:val="none"/>
                <w:u w:val="single"/>
                <w:lang w:eastAsia="zh-CN"/>
              </w:rPr>
              <w:t>夜间</w:t>
            </w:r>
          </w:p>
        </w:tc>
        <w:tc>
          <w:tcPr>
            <w:tcW w:w="491" w:type="pct"/>
            <w:tcBorders>
              <w:tl2br w:val="nil"/>
              <w:tr2bl w:val="nil"/>
            </w:tcBorders>
            <w:shd w:val="clear" w:color="auto" w:fill="auto"/>
            <w:noWrap w:val="0"/>
            <w:vAlign w:val="center"/>
          </w:tcPr>
          <w:p w14:paraId="04F6B8C4">
            <w:pPr>
              <w:jc w:val="center"/>
              <w:rPr>
                <w:rFonts w:hint="eastAsia" w:ascii="Times New Roman" w:hAnsi="Times New Roman" w:eastAsia="宋体" w:cs="Times New Roman"/>
                <w:color w:val="auto"/>
                <w:kern w:val="0"/>
                <w:sz w:val="21"/>
                <w:szCs w:val="21"/>
                <w:highlight w:val="none"/>
                <w:u w:val="single"/>
                <w:lang w:val="en-US" w:eastAsia="zh-CN" w:bidi="ar-SA"/>
              </w:rPr>
            </w:pPr>
            <w:r>
              <w:rPr>
                <w:rFonts w:hint="eastAsia" w:ascii="Times New Roman" w:cs="Times New Roman"/>
                <w:color w:val="auto"/>
                <w:highlight w:val="none"/>
                <w:u w:val="single"/>
                <w:lang w:val="en-US" w:eastAsia="zh-CN"/>
              </w:rPr>
              <w:t>****</w:t>
            </w:r>
          </w:p>
        </w:tc>
        <w:tc>
          <w:tcPr>
            <w:tcW w:w="491" w:type="pct"/>
            <w:tcBorders>
              <w:tl2br w:val="nil"/>
              <w:tr2bl w:val="nil"/>
            </w:tcBorders>
            <w:shd w:val="clear" w:color="auto" w:fill="auto"/>
            <w:noWrap w:val="0"/>
            <w:vAlign w:val="center"/>
          </w:tcPr>
          <w:p w14:paraId="760C50A6">
            <w:pPr>
              <w:keepNext w:val="0"/>
              <w:keepLines w:val="0"/>
              <w:suppressLineNumbers w:val="0"/>
              <w:tabs>
                <w:tab w:val="left" w:pos="900"/>
              </w:tabs>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u w:val="single"/>
                <w:lang w:val="en-US" w:eastAsia="zh-CN" w:bidi="ar"/>
              </w:rPr>
            </w:pPr>
            <w:r>
              <w:rPr>
                <w:rFonts w:hint="eastAsia" w:ascii="Times New Roman" w:cs="Times New Roman"/>
                <w:color w:val="auto"/>
                <w:sz w:val="21"/>
                <w:szCs w:val="21"/>
                <w:highlight w:val="none"/>
                <w:u w:val="single"/>
                <w:lang w:val="en-US" w:eastAsia="zh-CN" w:bidi="ar"/>
              </w:rPr>
              <w:t>50</w:t>
            </w:r>
          </w:p>
        </w:tc>
        <w:tc>
          <w:tcPr>
            <w:tcW w:w="423" w:type="pct"/>
            <w:tcBorders>
              <w:tl2br w:val="nil"/>
              <w:tr2bl w:val="nil"/>
            </w:tcBorders>
            <w:shd w:val="clear" w:color="auto" w:fill="auto"/>
            <w:noWrap w:val="0"/>
            <w:vAlign w:val="center"/>
          </w:tcPr>
          <w:p w14:paraId="0E89CDD1">
            <w:pPr>
              <w:keepNext w:val="0"/>
              <w:keepLines w:val="0"/>
              <w:suppressLineNumbers w:val="0"/>
              <w:tabs>
                <w:tab w:val="left" w:pos="900"/>
              </w:tabs>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u w:val="single"/>
                <w:lang w:val="en-US" w:eastAsia="zh-CN" w:bidi="ar"/>
              </w:rPr>
            </w:pPr>
            <w:r>
              <w:rPr>
                <w:rFonts w:hint="eastAsia" w:ascii="Times New Roman" w:cs="Times New Roman"/>
                <w:color w:val="auto"/>
                <w:sz w:val="21"/>
                <w:szCs w:val="21"/>
                <w:highlight w:val="none"/>
                <w:u w:val="single"/>
                <w:lang w:val="en-US" w:eastAsia="zh-CN" w:bidi="ar"/>
              </w:rPr>
              <w:t>达标</w:t>
            </w:r>
          </w:p>
        </w:tc>
        <w:tc>
          <w:tcPr>
            <w:tcW w:w="882" w:type="dxa"/>
            <w:tcBorders>
              <w:tl2br w:val="nil"/>
              <w:tr2bl w:val="nil"/>
            </w:tcBorders>
            <w:noWrap w:val="0"/>
            <w:vAlign w:val="center"/>
          </w:tcPr>
          <w:p w14:paraId="0C7F0710">
            <w:pPr>
              <w:jc w:val="center"/>
              <w:rPr>
                <w:rFonts w:hint="default" w:ascii="Times New Roman" w:cs="Times New Roman"/>
                <w:color w:val="auto"/>
                <w:kern w:val="0"/>
                <w:sz w:val="21"/>
                <w:szCs w:val="21"/>
                <w:highlight w:val="none"/>
                <w:u w:val="single"/>
                <w:lang w:val="en-US" w:eastAsia="zh-CN"/>
              </w:rPr>
            </w:pPr>
            <w:r>
              <w:rPr>
                <w:rFonts w:hint="eastAsia" w:ascii="Times New Roman" w:cs="Times New Roman"/>
                <w:color w:val="auto"/>
                <w:highlight w:val="none"/>
                <w:u w:val="single"/>
                <w:lang w:val="en-US" w:eastAsia="zh-CN"/>
              </w:rPr>
              <w:t>****</w:t>
            </w:r>
          </w:p>
        </w:tc>
        <w:tc>
          <w:tcPr>
            <w:tcW w:w="1128" w:type="dxa"/>
            <w:tcBorders>
              <w:tl2br w:val="nil"/>
              <w:tr2bl w:val="nil"/>
            </w:tcBorders>
            <w:noWrap w:val="0"/>
            <w:vAlign w:val="center"/>
          </w:tcPr>
          <w:p w14:paraId="79D1B1F4">
            <w:pPr>
              <w:keepNext w:val="0"/>
              <w:keepLines w:val="0"/>
              <w:suppressLineNumbers w:val="0"/>
              <w:tabs>
                <w:tab w:val="left" w:pos="900"/>
              </w:tabs>
              <w:spacing w:before="0" w:beforeAutospacing="0" w:after="0" w:afterAutospacing="0" w:line="240" w:lineRule="auto"/>
              <w:ind w:left="0" w:leftChars="0" w:right="0" w:rightChars="0"/>
              <w:jc w:val="center"/>
              <w:rPr>
                <w:rFonts w:hint="eastAsia" w:ascii="Times New Roman" w:cs="Times New Roman"/>
                <w:color w:val="auto"/>
                <w:sz w:val="21"/>
                <w:szCs w:val="21"/>
                <w:highlight w:val="none"/>
                <w:u w:val="single"/>
                <w:lang w:val="en-US" w:eastAsia="zh-CN" w:bidi="ar"/>
              </w:rPr>
            </w:pPr>
            <w:r>
              <w:rPr>
                <w:rFonts w:hint="eastAsia" w:ascii="Times New Roman" w:cs="Times New Roman"/>
                <w:color w:val="auto"/>
                <w:sz w:val="21"/>
                <w:szCs w:val="21"/>
                <w:highlight w:val="none"/>
                <w:u w:val="single"/>
                <w:lang w:val="en-US" w:eastAsia="zh-CN" w:bidi="ar"/>
              </w:rPr>
              <w:t>50</w:t>
            </w:r>
          </w:p>
        </w:tc>
        <w:tc>
          <w:tcPr>
            <w:tcW w:w="710" w:type="dxa"/>
            <w:tcBorders>
              <w:tl2br w:val="nil"/>
              <w:tr2bl w:val="nil"/>
            </w:tcBorders>
            <w:noWrap w:val="0"/>
            <w:vAlign w:val="center"/>
          </w:tcPr>
          <w:p w14:paraId="36084950">
            <w:pPr>
              <w:keepNext w:val="0"/>
              <w:keepLines w:val="0"/>
              <w:suppressLineNumbers w:val="0"/>
              <w:tabs>
                <w:tab w:val="left" w:pos="900"/>
              </w:tabs>
              <w:spacing w:before="0" w:beforeAutospacing="0" w:after="0" w:afterAutospacing="0" w:line="240" w:lineRule="auto"/>
              <w:ind w:left="0" w:leftChars="0" w:right="0" w:rightChars="0"/>
              <w:jc w:val="center"/>
              <w:rPr>
                <w:rFonts w:hint="eastAsia" w:ascii="Times New Roman" w:cs="Times New Roman"/>
                <w:color w:val="auto"/>
                <w:sz w:val="21"/>
                <w:szCs w:val="21"/>
                <w:highlight w:val="none"/>
                <w:u w:val="single"/>
                <w:lang w:val="en-US" w:eastAsia="zh-CN" w:bidi="ar"/>
              </w:rPr>
            </w:pPr>
            <w:r>
              <w:rPr>
                <w:rFonts w:hint="eastAsia" w:ascii="Times New Roman" w:cs="Times New Roman"/>
                <w:color w:val="auto"/>
                <w:sz w:val="21"/>
                <w:szCs w:val="21"/>
                <w:highlight w:val="none"/>
                <w:u w:val="single"/>
                <w:lang w:val="en-US" w:eastAsia="zh-CN" w:bidi="ar"/>
              </w:rPr>
              <w:t>达标</w:t>
            </w:r>
          </w:p>
        </w:tc>
      </w:tr>
    </w:tbl>
    <w:p w14:paraId="1BE9C649">
      <w:pPr>
        <w:pStyle w:val="410"/>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根据监测结果，</w:t>
      </w:r>
      <w:r>
        <w:rPr>
          <w:rFonts w:hint="eastAsia" w:ascii="Times New Roman" w:hAnsi="Times New Roman" w:eastAsia="宋体" w:cs="Times New Roman"/>
          <w:color w:val="auto"/>
          <w:highlight w:val="none"/>
          <w:lang w:val="en-US" w:eastAsia="zh-CN"/>
        </w:rPr>
        <w:t>本次评价设置的</w:t>
      </w:r>
      <w:r>
        <w:rPr>
          <w:rFonts w:hint="eastAsia" w:ascii="Times New Roman" w:cs="Times New Roman"/>
          <w:color w:val="auto"/>
          <w:highlight w:val="none"/>
          <w:u w:val="single"/>
          <w:lang w:val="en-US" w:eastAsia="zh-CN"/>
        </w:rPr>
        <w:t>大岭脚村</w:t>
      </w:r>
      <w:r>
        <w:rPr>
          <w:rFonts w:hint="eastAsia" w:ascii="Times New Roman" w:hAnsi="Times New Roman" w:eastAsia="宋体" w:cs="Times New Roman"/>
          <w:color w:val="auto"/>
          <w:highlight w:val="none"/>
          <w:lang w:val="en-US" w:eastAsia="zh-CN"/>
        </w:rPr>
        <w:t>监测点昼间及夜间噪声监测值均能够达到《声环境质量标准》（GB3096-2008）中的4a类标准限值要求，</w:t>
      </w:r>
      <w:r>
        <w:rPr>
          <w:rFonts w:hint="eastAsia" w:ascii="Times New Roman" w:cs="Times New Roman"/>
          <w:color w:val="auto"/>
          <w:highlight w:val="none"/>
          <w:u w:val="single"/>
          <w:lang w:eastAsia="zh-CN"/>
        </w:rPr>
        <w:t>大垌口村、巨龙如意城昼间、夜间监测值达到</w:t>
      </w:r>
      <w:r>
        <w:rPr>
          <w:rFonts w:hint="default" w:ascii="Times New Roman" w:hAnsi="Times New Roman" w:cs="Times New Roman"/>
          <w:color w:val="auto"/>
          <w:highlight w:val="none"/>
          <w:u w:val="single"/>
        </w:rPr>
        <w:t>《声环境质量标准》（GB3096-2008）</w:t>
      </w:r>
      <w:r>
        <w:rPr>
          <w:rFonts w:hint="eastAsia" w:ascii="Times New Roman" w:hAnsi="Times New Roman" w:cs="Times New Roman"/>
          <w:color w:val="auto"/>
          <w:highlight w:val="none"/>
          <w:u w:val="single"/>
          <w:lang w:val="en-US" w:eastAsia="zh-CN"/>
        </w:rPr>
        <w:t>2</w:t>
      </w:r>
      <w:r>
        <w:rPr>
          <w:rFonts w:hint="default" w:ascii="Times New Roman" w:hAnsi="Times New Roman" w:cs="Times New Roman"/>
          <w:color w:val="auto"/>
          <w:highlight w:val="none"/>
          <w:u w:val="single"/>
        </w:rPr>
        <w:t>类标准。</w:t>
      </w:r>
      <w:r>
        <w:rPr>
          <w:rFonts w:hint="eastAsia" w:ascii="Times New Roman" w:cs="Times New Roman"/>
          <w:color w:val="auto"/>
          <w:highlight w:val="none"/>
          <w:lang w:val="en-US" w:eastAsia="zh-CN"/>
        </w:rPr>
        <w:t>敏感点</w:t>
      </w:r>
      <w:r>
        <w:rPr>
          <w:rFonts w:hint="eastAsia" w:ascii="Times New Roman" w:hAnsi="Times New Roman" w:eastAsia="宋体" w:cs="Times New Roman"/>
          <w:color w:val="auto"/>
          <w:highlight w:val="none"/>
          <w:lang w:val="en-US" w:eastAsia="zh-CN"/>
        </w:rPr>
        <w:t>区域声环境质量达标。</w:t>
      </w:r>
    </w:p>
    <w:p w14:paraId="7259E42E">
      <w:pPr>
        <w:pStyle w:val="4"/>
        <w:numPr>
          <w:ilvl w:val="1"/>
          <w:numId w:val="40"/>
        </w:numPr>
        <w:bidi w:val="0"/>
        <w:ind w:left="678" w:leftChars="0" w:firstLine="0" w:firstLineChars="0"/>
        <w:rPr>
          <w:rFonts w:hint="default"/>
          <w:color w:val="auto"/>
          <w:highlight w:val="none"/>
        </w:rPr>
      </w:pPr>
      <w:bookmarkStart w:id="84" w:name="_Toc27009"/>
      <w:r>
        <w:rPr>
          <w:rFonts w:hint="default"/>
          <w:color w:val="auto"/>
          <w:highlight w:val="none"/>
          <w:lang w:val="en-US" w:eastAsia="zh-CN"/>
        </w:rPr>
        <w:t>地下水环境质量现状调查与评价</w:t>
      </w:r>
      <w:bookmarkEnd w:id="84"/>
    </w:p>
    <w:p w14:paraId="2683BCEB">
      <w:pPr>
        <w:pStyle w:val="410"/>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为了了解项目所在区域的地下水环境质量现状，项目委托广西恒沁检测科技有限公司于2025年4月21日、2025年4月30日 对项目所在区域地下水环境质量现状进行了检测。</w:t>
      </w:r>
    </w:p>
    <w:p w14:paraId="33783FDA">
      <w:pPr>
        <w:pStyle w:val="5"/>
        <w:numPr>
          <w:ilvl w:val="2"/>
          <w:numId w:val="40"/>
        </w:numPr>
        <w:bidi w:val="0"/>
        <w:ind w:left="452" w:leftChars="0" w:firstLine="0" w:firstLineChars="0"/>
        <w:rPr>
          <w:rFonts w:hint="default" w:ascii="Times New Roman" w:hAnsi="Times New Roman" w:cs="Times New Roman"/>
          <w:color w:val="auto"/>
          <w:highlight w:val="none"/>
        </w:rPr>
      </w:pPr>
      <w:r>
        <w:rPr>
          <w:rFonts w:hint="eastAsia" w:cs="Times New Roman"/>
          <w:color w:val="auto"/>
          <w:highlight w:val="none"/>
          <w:lang w:val="en-US" w:eastAsia="zh-CN"/>
        </w:rPr>
        <w:t>监测布点及监测因子</w:t>
      </w:r>
    </w:p>
    <w:p w14:paraId="3D5A510F">
      <w:pPr>
        <w:pStyle w:val="410"/>
        <w:rPr>
          <w:rFonts w:hint="default"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根据区域地下水流向，</w:t>
      </w:r>
      <w:r>
        <w:rPr>
          <w:rFonts w:hint="eastAsia"/>
          <w:color w:val="auto"/>
          <w:sz w:val="24"/>
          <w:szCs w:val="24"/>
          <w:highlight w:val="none"/>
        </w:rPr>
        <w:t>在评价区域内共布设</w:t>
      </w:r>
      <w:r>
        <w:rPr>
          <w:rFonts w:hint="eastAsia"/>
          <w:color w:val="auto"/>
          <w:sz w:val="24"/>
          <w:szCs w:val="24"/>
          <w:highlight w:val="none"/>
          <w:lang w:val="en-US" w:eastAsia="zh-CN"/>
        </w:rPr>
        <w:t>6</w:t>
      </w:r>
      <w:r>
        <w:rPr>
          <w:rFonts w:hint="eastAsia"/>
          <w:color w:val="auto"/>
          <w:sz w:val="24"/>
          <w:szCs w:val="24"/>
          <w:highlight w:val="none"/>
        </w:rPr>
        <w:t>个地下水监测点，</w:t>
      </w:r>
      <w:r>
        <w:rPr>
          <w:rFonts w:hint="eastAsia"/>
          <w:color w:val="auto"/>
          <w:sz w:val="24"/>
          <w:szCs w:val="24"/>
          <w:highlight w:val="none"/>
          <w:lang w:val="en-US" w:eastAsia="zh-CN"/>
        </w:rPr>
        <w:t>监测点位见下表。</w:t>
      </w:r>
    </w:p>
    <w:p w14:paraId="4F534128">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地下水环境现状监测点位表</w:t>
      </w:r>
    </w:p>
    <w:tbl>
      <w:tblPr>
        <w:tblStyle w:val="8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2906"/>
        <w:gridCol w:w="5080"/>
      </w:tblGrid>
      <w:tr w14:paraId="439D75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475" w:type="pct"/>
            <w:tcBorders>
              <w:tl2br w:val="nil"/>
              <w:tr2bl w:val="nil"/>
            </w:tcBorders>
            <w:noWrap w:val="0"/>
            <w:vAlign w:val="center"/>
          </w:tcPr>
          <w:p w14:paraId="318143FD">
            <w:pPr>
              <w:spacing w:line="340" w:lineRule="exac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编号</w:t>
            </w:r>
          </w:p>
        </w:tc>
        <w:tc>
          <w:tcPr>
            <w:tcW w:w="1646" w:type="pct"/>
            <w:tcBorders>
              <w:tl2br w:val="nil"/>
              <w:tr2bl w:val="nil"/>
            </w:tcBorders>
            <w:noWrap w:val="0"/>
            <w:vAlign w:val="center"/>
          </w:tcPr>
          <w:p w14:paraId="110CC1F4">
            <w:pPr>
              <w:spacing w:line="340" w:lineRule="exac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监测点位名称</w:t>
            </w:r>
          </w:p>
        </w:tc>
        <w:tc>
          <w:tcPr>
            <w:tcW w:w="2877" w:type="pct"/>
            <w:tcBorders>
              <w:tl2br w:val="nil"/>
              <w:tr2bl w:val="nil"/>
            </w:tcBorders>
            <w:noWrap w:val="0"/>
            <w:vAlign w:val="center"/>
          </w:tcPr>
          <w:p w14:paraId="4897AA64">
            <w:pPr>
              <w:spacing w:line="340" w:lineRule="exac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监测因子</w:t>
            </w:r>
          </w:p>
        </w:tc>
      </w:tr>
      <w:tr w14:paraId="649037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5" w:type="pct"/>
            <w:tcBorders>
              <w:tl2br w:val="nil"/>
              <w:tr2bl w:val="nil"/>
            </w:tcBorders>
            <w:noWrap w:val="0"/>
            <w:vAlign w:val="center"/>
          </w:tcPr>
          <w:p w14:paraId="61D95950">
            <w:pPr>
              <w:spacing w:line="340" w:lineRule="exac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G1</w:t>
            </w:r>
          </w:p>
        </w:tc>
        <w:tc>
          <w:tcPr>
            <w:tcW w:w="1646" w:type="pct"/>
            <w:tcBorders>
              <w:tl2br w:val="nil"/>
              <w:tr2bl w:val="nil"/>
            </w:tcBorders>
            <w:noWrap w:val="0"/>
            <w:vAlign w:val="center"/>
          </w:tcPr>
          <w:p w14:paraId="5721FE23">
            <w:pPr>
              <w:pStyle w:val="20"/>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苦竹坑村</w:t>
            </w:r>
          </w:p>
        </w:tc>
        <w:tc>
          <w:tcPr>
            <w:tcW w:w="2877" w:type="pct"/>
            <w:vMerge w:val="restart"/>
            <w:tcBorders>
              <w:tl2br w:val="nil"/>
              <w:tr2bl w:val="nil"/>
            </w:tcBorders>
            <w:noWrap w:val="0"/>
            <w:vAlign w:val="center"/>
          </w:tcPr>
          <w:p w14:paraId="7F4E85F1">
            <w:pPr>
              <w:jc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K</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default" w:ascii="Times New Roman" w:hAnsi="Times New Roman" w:eastAsia="宋体" w:cs="Times New Roman"/>
                <w:color w:val="auto"/>
                <w:kern w:val="0"/>
                <w:sz w:val="21"/>
                <w:szCs w:val="21"/>
                <w:highlight w:val="none"/>
                <w:lang w:val="en-US" w:eastAsia="zh-CN" w:bidi="ar"/>
              </w:rPr>
              <w:t>、Na</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default" w:ascii="Times New Roman" w:hAnsi="Times New Roman" w:eastAsia="宋体" w:cs="Times New Roman"/>
                <w:color w:val="auto"/>
                <w:kern w:val="0"/>
                <w:sz w:val="21"/>
                <w:szCs w:val="21"/>
                <w:highlight w:val="none"/>
                <w:lang w:val="en-US" w:eastAsia="zh-CN" w:bidi="ar"/>
              </w:rPr>
              <w:t>、Ca</w:t>
            </w:r>
            <w:r>
              <w:rPr>
                <w:rFonts w:hint="default" w:ascii="Times New Roman" w:hAnsi="Times New Roman" w:eastAsia="宋体" w:cs="Times New Roman"/>
                <w:color w:val="auto"/>
                <w:kern w:val="0"/>
                <w:sz w:val="21"/>
                <w:szCs w:val="21"/>
                <w:highlight w:val="none"/>
                <w:vertAlign w:val="superscript"/>
                <w:lang w:val="en-US" w:eastAsia="zh-CN" w:bidi="ar"/>
              </w:rPr>
              <w:t>2+</w:t>
            </w:r>
            <w:r>
              <w:rPr>
                <w:rFonts w:hint="default" w:ascii="Times New Roman" w:hAnsi="Times New Roman" w:eastAsia="宋体" w:cs="Times New Roman"/>
                <w:color w:val="auto"/>
                <w:kern w:val="0"/>
                <w:sz w:val="21"/>
                <w:szCs w:val="21"/>
                <w:highlight w:val="none"/>
                <w:lang w:val="en-US" w:eastAsia="zh-CN" w:bidi="ar"/>
              </w:rPr>
              <w:t>、Mg</w:t>
            </w:r>
            <w:r>
              <w:rPr>
                <w:rFonts w:hint="default" w:ascii="Times New Roman" w:hAnsi="Times New Roman" w:eastAsia="宋体" w:cs="Times New Roman"/>
                <w:color w:val="auto"/>
                <w:kern w:val="0"/>
                <w:sz w:val="21"/>
                <w:szCs w:val="21"/>
                <w:highlight w:val="none"/>
                <w:vertAlign w:val="superscript"/>
                <w:lang w:val="en-US" w:eastAsia="zh-CN" w:bidi="ar"/>
              </w:rPr>
              <w:t>2+</w:t>
            </w:r>
            <w:r>
              <w:rPr>
                <w:rFonts w:hint="default" w:ascii="Times New Roman" w:hAnsi="Times New Roman" w:eastAsia="宋体" w:cs="Times New Roman"/>
                <w:color w:val="auto"/>
                <w:kern w:val="0"/>
                <w:sz w:val="21"/>
                <w:szCs w:val="21"/>
                <w:highlight w:val="none"/>
                <w:lang w:val="en-US" w:eastAsia="zh-CN" w:bidi="ar"/>
              </w:rPr>
              <w:t>、CO</w:t>
            </w:r>
            <w:r>
              <w:rPr>
                <w:rFonts w:hint="default" w:ascii="Times New Roman" w:hAnsi="Times New Roman" w:eastAsia="宋体" w:cs="Times New Roman"/>
                <w:color w:val="auto"/>
                <w:kern w:val="0"/>
                <w:sz w:val="21"/>
                <w:szCs w:val="21"/>
                <w:highlight w:val="none"/>
                <w:vertAlign w:val="subscript"/>
                <w:lang w:val="en-US" w:eastAsia="zh-CN" w:bidi="ar"/>
              </w:rPr>
              <w:t>3</w:t>
            </w:r>
            <w:r>
              <w:rPr>
                <w:rFonts w:hint="default" w:ascii="Times New Roman" w:hAnsi="Times New Roman" w:eastAsia="宋体" w:cs="Times New Roman"/>
                <w:color w:val="auto"/>
                <w:kern w:val="0"/>
                <w:sz w:val="21"/>
                <w:szCs w:val="21"/>
                <w:highlight w:val="none"/>
                <w:vertAlign w:val="superscript"/>
                <w:lang w:val="en-US" w:eastAsia="zh-CN" w:bidi="ar"/>
              </w:rPr>
              <w:t>2-</w:t>
            </w:r>
            <w:r>
              <w:rPr>
                <w:rFonts w:hint="default" w:ascii="Times New Roman" w:hAnsi="Times New Roman" w:eastAsia="宋体" w:cs="Times New Roman"/>
                <w:color w:val="auto"/>
                <w:kern w:val="0"/>
                <w:sz w:val="21"/>
                <w:szCs w:val="21"/>
                <w:highlight w:val="none"/>
                <w:lang w:val="en-US" w:eastAsia="zh-CN" w:bidi="ar"/>
              </w:rPr>
              <w:t>、HCO</w:t>
            </w:r>
            <w:r>
              <w:rPr>
                <w:rFonts w:hint="default" w:ascii="Times New Roman" w:hAnsi="Times New Roman" w:eastAsia="宋体" w:cs="Times New Roman"/>
                <w:color w:val="auto"/>
                <w:kern w:val="0"/>
                <w:sz w:val="21"/>
                <w:szCs w:val="21"/>
                <w:highlight w:val="none"/>
                <w:vertAlign w:val="subscript"/>
                <w:lang w:val="en-US" w:eastAsia="zh-CN" w:bidi="ar"/>
              </w:rPr>
              <w:t>3</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default" w:ascii="Times New Roman" w:hAnsi="Times New Roman" w:eastAsia="宋体" w:cs="Times New Roman"/>
                <w:color w:val="auto"/>
                <w:kern w:val="0"/>
                <w:sz w:val="21"/>
                <w:szCs w:val="21"/>
                <w:highlight w:val="none"/>
                <w:lang w:val="en-US" w:eastAsia="zh-CN" w:bidi="ar"/>
              </w:rPr>
              <w:t>、Cl</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default" w:ascii="Times New Roman" w:hAnsi="Times New Roman" w:eastAsia="宋体" w:cs="Times New Roman"/>
                <w:color w:val="auto"/>
                <w:kern w:val="0"/>
                <w:sz w:val="21"/>
                <w:szCs w:val="21"/>
                <w:highlight w:val="none"/>
                <w:lang w:val="en-US" w:eastAsia="zh-CN" w:bidi="ar"/>
              </w:rPr>
              <w:t>、SO</w:t>
            </w:r>
            <w:r>
              <w:rPr>
                <w:rFonts w:hint="default" w:ascii="Times New Roman" w:hAnsi="Times New Roman" w:eastAsia="宋体" w:cs="Times New Roman"/>
                <w:color w:val="auto"/>
                <w:kern w:val="0"/>
                <w:sz w:val="21"/>
                <w:szCs w:val="21"/>
                <w:highlight w:val="none"/>
                <w:vertAlign w:val="subscript"/>
                <w:lang w:val="en-US" w:eastAsia="zh-CN" w:bidi="ar"/>
              </w:rPr>
              <w:t>4</w:t>
            </w:r>
            <w:r>
              <w:rPr>
                <w:rFonts w:hint="default" w:ascii="Times New Roman" w:hAnsi="Times New Roman" w:eastAsia="宋体" w:cs="Times New Roman"/>
                <w:color w:val="auto"/>
                <w:kern w:val="0"/>
                <w:sz w:val="21"/>
                <w:szCs w:val="21"/>
                <w:highlight w:val="none"/>
                <w:vertAlign w:val="superscript"/>
                <w:lang w:val="en-US" w:eastAsia="zh-CN" w:bidi="ar"/>
              </w:rPr>
              <w:t>2-</w:t>
            </w:r>
            <w:r>
              <w:rPr>
                <w:rFonts w:hint="default" w:ascii="Times New Roman" w:hAnsi="Times New Roman" w:eastAsia="宋体" w:cs="Times New Roman"/>
                <w:color w:val="auto"/>
                <w:kern w:val="0"/>
                <w:sz w:val="21"/>
                <w:szCs w:val="21"/>
                <w:highlight w:val="none"/>
                <w:lang w:val="en-US" w:eastAsia="zh-CN" w:bidi="ar"/>
              </w:rPr>
              <w:t>、</w:t>
            </w:r>
            <w:r>
              <w:rPr>
                <w:rFonts w:hint="default" w:ascii="Times New Roman" w:hAnsi="Times New Roman" w:cs="Times New Roman"/>
                <w:color w:val="auto"/>
                <w:sz w:val="21"/>
                <w:szCs w:val="21"/>
                <w:highlight w:val="none"/>
              </w:rPr>
              <w:t>pH值、氨氮、硝酸盐、亚硝酸盐、挥发酚、砷、汞、六价铬、总硬度、铅、镉、铁、锰、溶解性总固体、高锰酸盐指数（以O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计）、总大肠菌群</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记录</w:t>
            </w:r>
            <w:r>
              <w:rPr>
                <w:rFonts w:hint="default" w:ascii="Times New Roman" w:hAnsi="Times New Roman" w:cs="Times New Roman"/>
                <w:color w:val="auto"/>
                <w:sz w:val="21"/>
                <w:szCs w:val="21"/>
                <w:highlight w:val="none"/>
                <w:lang w:val="en-US" w:eastAsia="zh-CN"/>
              </w:rPr>
              <w:t>水位、</w:t>
            </w:r>
            <w:r>
              <w:rPr>
                <w:rFonts w:hint="default" w:ascii="Times New Roman" w:hAnsi="Times New Roman" w:cs="Times New Roman"/>
                <w:color w:val="auto"/>
                <w:sz w:val="21"/>
                <w:szCs w:val="21"/>
                <w:highlight w:val="none"/>
                <w:lang w:eastAsia="zh-CN"/>
              </w:rPr>
              <w:t>井</w:t>
            </w:r>
            <w:r>
              <w:rPr>
                <w:rFonts w:hint="default" w:ascii="Times New Roman" w:hAnsi="Times New Roman" w:cs="Times New Roman"/>
                <w:color w:val="auto"/>
                <w:sz w:val="21"/>
                <w:szCs w:val="21"/>
                <w:highlight w:val="none"/>
              </w:rPr>
              <w:t>深</w:t>
            </w:r>
          </w:p>
        </w:tc>
      </w:tr>
      <w:tr w14:paraId="447A9D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5" w:type="pct"/>
            <w:tcBorders>
              <w:tl2br w:val="nil"/>
              <w:tr2bl w:val="nil"/>
            </w:tcBorders>
            <w:noWrap w:val="0"/>
            <w:vAlign w:val="center"/>
          </w:tcPr>
          <w:p w14:paraId="313570AA">
            <w:pPr>
              <w:spacing w:line="340" w:lineRule="exac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G2</w:t>
            </w:r>
          </w:p>
        </w:tc>
        <w:tc>
          <w:tcPr>
            <w:tcW w:w="1646" w:type="pct"/>
            <w:tcBorders>
              <w:tl2br w:val="nil"/>
              <w:tr2bl w:val="nil"/>
            </w:tcBorders>
            <w:noWrap w:val="0"/>
            <w:vAlign w:val="center"/>
          </w:tcPr>
          <w:p w14:paraId="027F4EB6">
            <w:pPr>
              <w:pStyle w:val="20"/>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大岭脚村</w:t>
            </w:r>
          </w:p>
        </w:tc>
        <w:tc>
          <w:tcPr>
            <w:tcW w:w="2877" w:type="pct"/>
            <w:vMerge w:val="continue"/>
            <w:tcBorders>
              <w:tl2br w:val="nil"/>
              <w:tr2bl w:val="nil"/>
            </w:tcBorders>
            <w:noWrap w:val="0"/>
            <w:vAlign w:val="center"/>
          </w:tcPr>
          <w:p w14:paraId="3132A39C">
            <w:pPr>
              <w:spacing w:line="340" w:lineRule="exact"/>
              <w:jc w:val="center"/>
              <w:rPr>
                <w:rFonts w:hint="default" w:ascii="Times New Roman" w:hAnsi="Times New Roman" w:cs="Times New Roman"/>
                <w:bCs/>
                <w:color w:val="auto"/>
                <w:sz w:val="21"/>
                <w:szCs w:val="21"/>
                <w:highlight w:val="none"/>
              </w:rPr>
            </w:pPr>
          </w:p>
        </w:tc>
      </w:tr>
      <w:tr w14:paraId="168074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5" w:type="pct"/>
            <w:tcBorders>
              <w:tl2br w:val="nil"/>
              <w:tr2bl w:val="nil"/>
            </w:tcBorders>
            <w:noWrap w:val="0"/>
            <w:vAlign w:val="center"/>
          </w:tcPr>
          <w:p w14:paraId="4C09448E">
            <w:pPr>
              <w:spacing w:line="340" w:lineRule="exac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G3</w:t>
            </w:r>
          </w:p>
        </w:tc>
        <w:tc>
          <w:tcPr>
            <w:tcW w:w="1646" w:type="pct"/>
            <w:tcBorders>
              <w:tl2br w:val="nil"/>
              <w:tr2bl w:val="nil"/>
            </w:tcBorders>
            <w:noWrap w:val="0"/>
            <w:vAlign w:val="center"/>
          </w:tcPr>
          <w:p w14:paraId="4DC8C474">
            <w:pPr>
              <w:pStyle w:val="20"/>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淡水湾村</w:t>
            </w:r>
          </w:p>
        </w:tc>
        <w:tc>
          <w:tcPr>
            <w:tcW w:w="2877" w:type="pct"/>
            <w:vMerge w:val="continue"/>
            <w:tcBorders>
              <w:tl2br w:val="nil"/>
              <w:tr2bl w:val="nil"/>
            </w:tcBorders>
            <w:noWrap w:val="0"/>
            <w:vAlign w:val="center"/>
          </w:tcPr>
          <w:p w14:paraId="1D57AEDC">
            <w:pPr>
              <w:spacing w:line="340" w:lineRule="exact"/>
              <w:jc w:val="center"/>
              <w:rPr>
                <w:rFonts w:hint="default" w:ascii="Times New Roman" w:hAnsi="Times New Roman" w:cs="Times New Roman"/>
                <w:bCs/>
                <w:color w:val="auto"/>
                <w:sz w:val="21"/>
                <w:szCs w:val="21"/>
                <w:highlight w:val="none"/>
              </w:rPr>
            </w:pPr>
          </w:p>
        </w:tc>
      </w:tr>
      <w:tr w14:paraId="67600B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5" w:type="pct"/>
            <w:tcBorders>
              <w:tl2br w:val="nil"/>
              <w:tr2bl w:val="nil"/>
            </w:tcBorders>
            <w:noWrap w:val="0"/>
            <w:vAlign w:val="center"/>
          </w:tcPr>
          <w:p w14:paraId="545D0E0E">
            <w:pPr>
              <w:spacing w:line="340" w:lineRule="exact"/>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G4</w:t>
            </w:r>
          </w:p>
        </w:tc>
        <w:tc>
          <w:tcPr>
            <w:tcW w:w="1646" w:type="pct"/>
            <w:tcBorders>
              <w:tl2br w:val="nil"/>
              <w:tr2bl w:val="nil"/>
            </w:tcBorders>
            <w:noWrap w:val="0"/>
            <w:vAlign w:val="center"/>
          </w:tcPr>
          <w:p w14:paraId="358DD3D4">
            <w:pPr>
              <w:pStyle w:val="2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松柏港村</w:t>
            </w:r>
          </w:p>
        </w:tc>
        <w:tc>
          <w:tcPr>
            <w:tcW w:w="2877" w:type="pct"/>
            <w:vMerge w:val="restart"/>
            <w:tcBorders>
              <w:tl2br w:val="nil"/>
              <w:tr2bl w:val="nil"/>
            </w:tcBorders>
            <w:noWrap w:val="0"/>
            <w:vAlign w:val="center"/>
          </w:tcPr>
          <w:p w14:paraId="2666073D">
            <w:pPr>
              <w:spacing w:line="340" w:lineRule="exact"/>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记录</w:t>
            </w:r>
            <w:r>
              <w:rPr>
                <w:rFonts w:hint="default" w:ascii="Times New Roman" w:hAnsi="Times New Roman" w:cs="Times New Roman"/>
                <w:color w:val="auto"/>
                <w:sz w:val="21"/>
                <w:szCs w:val="21"/>
                <w:highlight w:val="none"/>
                <w:lang w:val="en-US" w:eastAsia="zh-CN"/>
              </w:rPr>
              <w:t>水位、</w:t>
            </w:r>
            <w:r>
              <w:rPr>
                <w:rFonts w:hint="default" w:ascii="Times New Roman" w:hAnsi="Times New Roman" w:cs="Times New Roman"/>
                <w:color w:val="auto"/>
                <w:sz w:val="21"/>
                <w:szCs w:val="21"/>
                <w:highlight w:val="none"/>
                <w:lang w:eastAsia="zh-CN"/>
              </w:rPr>
              <w:t>井</w:t>
            </w:r>
            <w:r>
              <w:rPr>
                <w:rFonts w:hint="default" w:ascii="Times New Roman" w:hAnsi="Times New Roman" w:cs="Times New Roman"/>
                <w:color w:val="auto"/>
                <w:sz w:val="21"/>
                <w:szCs w:val="21"/>
                <w:highlight w:val="none"/>
              </w:rPr>
              <w:t>深</w:t>
            </w:r>
          </w:p>
        </w:tc>
      </w:tr>
      <w:tr w14:paraId="280EF8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5" w:type="pct"/>
            <w:tcBorders>
              <w:tl2br w:val="nil"/>
              <w:tr2bl w:val="nil"/>
            </w:tcBorders>
            <w:noWrap w:val="0"/>
            <w:vAlign w:val="center"/>
          </w:tcPr>
          <w:p w14:paraId="7795357C">
            <w:pPr>
              <w:spacing w:line="340" w:lineRule="exact"/>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G5</w:t>
            </w:r>
          </w:p>
        </w:tc>
        <w:tc>
          <w:tcPr>
            <w:tcW w:w="1646" w:type="pct"/>
            <w:tcBorders>
              <w:tl2br w:val="nil"/>
              <w:tr2bl w:val="nil"/>
            </w:tcBorders>
            <w:noWrap w:val="0"/>
            <w:vAlign w:val="center"/>
          </w:tcPr>
          <w:p w14:paraId="391EFCC2">
            <w:pPr>
              <w:pStyle w:val="2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新村</w:t>
            </w:r>
          </w:p>
        </w:tc>
        <w:tc>
          <w:tcPr>
            <w:tcW w:w="2877" w:type="pct"/>
            <w:vMerge w:val="continue"/>
            <w:tcBorders>
              <w:tl2br w:val="nil"/>
              <w:tr2bl w:val="nil"/>
            </w:tcBorders>
            <w:noWrap w:val="0"/>
            <w:vAlign w:val="center"/>
          </w:tcPr>
          <w:p w14:paraId="3D46AF36">
            <w:pPr>
              <w:spacing w:line="340" w:lineRule="exact"/>
              <w:jc w:val="center"/>
              <w:rPr>
                <w:rFonts w:hint="default" w:ascii="Times New Roman" w:hAnsi="Times New Roman" w:cs="Times New Roman"/>
                <w:bCs/>
                <w:color w:val="auto"/>
                <w:sz w:val="21"/>
                <w:szCs w:val="21"/>
                <w:highlight w:val="none"/>
              </w:rPr>
            </w:pPr>
          </w:p>
        </w:tc>
      </w:tr>
      <w:tr w14:paraId="7BDC5E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5" w:type="pct"/>
            <w:tcBorders>
              <w:tl2br w:val="nil"/>
              <w:tr2bl w:val="nil"/>
            </w:tcBorders>
            <w:noWrap w:val="0"/>
            <w:vAlign w:val="center"/>
          </w:tcPr>
          <w:p w14:paraId="46AAA65F">
            <w:pPr>
              <w:spacing w:line="340" w:lineRule="exact"/>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G6</w:t>
            </w:r>
          </w:p>
        </w:tc>
        <w:tc>
          <w:tcPr>
            <w:tcW w:w="1646" w:type="pct"/>
            <w:tcBorders>
              <w:tl2br w:val="nil"/>
              <w:tr2bl w:val="nil"/>
            </w:tcBorders>
            <w:noWrap w:val="0"/>
            <w:vAlign w:val="center"/>
          </w:tcPr>
          <w:p w14:paraId="061758C3">
            <w:pPr>
              <w:pStyle w:val="2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鸡墩头村</w:t>
            </w:r>
          </w:p>
        </w:tc>
        <w:tc>
          <w:tcPr>
            <w:tcW w:w="2877" w:type="pct"/>
            <w:vMerge w:val="continue"/>
            <w:tcBorders>
              <w:tl2br w:val="nil"/>
              <w:tr2bl w:val="nil"/>
            </w:tcBorders>
            <w:noWrap w:val="0"/>
            <w:vAlign w:val="center"/>
          </w:tcPr>
          <w:p w14:paraId="69544DDC">
            <w:pPr>
              <w:spacing w:line="340" w:lineRule="exact"/>
              <w:jc w:val="center"/>
              <w:rPr>
                <w:rFonts w:hint="default" w:ascii="Times New Roman" w:hAnsi="Times New Roman" w:cs="Times New Roman"/>
                <w:bCs/>
                <w:color w:val="auto"/>
                <w:sz w:val="21"/>
                <w:szCs w:val="21"/>
                <w:highlight w:val="none"/>
              </w:rPr>
            </w:pPr>
          </w:p>
        </w:tc>
      </w:tr>
    </w:tbl>
    <w:p w14:paraId="47E33D4C">
      <w:pPr>
        <w:pStyle w:val="5"/>
        <w:numPr>
          <w:ilvl w:val="2"/>
          <w:numId w:val="40"/>
        </w:numPr>
        <w:bidi w:val="0"/>
        <w:ind w:left="452" w:lef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监测时间及频率</w:t>
      </w:r>
    </w:p>
    <w:p w14:paraId="64354BAD">
      <w:pPr>
        <w:pStyle w:val="410"/>
        <w:rPr>
          <w:rFonts w:hint="eastAsia"/>
          <w:color w:val="auto"/>
          <w:highlight w:val="none"/>
          <w:lang w:val="en-US" w:eastAsia="zh-CN"/>
        </w:rPr>
      </w:pPr>
      <w:r>
        <w:rPr>
          <w:rFonts w:hint="eastAsia"/>
          <w:color w:val="auto"/>
          <w:highlight w:val="none"/>
          <w:lang w:val="en-US" w:eastAsia="zh-CN"/>
        </w:rPr>
        <w:t>监测时间：</w:t>
      </w:r>
    </w:p>
    <w:p w14:paraId="63BFC10A">
      <w:pPr>
        <w:pStyle w:val="41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G1监测时间为2025年4月</w:t>
      </w:r>
      <w:r>
        <w:rPr>
          <w:rFonts w:hint="eastAsia" w:ascii="Times New Roman" w:hAnsi="Times New Roman" w:cs="Times New Roman"/>
          <w:color w:val="auto"/>
          <w:highlight w:val="none"/>
          <w:lang w:val="en-US" w:eastAsia="zh-CN"/>
        </w:rPr>
        <w:t>25</w:t>
      </w:r>
      <w:r>
        <w:rPr>
          <w:rFonts w:hint="default" w:ascii="Times New Roman" w:hAnsi="Times New Roman" w:cs="Times New Roman"/>
          <w:color w:val="auto"/>
          <w:highlight w:val="none"/>
          <w:lang w:val="en-US" w:eastAsia="zh-CN"/>
        </w:rPr>
        <w:t>日，</w:t>
      </w:r>
      <w:r>
        <w:rPr>
          <w:rFonts w:hint="default" w:ascii="Times New Roman" w:hAnsi="Times New Roman" w:eastAsia="宋体" w:cs="Times New Roman"/>
          <w:color w:val="auto"/>
          <w:highlight w:val="none"/>
          <w:u w:val="none"/>
          <w:lang w:val="en-US" w:eastAsia="zh-CN"/>
        </w:rPr>
        <w:t>监测1天，每天采样1次。</w:t>
      </w:r>
    </w:p>
    <w:p w14:paraId="01E32814">
      <w:pPr>
        <w:pStyle w:val="410"/>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lang w:val="en-US" w:eastAsia="zh-CN"/>
        </w:rPr>
        <w:t>G2~G6监测时间为2025年4月21日，</w:t>
      </w:r>
      <w:r>
        <w:rPr>
          <w:rFonts w:hint="default" w:ascii="Times New Roman" w:hAnsi="Times New Roman" w:eastAsia="宋体" w:cs="Times New Roman"/>
          <w:color w:val="auto"/>
          <w:highlight w:val="none"/>
          <w:u w:val="none"/>
          <w:lang w:val="en-US" w:eastAsia="zh-CN"/>
        </w:rPr>
        <w:t>监测1天，每天采样1次。</w:t>
      </w:r>
    </w:p>
    <w:p w14:paraId="3C29C4D5">
      <w:pPr>
        <w:pStyle w:val="5"/>
        <w:numPr>
          <w:ilvl w:val="2"/>
          <w:numId w:val="40"/>
        </w:numPr>
        <w:bidi w:val="0"/>
        <w:ind w:left="452" w:lef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采样及分析方法</w:t>
      </w:r>
    </w:p>
    <w:p w14:paraId="737A45CD">
      <w:pPr>
        <w:pStyle w:val="41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地下水环境质量现状监测</w:t>
      </w:r>
      <w:r>
        <w:rPr>
          <w:rFonts w:hint="default" w:ascii="Times New Roman" w:hAnsi="Times New Roman" w:eastAsia="宋体" w:cs="Times New Roman"/>
          <w:color w:val="auto"/>
          <w:highlight w:val="none"/>
          <w:lang w:val="en-US" w:eastAsia="zh-CN"/>
        </w:rPr>
        <w:t>按照GB/T14848-2017《地下水质量标准》中的要求及原国家环保总局《水和废水监测分析方法》（第四版）中规定的标准进行</w:t>
      </w:r>
      <w:r>
        <w:rPr>
          <w:rFonts w:hint="eastAsia" w:ascii="Times New Roman" w:hAnsi="Times New Roman" w:eastAsia="宋体" w:cs="Times New Roman"/>
          <w:color w:val="auto"/>
          <w:highlight w:val="none"/>
          <w:lang w:val="en-US" w:eastAsia="zh-CN"/>
        </w:rPr>
        <w:t>。</w:t>
      </w:r>
    </w:p>
    <w:p w14:paraId="0AEF49F0">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地下水采样及分析方法</w:t>
      </w:r>
    </w:p>
    <w:tbl>
      <w:tblPr>
        <w:tblStyle w:val="8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407"/>
        <w:gridCol w:w="5171"/>
        <w:gridCol w:w="1417"/>
      </w:tblGrid>
      <w:tr w14:paraId="19ABA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69" w:type="pct"/>
            <w:noWrap w:val="0"/>
            <w:vAlign w:val="center"/>
          </w:tcPr>
          <w:p w14:paraId="6598F1E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检测要素</w:t>
            </w:r>
          </w:p>
        </w:tc>
        <w:tc>
          <w:tcPr>
            <w:tcW w:w="796" w:type="pct"/>
            <w:noWrap w:val="0"/>
            <w:vAlign w:val="center"/>
          </w:tcPr>
          <w:p w14:paraId="53A89BDB">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检测项目</w:t>
            </w:r>
          </w:p>
        </w:tc>
        <w:tc>
          <w:tcPr>
            <w:tcW w:w="2930" w:type="pct"/>
            <w:noWrap w:val="0"/>
            <w:vAlign w:val="center"/>
          </w:tcPr>
          <w:p w14:paraId="56DA4A69">
            <w:pPr>
              <w:keepNext w:val="0"/>
              <w:keepLines w:val="0"/>
              <w:pageBreakBefore w:val="0"/>
              <w:kinsoku/>
              <w:wordWrap/>
              <w:overflowPunct/>
              <w:topLinePunct w:val="0"/>
              <w:autoSpaceDE/>
              <w:autoSpaceDN/>
              <w:bidi w:val="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方法名称及标准号</w:t>
            </w:r>
          </w:p>
        </w:tc>
        <w:tc>
          <w:tcPr>
            <w:tcW w:w="803" w:type="pct"/>
            <w:noWrap w:val="0"/>
            <w:vAlign w:val="center"/>
          </w:tcPr>
          <w:p w14:paraId="316612DF">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color w:val="auto"/>
                <w:sz w:val="21"/>
                <w:szCs w:val="21"/>
                <w:highlight w:val="none"/>
              </w:rPr>
              <w:t>检出限或最低检出浓度</w:t>
            </w:r>
          </w:p>
        </w:tc>
      </w:tr>
      <w:tr w14:paraId="3B9A0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69" w:type="pct"/>
            <w:vMerge w:val="restart"/>
            <w:noWrap w:val="0"/>
            <w:vAlign w:val="center"/>
          </w:tcPr>
          <w:p w14:paraId="4024143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w:t>
            </w:r>
          </w:p>
        </w:tc>
        <w:tc>
          <w:tcPr>
            <w:tcW w:w="796" w:type="pct"/>
            <w:noWrap w:val="0"/>
            <w:vAlign w:val="center"/>
          </w:tcPr>
          <w:p w14:paraId="6F9D7B31">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pH值</w:t>
            </w:r>
          </w:p>
        </w:tc>
        <w:tc>
          <w:tcPr>
            <w:tcW w:w="2930" w:type="pct"/>
            <w:noWrap w:val="0"/>
            <w:vAlign w:val="center"/>
          </w:tcPr>
          <w:p w14:paraId="08070100">
            <w:pPr>
              <w:keepNext w:val="0"/>
              <w:keepLines w:val="0"/>
              <w:pageBreakBefore w:val="0"/>
              <w:kinsoku/>
              <w:wordWrap/>
              <w:overflowPunct/>
              <w:topLinePunct w:val="0"/>
              <w:autoSpaceDE/>
              <w:autoSpaceDN/>
              <w:bidi w:val="0"/>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水质 pH值的测定 电极法（HJ 1147-2020）</w:t>
            </w:r>
          </w:p>
        </w:tc>
        <w:tc>
          <w:tcPr>
            <w:tcW w:w="803" w:type="pct"/>
            <w:noWrap w:val="0"/>
            <w:vAlign w:val="center"/>
          </w:tcPr>
          <w:p w14:paraId="5C9F514E">
            <w:pPr>
              <w:keepNext w:val="0"/>
              <w:keepLines w:val="0"/>
              <w:pageBreakBefore w:val="0"/>
              <w:widowControl/>
              <w:kinsoku/>
              <w:wordWrap/>
              <w:overflowPunct/>
              <w:topLinePunct w:val="0"/>
              <w:autoSpaceDE/>
              <w:autoSpaceDN/>
              <w:bidi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4D9C2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69" w:type="pct"/>
            <w:vMerge w:val="continue"/>
            <w:noWrap w:val="0"/>
            <w:vAlign w:val="center"/>
          </w:tcPr>
          <w:p w14:paraId="735F14D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796" w:type="pct"/>
            <w:noWrap w:val="0"/>
            <w:vAlign w:val="center"/>
          </w:tcPr>
          <w:p w14:paraId="0323661E">
            <w:pPr>
              <w:keepNext w:val="0"/>
              <w:keepLines w:val="0"/>
              <w:pageBreakBefore w:val="0"/>
              <w:suppressLineNumbers w:val="0"/>
              <w:kinsoku/>
              <w:wordWrap/>
              <w:overflowPunct/>
              <w:topLinePunct w:val="0"/>
              <w:autoSpaceDE/>
              <w:autoSpaceDN/>
              <w:bidi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镉</w:t>
            </w:r>
          </w:p>
        </w:tc>
        <w:tc>
          <w:tcPr>
            <w:tcW w:w="2930" w:type="pct"/>
            <w:vMerge w:val="restart"/>
            <w:noWrap w:val="0"/>
            <w:vAlign w:val="center"/>
          </w:tcPr>
          <w:p w14:paraId="6D6ED6A1">
            <w:pPr>
              <w:keepNext w:val="0"/>
              <w:keepLines w:val="0"/>
              <w:pageBreakBefore w:val="0"/>
              <w:suppressLineNumbers w:val="0"/>
              <w:kinsoku/>
              <w:wordWrap/>
              <w:overflowPunct/>
              <w:topLinePunct w:val="0"/>
              <w:autoSpaceDE/>
              <w:autoSpaceDN/>
              <w:bidi w:val="0"/>
              <w:spacing w:before="0" w:beforeAutospacing="0" w:after="0" w:afterAutospacing="0" w:line="240" w:lineRule="atLeas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石墨炉原子吸收分光光度法《水和废水监测分析方法》（第四版）国家环境保护总局 （2002年）</w:t>
            </w:r>
          </w:p>
        </w:tc>
        <w:tc>
          <w:tcPr>
            <w:tcW w:w="803" w:type="pct"/>
            <w:noWrap w:val="0"/>
            <w:vAlign w:val="center"/>
          </w:tcPr>
          <w:p w14:paraId="4F927CB2">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0.1μg/L</w:t>
            </w:r>
          </w:p>
        </w:tc>
      </w:tr>
      <w:tr w14:paraId="69FC2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69" w:type="pct"/>
            <w:vMerge w:val="continue"/>
            <w:noWrap w:val="0"/>
            <w:vAlign w:val="center"/>
          </w:tcPr>
          <w:p w14:paraId="43ABE07F">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796" w:type="pct"/>
            <w:noWrap w:val="0"/>
            <w:vAlign w:val="center"/>
          </w:tcPr>
          <w:p w14:paraId="1EABAE3E">
            <w:pPr>
              <w:keepNext w:val="0"/>
              <w:keepLines w:val="0"/>
              <w:pageBreakBefore w:val="0"/>
              <w:suppressLineNumbers w:val="0"/>
              <w:kinsoku/>
              <w:wordWrap/>
              <w:overflowPunct/>
              <w:topLinePunct w:val="0"/>
              <w:autoSpaceDE/>
              <w:autoSpaceDN/>
              <w:bidi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铅</w:t>
            </w:r>
          </w:p>
        </w:tc>
        <w:tc>
          <w:tcPr>
            <w:tcW w:w="2930" w:type="pct"/>
            <w:vMerge w:val="continue"/>
            <w:noWrap w:val="0"/>
            <w:vAlign w:val="center"/>
          </w:tcPr>
          <w:p w14:paraId="43629A9A">
            <w:pPr>
              <w:keepNext w:val="0"/>
              <w:keepLines w:val="0"/>
              <w:pageBreakBefore w:val="0"/>
              <w:widowControl/>
              <w:kinsoku/>
              <w:wordWrap/>
              <w:overflowPunct/>
              <w:topLinePunct w:val="0"/>
              <w:autoSpaceDE/>
              <w:autoSpaceDN/>
              <w:bidi w:val="0"/>
              <w:jc w:val="center"/>
              <w:rPr>
                <w:rFonts w:hint="default" w:ascii="Times New Roman" w:hAnsi="Times New Roman" w:eastAsia="宋体" w:cs="Times New Roman"/>
                <w:color w:val="auto"/>
                <w:kern w:val="0"/>
                <w:sz w:val="21"/>
                <w:szCs w:val="21"/>
                <w:highlight w:val="none"/>
                <w:lang w:val="en-US" w:eastAsia="zh-CN" w:bidi="ar-SA"/>
              </w:rPr>
            </w:pPr>
          </w:p>
        </w:tc>
        <w:tc>
          <w:tcPr>
            <w:tcW w:w="803" w:type="pct"/>
            <w:noWrap w:val="0"/>
            <w:vAlign w:val="center"/>
          </w:tcPr>
          <w:p w14:paraId="0B991997">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1μg/L</w:t>
            </w:r>
          </w:p>
        </w:tc>
      </w:tr>
      <w:tr w14:paraId="5D5FE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69" w:type="pct"/>
            <w:vMerge w:val="continue"/>
            <w:noWrap w:val="0"/>
            <w:vAlign w:val="center"/>
          </w:tcPr>
          <w:p w14:paraId="7207F427">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796" w:type="pct"/>
            <w:noWrap w:val="0"/>
            <w:vAlign w:val="center"/>
          </w:tcPr>
          <w:p w14:paraId="36C39BF3">
            <w:pPr>
              <w:keepNext w:val="0"/>
              <w:keepLines w:val="0"/>
              <w:pageBreakBefore w:val="0"/>
              <w:suppressLineNumbers w:val="0"/>
              <w:kinsoku/>
              <w:wordWrap/>
              <w:overflowPunct/>
              <w:topLinePunct w:val="0"/>
              <w:autoSpaceDE/>
              <w:autoSpaceDN/>
              <w:bidi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铁</w:t>
            </w:r>
          </w:p>
        </w:tc>
        <w:tc>
          <w:tcPr>
            <w:tcW w:w="2930" w:type="pct"/>
            <w:vMerge w:val="restart"/>
            <w:noWrap w:val="0"/>
            <w:vAlign w:val="center"/>
          </w:tcPr>
          <w:p w14:paraId="4C99EE14">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31"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水质 32种元素的测定 电感耦合等离子体发射光谱法</w:t>
            </w:r>
          </w:p>
          <w:p w14:paraId="1730CCA3">
            <w:pPr>
              <w:keepNext w:val="0"/>
              <w:keepLines w:val="0"/>
              <w:pageBreakBefore w:val="0"/>
              <w:suppressLineNumbers w:val="0"/>
              <w:kinsoku/>
              <w:wordWrap/>
              <w:overflowPunct/>
              <w:topLinePunct w:val="0"/>
              <w:autoSpaceDE/>
              <w:autoSpaceDN/>
              <w:bidi w:val="0"/>
              <w:snapToGrid w:val="0"/>
              <w:spacing w:before="0" w:beforeAutospacing="0" w:after="0" w:afterAutospacing="0" w:line="231"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rPr>
              <w:t>（HJ 776-2015）</w:t>
            </w:r>
          </w:p>
        </w:tc>
        <w:tc>
          <w:tcPr>
            <w:tcW w:w="803" w:type="pct"/>
            <w:noWrap w:val="0"/>
            <w:vAlign w:val="center"/>
          </w:tcPr>
          <w:p w14:paraId="4523C224">
            <w:pPr>
              <w:keepNext w:val="0"/>
              <w:keepLines w:val="0"/>
              <w:pageBreakBefore w:val="0"/>
              <w:widowControl/>
              <w:suppressLineNumbers w:val="0"/>
              <w:kinsoku/>
              <w:wordWrap/>
              <w:overflowPunct/>
              <w:topLinePunct w:val="0"/>
              <w:autoSpaceDE/>
              <w:autoSpaceDN/>
              <w:bidi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0.02</w:t>
            </w:r>
            <w:r>
              <w:rPr>
                <w:rFonts w:hint="default" w:ascii="Times New Roman" w:hAnsi="Times New Roman" w:cs="Times New Roman"/>
                <w:color w:val="auto"/>
                <w:sz w:val="21"/>
                <w:szCs w:val="21"/>
                <w:highlight w:val="none"/>
              </w:rPr>
              <w:t>mg/L</w:t>
            </w:r>
          </w:p>
        </w:tc>
      </w:tr>
      <w:tr w14:paraId="3599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69" w:type="pct"/>
            <w:vMerge w:val="continue"/>
            <w:noWrap w:val="0"/>
            <w:vAlign w:val="center"/>
          </w:tcPr>
          <w:p w14:paraId="581CDAD1">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796" w:type="pct"/>
            <w:noWrap w:val="0"/>
            <w:vAlign w:val="center"/>
          </w:tcPr>
          <w:p w14:paraId="6410E044">
            <w:pPr>
              <w:keepNext w:val="0"/>
              <w:keepLines w:val="0"/>
              <w:pageBreakBefore w:val="0"/>
              <w:suppressLineNumbers w:val="0"/>
              <w:kinsoku/>
              <w:wordWrap/>
              <w:overflowPunct/>
              <w:topLinePunct w:val="0"/>
              <w:autoSpaceDE/>
              <w:autoSpaceDN/>
              <w:bidi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锰</w:t>
            </w:r>
          </w:p>
        </w:tc>
        <w:tc>
          <w:tcPr>
            <w:tcW w:w="2930" w:type="pct"/>
            <w:vMerge w:val="continue"/>
            <w:noWrap w:val="0"/>
            <w:vAlign w:val="center"/>
          </w:tcPr>
          <w:p w14:paraId="7CFC0AE9">
            <w:pPr>
              <w:keepNext w:val="0"/>
              <w:keepLines w:val="0"/>
              <w:pageBreakBefore w:val="0"/>
              <w:kinsoku/>
              <w:wordWrap/>
              <w:overflowPunct/>
              <w:topLinePunct w:val="0"/>
              <w:autoSpaceDE/>
              <w:autoSpaceDN/>
              <w:bidi w:val="0"/>
              <w:spacing w:line="240" w:lineRule="atLeast"/>
              <w:jc w:val="center"/>
              <w:rPr>
                <w:rFonts w:hint="default" w:ascii="Times New Roman" w:hAnsi="Times New Roman" w:eastAsia="宋体" w:cs="Times New Roman"/>
                <w:color w:val="auto"/>
                <w:kern w:val="2"/>
                <w:sz w:val="21"/>
                <w:szCs w:val="21"/>
                <w:highlight w:val="none"/>
                <w:lang w:val="en-US" w:eastAsia="zh-CN" w:bidi="ar-SA"/>
              </w:rPr>
            </w:pPr>
          </w:p>
        </w:tc>
        <w:tc>
          <w:tcPr>
            <w:tcW w:w="803" w:type="pct"/>
            <w:noWrap w:val="0"/>
            <w:vAlign w:val="center"/>
          </w:tcPr>
          <w:p w14:paraId="444CC15D">
            <w:pPr>
              <w:keepNext w:val="0"/>
              <w:keepLines w:val="0"/>
              <w:pageBreakBefore w:val="0"/>
              <w:widowControl/>
              <w:suppressLineNumbers w:val="0"/>
              <w:kinsoku/>
              <w:wordWrap/>
              <w:overflowPunct/>
              <w:topLinePunct w:val="0"/>
              <w:autoSpaceDE/>
              <w:autoSpaceDN/>
              <w:bidi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0.004</w:t>
            </w:r>
            <w:r>
              <w:rPr>
                <w:rFonts w:hint="default" w:ascii="Times New Roman" w:hAnsi="Times New Roman" w:cs="Times New Roman"/>
                <w:color w:val="auto"/>
                <w:sz w:val="21"/>
                <w:szCs w:val="21"/>
                <w:highlight w:val="none"/>
              </w:rPr>
              <w:t>mg/L</w:t>
            </w:r>
          </w:p>
        </w:tc>
      </w:tr>
      <w:tr w14:paraId="28643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69" w:type="pct"/>
            <w:vMerge w:val="continue"/>
            <w:noWrap w:val="0"/>
            <w:vAlign w:val="center"/>
          </w:tcPr>
          <w:p w14:paraId="09F2650E">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796" w:type="pct"/>
            <w:noWrap w:val="0"/>
            <w:vAlign w:val="center"/>
          </w:tcPr>
          <w:p w14:paraId="20ABCA28">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氨氮</w:t>
            </w:r>
          </w:p>
        </w:tc>
        <w:tc>
          <w:tcPr>
            <w:tcW w:w="2930" w:type="pct"/>
            <w:noWrap w:val="0"/>
            <w:vAlign w:val="center"/>
          </w:tcPr>
          <w:p w14:paraId="39E790D2">
            <w:pPr>
              <w:keepNext w:val="0"/>
              <w:keepLines w:val="0"/>
              <w:pageBreakBefore w:val="0"/>
              <w:kinsoku/>
              <w:wordWrap/>
              <w:overflowPunct/>
              <w:topLinePunct w:val="0"/>
              <w:autoSpaceDE/>
              <w:autoSpaceDN/>
              <w:bidi w:val="0"/>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水质 氨氮的测定 纳氏试剂分光光度法（HJ 535-2009）</w:t>
            </w:r>
          </w:p>
        </w:tc>
        <w:tc>
          <w:tcPr>
            <w:tcW w:w="803" w:type="pct"/>
            <w:noWrap w:val="0"/>
            <w:vAlign w:val="center"/>
          </w:tcPr>
          <w:p w14:paraId="0006D4E8">
            <w:pPr>
              <w:keepNext w:val="0"/>
              <w:keepLines w:val="0"/>
              <w:pageBreakBefore w:val="0"/>
              <w:widowControl/>
              <w:kinsoku/>
              <w:wordWrap/>
              <w:overflowPunct/>
              <w:topLinePunct w:val="0"/>
              <w:autoSpaceDE/>
              <w:autoSpaceDN/>
              <w:bidi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0.025mg/L</w:t>
            </w:r>
          </w:p>
        </w:tc>
      </w:tr>
      <w:tr w14:paraId="3BF7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69" w:type="pct"/>
            <w:vMerge w:val="continue"/>
            <w:noWrap w:val="0"/>
            <w:vAlign w:val="center"/>
          </w:tcPr>
          <w:p w14:paraId="574B79A4">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796" w:type="pct"/>
            <w:noWrap w:val="0"/>
            <w:vAlign w:val="center"/>
          </w:tcPr>
          <w:p w14:paraId="0D8B34C4">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u w:val="none"/>
                <w:lang w:val="en-US" w:eastAsia="zh-CN" w:bidi="ar-SA"/>
              </w:rPr>
              <w:t>高锰酸盐指数（以O</w:t>
            </w:r>
            <w:r>
              <w:rPr>
                <w:rFonts w:hint="default" w:ascii="Times New Roman" w:hAnsi="Times New Roman" w:eastAsia="宋体" w:cs="Times New Roman"/>
                <w:b w:val="0"/>
                <w:bCs/>
                <w:color w:val="auto"/>
                <w:kern w:val="2"/>
                <w:sz w:val="21"/>
                <w:szCs w:val="21"/>
                <w:highlight w:val="none"/>
                <w:u w:val="none"/>
                <w:vertAlign w:val="subscript"/>
                <w:lang w:val="en-US" w:eastAsia="zh-CN" w:bidi="ar-SA"/>
              </w:rPr>
              <w:t>2</w:t>
            </w:r>
            <w:r>
              <w:rPr>
                <w:rFonts w:hint="default" w:ascii="Times New Roman" w:hAnsi="Times New Roman" w:eastAsia="宋体" w:cs="Times New Roman"/>
                <w:b w:val="0"/>
                <w:bCs/>
                <w:color w:val="auto"/>
                <w:kern w:val="2"/>
                <w:sz w:val="21"/>
                <w:szCs w:val="21"/>
                <w:highlight w:val="none"/>
                <w:u w:val="none"/>
                <w:lang w:val="en-US" w:eastAsia="zh-CN" w:bidi="ar-SA"/>
              </w:rPr>
              <w:t>计）</w:t>
            </w:r>
          </w:p>
        </w:tc>
        <w:tc>
          <w:tcPr>
            <w:tcW w:w="2930" w:type="pct"/>
            <w:noWrap w:val="0"/>
            <w:vAlign w:val="center"/>
          </w:tcPr>
          <w:p w14:paraId="7198E6B2">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生活饮用水标准检验方法 第7部分： 有机</w:t>
            </w:r>
            <w:r>
              <w:rPr>
                <w:rFonts w:hint="eastAsia" w:ascii="Times New Roman" w:cs="Times New Roman"/>
                <w:color w:val="auto"/>
                <w:kern w:val="0"/>
                <w:sz w:val="21"/>
                <w:szCs w:val="21"/>
                <w:highlight w:val="none"/>
                <w:lang w:val="en-US" w:eastAsia="zh-CN" w:bidi="ar"/>
              </w:rPr>
              <w:t>0.008</w:t>
            </w:r>
            <w:r>
              <w:rPr>
                <w:rFonts w:hint="default" w:ascii="Times New Roman" w:hAnsi="Times New Roman" w:cs="Times New Roman"/>
                <w:color w:val="auto"/>
                <w:kern w:val="0"/>
                <w:sz w:val="21"/>
                <w:szCs w:val="21"/>
                <w:highlight w:val="none"/>
                <w:lang w:bidi="ar"/>
              </w:rPr>
              <w:t>物综合指标（4.1 酸性高锰酸钾滴定法）（GB/T 5750.7-2023）</w:t>
            </w:r>
          </w:p>
        </w:tc>
        <w:tc>
          <w:tcPr>
            <w:tcW w:w="803" w:type="pct"/>
            <w:noWrap w:val="0"/>
            <w:vAlign w:val="center"/>
          </w:tcPr>
          <w:p w14:paraId="7A51C1DE">
            <w:pPr>
              <w:keepNext w:val="0"/>
              <w:keepLines w:val="0"/>
              <w:pageBreakBefore w:val="0"/>
              <w:widowControl/>
              <w:kinsoku/>
              <w:wordWrap/>
              <w:overflowPunct/>
              <w:topLinePunct w:val="0"/>
              <w:autoSpaceDE/>
              <w:autoSpaceDN/>
              <w:bidi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0.05</w:t>
            </w:r>
            <w:r>
              <w:rPr>
                <w:rFonts w:hint="default" w:ascii="Times New Roman" w:hAnsi="Times New Roman" w:cs="Times New Roman"/>
                <w:color w:val="auto"/>
                <w:sz w:val="21"/>
                <w:szCs w:val="21"/>
                <w:highlight w:val="none"/>
              </w:rPr>
              <w:t>mg/L</w:t>
            </w:r>
          </w:p>
        </w:tc>
      </w:tr>
      <w:tr w14:paraId="789F2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69" w:type="pct"/>
            <w:vMerge w:val="continue"/>
            <w:noWrap w:val="0"/>
            <w:vAlign w:val="center"/>
          </w:tcPr>
          <w:p w14:paraId="30DFD26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796" w:type="pct"/>
            <w:noWrap w:val="0"/>
            <w:vAlign w:val="center"/>
          </w:tcPr>
          <w:p w14:paraId="74E0B794">
            <w:pPr>
              <w:keepNext w:val="0"/>
              <w:keepLines w:val="0"/>
              <w:pageBreakBefore w:val="0"/>
              <w:suppressLineNumbers w:val="0"/>
              <w:kinsoku/>
              <w:wordWrap/>
              <w:overflowPunct/>
              <w:topLinePunct w:val="0"/>
              <w:autoSpaceDE/>
              <w:autoSpaceDN/>
              <w:bidi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挥发酚</w:t>
            </w:r>
          </w:p>
        </w:tc>
        <w:tc>
          <w:tcPr>
            <w:tcW w:w="2930" w:type="pct"/>
            <w:noWrap w:val="0"/>
            <w:vAlign w:val="center"/>
          </w:tcPr>
          <w:p w14:paraId="75A50C32">
            <w:pPr>
              <w:keepNext w:val="0"/>
              <w:keepLines w:val="0"/>
              <w:pageBreakBefore w:val="0"/>
              <w:suppressLineNumbers w:val="0"/>
              <w:kinsoku/>
              <w:wordWrap/>
              <w:overflowPunct/>
              <w:topLinePunct w:val="0"/>
              <w:autoSpaceDE/>
              <w:autoSpaceDN/>
              <w:bidi w:val="0"/>
              <w:spacing w:before="0" w:beforeAutospacing="0" w:after="0" w:afterAutospacing="0" w:line="240" w:lineRule="atLeas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水质 挥发酚的测定 4-氨基安替比林分光光度法（方法1萃取分光光度法）（HJ 503-2009）</w:t>
            </w:r>
          </w:p>
        </w:tc>
        <w:tc>
          <w:tcPr>
            <w:tcW w:w="803" w:type="pct"/>
            <w:noWrap w:val="0"/>
            <w:vAlign w:val="center"/>
          </w:tcPr>
          <w:p w14:paraId="4AF1ED76">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0.0003mg/L</w:t>
            </w:r>
          </w:p>
        </w:tc>
      </w:tr>
      <w:tr w14:paraId="23A77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69" w:type="pct"/>
            <w:vMerge w:val="continue"/>
            <w:noWrap w:val="0"/>
            <w:vAlign w:val="center"/>
          </w:tcPr>
          <w:p w14:paraId="7F689006">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796" w:type="pct"/>
            <w:noWrap w:val="0"/>
            <w:vAlign w:val="center"/>
          </w:tcPr>
          <w:p w14:paraId="4A17EF33">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K</w:t>
            </w:r>
            <w:r>
              <w:rPr>
                <w:rFonts w:hint="default" w:ascii="Times New Roman" w:hAnsi="Times New Roman" w:cs="Times New Roman"/>
                <w:color w:val="auto"/>
                <w:sz w:val="21"/>
                <w:szCs w:val="21"/>
                <w:highlight w:val="none"/>
                <w:vertAlign w:val="superscript"/>
              </w:rPr>
              <w:t>+</w:t>
            </w:r>
          </w:p>
        </w:tc>
        <w:tc>
          <w:tcPr>
            <w:tcW w:w="2930" w:type="pct"/>
            <w:vMerge w:val="restart"/>
            <w:noWrap w:val="0"/>
            <w:vAlign w:val="center"/>
          </w:tcPr>
          <w:p w14:paraId="739E7ADC">
            <w:pPr>
              <w:keepNext w:val="0"/>
              <w:keepLines w:val="0"/>
              <w:pageBreakBefore w:val="0"/>
              <w:widowControl/>
              <w:kinsoku/>
              <w:wordWrap/>
              <w:overflowPunct/>
              <w:topLinePunct w:val="0"/>
              <w:autoSpaceDE/>
              <w:autoSpaceDN/>
              <w:bidi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水质 可溶性阳离子（Li</w:t>
            </w:r>
            <w:r>
              <w:rPr>
                <w:rFonts w:hint="default" w:ascii="Times New Roman" w:hAnsi="Times New Roman" w:cs="Times New Roman"/>
                <w:color w:val="auto"/>
                <w:kern w:val="0"/>
                <w:sz w:val="21"/>
                <w:szCs w:val="21"/>
                <w:highlight w:val="none"/>
                <w:vertAlign w:val="superscript"/>
              </w:rPr>
              <w:t>+</w:t>
            </w:r>
            <w:r>
              <w:rPr>
                <w:rFonts w:hint="default" w:ascii="Times New Roman" w:hAnsi="Times New Roman" w:cs="Times New Roman"/>
                <w:color w:val="auto"/>
                <w:kern w:val="0"/>
                <w:sz w:val="21"/>
                <w:szCs w:val="21"/>
                <w:highlight w:val="none"/>
              </w:rPr>
              <w:t xml:space="preserve"> 、Na</w:t>
            </w:r>
            <w:r>
              <w:rPr>
                <w:rFonts w:hint="default" w:ascii="Times New Roman" w:hAnsi="Times New Roman" w:cs="Times New Roman"/>
                <w:color w:val="auto"/>
                <w:kern w:val="0"/>
                <w:sz w:val="21"/>
                <w:szCs w:val="21"/>
                <w:highlight w:val="none"/>
                <w:vertAlign w:val="superscript"/>
              </w:rPr>
              <w:t>+</w:t>
            </w:r>
            <w:r>
              <w:rPr>
                <w:rFonts w:hint="default" w:ascii="Times New Roman" w:hAnsi="Times New Roman" w:cs="Times New Roman"/>
                <w:color w:val="auto"/>
                <w:kern w:val="0"/>
                <w:sz w:val="21"/>
                <w:szCs w:val="21"/>
                <w:highlight w:val="none"/>
              </w:rPr>
              <w:t>、NH</w:t>
            </w:r>
            <w:r>
              <w:rPr>
                <w:rFonts w:hint="default" w:ascii="Times New Roman" w:hAnsi="Times New Roman" w:cs="Times New Roman"/>
                <w:color w:val="auto"/>
                <w:kern w:val="0"/>
                <w:sz w:val="21"/>
                <w:szCs w:val="21"/>
                <w:highlight w:val="none"/>
                <w:vertAlign w:val="subscript"/>
              </w:rPr>
              <w:t>4</w:t>
            </w:r>
            <w:r>
              <w:rPr>
                <w:rFonts w:hint="default" w:ascii="Times New Roman" w:hAnsi="Times New Roman" w:cs="Times New Roman"/>
                <w:color w:val="auto"/>
                <w:kern w:val="0"/>
                <w:sz w:val="21"/>
                <w:szCs w:val="21"/>
                <w:highlight w:val="none"/>
                <w:vertAlign w:val="superscript"/>
              </w:rPr>
              <w:t>+</w:t>
            </w:r>
            <w:r>
              <w:rPr>
                <w:rFonts w:hint="default" w:ascii="Times New Roman" w:hAnsi="Times New Roman" w:cs="Times New Roman"/>
                <w:color w:val="auto"/>
                <w:kern w:val="0"/>
                <w:sz w:val="21"/>
                <w:szCs w:val="21"/>
                <w:highlight w:val="none"/>
              </w:rPr>
              <w:t>、K</w:t>
            </w:r>
            <w:r>
              <w:rPr>
                <w:rFonts w:hint="default" w:ascii="Times New Roman" w:hAnsi="Times New Roman" w:cs="Times New Roman"/>
                <w:color w:val="auto"/>
                <w:kern w:val="0"/>
                <w:sz w:val="21"/>
                <w:szCs w:val="21"/>
                <w:highlight w:val="none"/>
                <w:vertAlign w:val="superscript"/>
              </w:rPr>
              <w:t>+</w:t>
            </w:r>
            <w:r>
              <w:rPr>
                <w:rFonts w:hint="default" w:ascii="Times New Roman" w:hAnsi="Times New Roman" w:cs="Times New Roman"/>
                <w:color w:val="auto"/>
                <w:kern w:val="0"/>
                <w:sz w:val="21"/>
                <w:szCs w:val="21"/>
                <w:highlight w:val="none"/>
              </w:rPr>
              <w:t>、Ca</w:t>
            </w:r>
            <w:r>
              <w:rPr>
                <w:rFonts w:hint="default" w:ascii="Times New Roman" w:hAnsi="Times New Roman" w:cs="Times New Roman"/>
                <w:color w:val="auto"/>
                <w:kern w:val="0"/>
                <w:sz w:val="21"/>
                <w:szCs w:val="21"/>
                <w:highlight w:val="none"/>
                <w:vertAlign w:val="superscript"/>
              </w:rPr>
              <w:t>2+</w:t>
            </w:r>
            <w:r>
              <w:rPr>
                <w:rFonts w:hint="default" w:ascii="Times New Roman" w:hAnsi="Times New Roman" w:cs="Times New Roman"/>
                <w:color w:val="auto"/>
                <w:kern w:val="0"/>
                <w:sz w:val="21"/>
                <w:szCs w:val="21"/>
                <w:highlight w:val="none"/>
              </w:rPr>
              <w:t>、Mg</w:t>
            </w:r>
            <w:r>
              <w:rPr>
                <w:rFonts w:hint="default" w:ascii="Times New Roman" w:hAnsi="Times New Roman" w:cs="Times New Roman"/>
                <w:color w:val="auto"/>
                <w:kern w:val="0"/>
                <w:sz w:val="21"/>
                <w:szCs w:val="21"/>
                <w:highlight w:val="none"/>
                <w:vertAlign w:val="superscript"/>
              </w:rPr>
              <w:t>2+</w:t>
            </w:r>
            <w:r>
              <w:rPr>
                <w:rFonts w:hint="default" w:ascii="Times New Roman" w:hAnsi="Times New Roman" w:cs="Times New Roman"/>
                <w:color w:val="auto"/>
                <w:kern w:val="0"/>
                <w:sz w:val="21"/>
                <w:szCs w:val="21"/>
                <w:highlight w:val="none"/>
              </w:rPr>
              <w:t>）的测定 离子色谱法 （HJ 812-2016）</w:t>
            </w:r>
          </w:p>
        </w:tc>
        <w:tc>
          <w:tcPr>
            <w:tcW w:w="803" w:type="pct"/>
            <w:noWrap w:val="0"/>
            <w:vAlign w:val="center"/>
          </w:tcPr>
          <w:p w14:paraId="11DBE0E3">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rPr>
              <w:t>0.02mg/L</w:t>
            </w:r>
          </w:p>
        </w:tc>
      </w:tr>
      <w:tr w14:paraId="7624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69" w:type="pct"/>
            <w:vMerge w:val="continue"/>
            <w:noWrap w:val="0"/>
            <w:vAlign w:val="center"/>
          </w:tcPr>
          <w:p w14:paraId="6989037C">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796" w:type="pct"/>
            <w:noWrap w:val="0"/>
            <w:vAlign w:val="center"/>
          </w:tcPr>
          <w:p w14:paraId="18A0EF47">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Na</w:t>
            </w:r>
            <w:r>
              <w:rPr>
                <w:rFonts w:hint="default" w:ascii="Times New Roman" w:hAnsi="Times New Roman" w:cs="Times New Roman"/>
                <w:color w:val="auto"/>
                <w:sz w:val="21"/>
                <w:szCs w:val="21"/>
                <w:highlight w:val="none"/>
                <w:vertAlign w:val="superscript"/>
              </w:rPr>
              <w:t>+</w:t>
            </w:r>
          </w:p>
        </w:tc>
        <w:tc>
          <w:tcPr>
            <w:tcW w:w="2930" w:type="pct"/>
            <w:vMerge w:val="continue"/>
            <w:noWrap w:val="0"/>
            <w:vAlign w:val="center"/>
          </w:tcPr>
          <w:p w14:paraId="435A2F09">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2"/>
                <w:sz w:val="21"/>
                <w:szCs w:val="21"/>
                <w:highlight w:val="none"/>
                <w:lang w:val="en-US" w:eastAsia="zh-CN" w:bidi="ar-SA"/>
              </w:rPr>
            </w:pPr>
          </w:p>
        </w:tc>
        <w:tc>
          <w:tcPr>
            <w:tcW w:w="803" w:type="pct"/>
            <w:noWrap w:val="0"/>
            <w:vAlign w:val="center"/>
          </w:tcPr>
          <w:p w14:paraId="5CBEA32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rPr>
              <w:t>0.02mg/L</w:t>
            </w:r>
          </w:p>
        </w:tc>
      </w:tr>
      <w:tr w14:paraId="3BB16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69" w:type="pct"/>
            <w:vMerge w:val="continue"/>
            <w:noWrap w:val="0"/>
            <w:vAlign w:val="center"/>
          </w:tcPr>
          <w:p w14:paraId="294D174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796" w:type="pct"/>
            <w:noWrap w:val="0"/>
            <w:vAlign w:val="center"/>
          </w:tcPr>
          <w:p w14:paraId="655D4041">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Ca</w:t>
            </w:r>
            <w:r>
              <w:rPr>
                <w:rFonts w:hint="default" w:ascii="Times New Roman" w:hAnsi="Times New Roman" w:cs="Times New Roman"/>
                <w:color w:val="auto"/>
                <w:sz w:val="21"/>
                <w:szCs w:val="21"/>
                <w:highlight w:val="none"/>
                <w:vertAlign w:val="superscript"/>
              </w:rPr>
              <w:t>2+</w:t>
            </w:r>
          </w:p>
        </w:tc>
        <w:tc>
          <w:tcPr>
            <w:tcW w:w="2930" w:type="pct"/>
            <w:vMerge w:val="continue"/>
            <w:noWrap w:val="0"/>
            <w:vAlign w:val="center"/>
          </w:tcPr>
          <w:p w14:paraId="1461E1E4">
            <w:pPr>
              <w:keepNext w:val="0"/>
              <w:keepLines w:val="0"/>
              <w:pageBreakBefore w:val="0"/>
              <w:kinsoku/>
              <w:wordWrap/>
              <w:overflowPunct/>
              <w:topLinePunct w:val="0"/>
              <w:autoSpaceDE/>
              <w:autoSpaceDN/>
              <w:bidi w:val="0"/>
              <w:spacing w:line="240" w:lineRule="atLeast"/>
              <w:jc w:val="center"/>
              <w:rPr>
                <w:rFonts w:hint="default" w:ascii="Times New Roman" w:hAnsi="Times New Roman" w:eastAsia="宋体" w:cs="Times New Roman"/>
                <w:color w:val="auto"/>
                <w:kern w:val="2"/>
                <w:sz w:val="21"/>
                <w:szCs w:val="21"/>
                <w:highlight w:val="none"/>
                <w:lang w:val="en-US" w:eastAsia="zh-CN" w:bidi="ar-SA"/>
              </w:rPr>
            </w:pPr>
          </w:p>
        </w:tc>
        <w:tc>
          <w:tcPr>
            <w:tcW w:w="803" w:type="pct"/>
            <w:noWrap w:val="0"/>
            <w:vAlign w:val="center"/>
          </w:tcPr>
          <w:p w14:paraId="118E0B13">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rPr>
              <w:t>0.03mg/L</w:t>
            </w:r>
          </w:p>
        </w:tc>
      </w:tr>
      <w:tr w14:paraId="3C2B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69" w:type="pct"/>
            <w:vMerge w:val="continue"/>
            <w:noWrap w:val="0"/>
            <w:vAlign w:val="center"/>
          </w:tcPr>
          <w:p w14:paraId="72F99D73">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796" w:type="pct"/>
            <w:noWrap w:val="0"/>
            <w:vAlign w:val="center"/>
          </w:tcPr>
          <w:p w14:paraId="099860F3">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Mg</w:t>
            </w:r>
            <w:r>
              <w:rPr>
                <w:rFonts w:hint="default" w:ascii="Times New Roman" w:hAnsi="Times New Roman" w:cs="Times New Roman"/>
                <w:color w:val="auto"/>
                <w:sz w:val="21"/>
                <w:szCs w:val="21"/>
                <w:highlight w:val="none"/>
                <w:vertAlign w:val="superscript"/>
              </w:rPr>
              <w:t>2+</w:t>
            </w:r>
          </w:p>
        </w:tc>
        <w:tc>
          <w:tcPr>
            <w:tcW w:w="2930" w:type="pct"/>
            <w:vMerge w:val="continue"/>
            <w:noWrap w:val="0"/>
            <w:vAlign w:val="center"/>
          </w:tcPr>
          <w:p w14:paraId="1A05DD29">
            <w:pPr>
              <w:keepNext w:val="0"/>
              <w:keepLines w:val="0"/>
              <w:pageBreakBefore w:val="0"/>
              <w:suppressLineNumbers w:val="0"/>
              <w:kinsoku/>
              <w:wordWrap/>
              <w:overflowPunct/>
              <w:topLinePunct w:val="0"/>
              <w:autoSpaceDE/>
              <w:autoSpaceDN/>
              <w:bidi w:val="0"/>
              <w:spacing w:before="0" w:beforeAutospacing="0" w:after="0" w:afterAutospacing="0" w:line="240" w:lineRule="atLeas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p>
        </w:tc>
        <w:tc>
          <w:tcPr>
            <w:tcW w:w="803" w:type="pct"/>
            <w:noWrap w:val="0"/>
            <w:vAlign w:val="center"/>
          </w:tcPr>
          <w:p w14:paraId="39AB276A">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rPr>
              <w:t>0.02mg/L</w:t>
            </w:r>
          </w:p>
        </w:tc>
      </w:tr>
      <w:tr w14:paraId="55FC2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69" w:type="pct"/>
            <w:vMerge w:val="continue"/>
            <w:noWrap w:val="0"/>
            <w:vAlign w:val="center"/>
          </w:tcPr>
          <w:p w14:paraId="0FD0FA47">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796" w:type="pct"/>
            <w:noWrap w:val="0"/>
            <w:vAlign w:val="center"/>
          </w:tcPr>
          <w:p w14:paraId="732A436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CO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vertAlign w:val="superscript"/>
              </w:rPr>
              <w:t>2-</w:t>
            </w:r>
          </w:p>
        </w:tc>
        <w:tc>
          <w:tcPr>
            <w:tcW w:w="2930" w:type="pct"/>
            <w:vMerge w:val="restart"/>
            <w:noWrap w:val="0"/>
            <w:vAlign w:val="center"/>
          </w:tcPr>
          <w:p w14:paraId="3F01FEEC">
            <w:pPr>
              <w:keepNext w:val="0"/>
              <w:keepLines w:val="0"/>
              <w:pageBreakBefore w:val="0"/>
              <w:widowControl/>
              <w:kinsoku/>
              <w:wordWrap/>
              <w:overflowPunct/>
              <w:topLinePunct w:val="0"/>
              <w:autoSpaceDE/>
              <w:autoSpaceDN/>
              <w:bidi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碱度 酸碱指示剂滴定法《水和废水监测分析方法》（第四版增补版）国家环境保护总局 （2002年）</w:t>
            </w:r>
          </w:p>
        </w:tc>
        <w:tc>
          <w:tcPr>
            <w:tcW w:w="803" w:type="pct"/>
            <w:noWrap w:val="0"/>
            <w:vAlign w:val="center"/>
          </w:tcPr>
          <w:p w14:paraId="3118F52B">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0BB6B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69" w:type="pct"/>
            <w:vMerge w:val="continue"/>
            <w:noWrap w:val="0"/>
            <w:vAlign w:val="center"/>
          </w:tcPr>
          <w:p w14:paraId="5B1DD50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796" w:type="pct"/>
            <w:noWrap w:val="0"/>
            <w:vAlign w:val="center"/>
          </w:tcPr>
          <w:p w14:paraId="57E240D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HCO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vertAlign w:val="superscript"/>
              </w:rPr>
              <w:t>-</w:t>
            </w:r>
          </w:p>
        </w:tc>
        <w:tc>
          <w:tcPr>
            <w:tcW w:w="2930" w:type="pct"/>
            <w:vMerge w:val="continue"/>
            <w:noWrap w:val="0"/>
            <w:vAlign w:val="center"/>
          </w:tcPr>
          <w:p w14:paraId="089F61AB">
            <w:pPr>
              <w:keepNext w:val="0"/>
              <w:keepLines w:val="0"/>
              <w:pageBreakBefore w:val="0"/>
              <w:suppressLineNumbers w:val="0"/>
              <w:kinsoku/>
              <w:wordWrap/>
              <w:overflowPunct/>
              <w:topLinePunct w:val="0"/>
              <w:autoSpaceDE/>
              <w:autoSpaceDN/>
              <w:bidi w:val="0"/>
              <w:snapToGrid w:val="0"/>
              <w:spacing w:before="0" w:beforeAutospacing="0" w:after="0" w:afterAutospacing="0" w:line="231"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p>
        </w:tc>
        <w:tc>
          <w:tcPr>
            <w:tcW w:w="803" w:type="pct"/>
            <w:noWrap w:val="0"/>
            <w:vAlign w:val="center"/>
          </w:tcPr>
          <w:p w14:paraId="181246CE">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0346D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69" w:type="pct"/>
            <w:vMerge w:val="continue"/>
            <w:noWrap w:val="0"/>
            <w:vAlign w:val="center"/>
          </w:tcPr>
          <w:p w14:paraId="11A680DB">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796" w:type="pct"/>
            <w:noWrap w:val="0"/>
            <w:vAlign w:val="center"/>
          </w:tcPr>
          <w:p w14:paraId="29DD2AE6">
            <w:pPr>
              <w:keepNext w:val="0"/>
              <w:keepLines w:val="0"/>
              <w:pageBreakBefore w:val="0"/>
              <w:suppressLineNumbers w:val="0"/>
              <w:kinsoku/>
              <w:wordWrap/>
              <w:overflowPunct/>
              <w:topLinePunct w:val="0"/>
              <w:autoSpaceDE/>
              <w:autoSpaceDN/>
              <w:bidi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Cl</w:t>
            </w:r>
            <w:r>
              <w:rPr>
                <w:rFonts w:hint="default" w:ascii="Times New Roman" w:hAnsi="Times New Roman" w:eastAsia="宋体" w:cs="Times New Roman"/>
                <w:color w:val="auto"/>
                <w:sz w:val="21"/>
                <w:szCs w:val="21"/>
                <w:highlight w:val="none"/>
                <w:vertAlign w:val="superscript"/>
                <w:lang w:val="en-US" w:eastAsia="zh-CN"/>
              </w:rPr>
              <w:t>-</w:t>
            </w:r>
          </w:p>
        </w:tc>
        <w:tc>
          <w:tcPr>
            <w:tcW w:w="2930" w:type="pct"/>
            <w:vMerge w:val="restart"/>
            <w:noWrap w:val="0"/>
            <w:vAlign w:val="center"/>
          </w:tcPr>
          <w:p w14:paraId="54F2820D">
            <w:pPr>
              <w:keepNext w:val="0"/>
              <w:keepLines w:val="0"/>
              <w:pageBreakBefore w:val="0"/>
              <w:suppressLineNumbers w:val="0"/>
              <w:kinsoku/>
              <w:wordWrap/>
              <w:overflowPunct/>
              <w:topLinePunct w:val="0"/>
              <w:autoSpaceDE/>
              <w:autoSpaceDN/>
              <w:bidi w:val="0"/>
              <w:spacing w:before="0" w:beforeAutospacing="0" w:after="0" w:afterAutospacing="0" w:line="240" w:lineRule="atLeas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rPr>
              <w:t>水质 无机阴离子（F</w:t>
            </w:r>
            <w:r>
              <w:rPr>
                <w:rFonts w:hint="default" w:ascii="Times New Roman" w:hAnsi="Times New Roman" w:cs="Times New Roman"/>
                <w:color w:val="auto"/>
                <w:kern w:val="0"/>
                <w:sz w:val="21"/>
                <w:szCs w:val="21"/>
                <w:highlight w:val="none"/>
                <w:vertAlign w:val="superscript"/>
              </w:rPr>
              <w:t>-</w:t>
            </w:r>
            <w:r>
              <w:rPr>
                <w:rFonts w:hint="default" w:ascii="Times New Roman" w:hAnsi="Times New Roman" w:cs="Times New Roman"/>
                <w:color w:val="auto"/>
                <w:kern w:val="0"/>
                <w:sz w:val="21"/>
                <w:szCs w:val="21"/>
                <w:highlight w:val="none"/>
              </w:rPr>
              <w:t>、Cl</w:t>
            </w:r>
            <w:r>
              <w:rPr>
                <w:rFonts w:hint="default" w:ascii="Times New Roman" w:hAnsi="Times New Roman" w:cs="Times New Roman"/>
                <w:color w:val="auto"/>
                <w:kern w:val="0"/>
                <w:sz w:val="21"/>
                <w:szCs w:val="21"/>
                <w:highlight w:val="none"/>
                <w:vertAlign w:val="superscript"/>
              </w:rPr>
              <w:t>-</w:t>
            </w:r>
            <w:r>
              <w:rPr>
                <w:rFonts w:hint="default" w:ascii="Times New Roman" w:hAnsi="Times New Roman" w:cs="Times New Roman"/>
                <w:color w:val="auto"/>
                <w:kern w:val="0"/>
                <w:sz w:val="21"/>
                <w:szCs w:val="21"/>
                <w:highlight w:val="none"/>
              </w:rPr>
              <w:t>、NO</w:t>
            </w:r>
            <w:r>
              <w:rPr>
                <w:rFonts w:hint="default" w:ascii="Times New Roman" w:hAnsi="Times New Roman" w:cs="Times New Roman"/>
                <w:color w:val="auto"/>
                <w:kern w:val="0"/>
                <w:sz w:val="21"/>
                <w:szCs w:val="21"/>
                <w:highlight w:val="none"/>
                <w:vertAlign w:val="subscript"/>
              </w:rPr>
              <w:t>2</w:t>
            </w:r>
            <w:r>
              <w:rPr>
                <w:rFonts w:hint="default" w:ascii="Times New Roman" w:hAnsi="Times New Roman" w:cs="Times New Roman"/>
                <w:color w:val="auto"/>
                <w:kern w:val="0"/>
                <w:sz w:val="21"/>
                <w:szCs w:val="21"/>
                <w:highlight w:val="none"/>
                <w:vertAlign w:val="superscript"/>
              </w:rPr>
              <w:t>-</w:t>
            </w:r>
            <w:r>
              <w:rPr>
                <w:rFonts w:hint="default" w:ascii="Times New Roman" w:hAnsi="Times New Roman" w:cs="Times New Roman"/>
                <w:color w:val="auto"/>
                <w:kern w:val="0"/>
                <w:sz w:val="21"/>
                <w:szCs w:val="21"/>
                <w:highlight w:val="none"/>
              </w:rPr>
              <w:t>、Br</w:t>
            </w:r>
            <w:r>
              <w:rPr>
                <w:rFonts w:hint="default" w:ascii="Times New Roman" w:hAnsi="Times New Roman" w:cs="Times New Roman"/>
                <w:color w:val="auto"/>
                <w:kern w:val="0"/>
                <w:sz w:val="21"/>
                <w:szCs w:val="21"/>
                <w:highlight w:val="none"/>
                <w:vertAlign w:val="superscript"/>
              </w:rPr>
              <w:t>-</w:t>
            </w:r>
            <w:r>
              <w:rPr>
                <w:rFonts w:hint="default" w:ascii="Times New Roman" w:hAnsi="Times New Roman" w:cs="Times New Roman"/>
                <w:color w:val="auto"/>
                <w:kern w:val="0"/>
                <w:sz w:val="21"/>
                <w:szCs w:val="21"/>
                <w:highlight w:val="none"/>
              </w:rPr>
              <w:t>、NO</w:t>
            </w:r>
            <w:r>
              <w:rPr>
                <w:rFonts w:hint="default" w:ascii="Times New Roman" w:hAnsi="Times New Roman" w:cs="Times New Roman"/>
                <w:color w:val="auto"/>
                <w:kern w:val="0"/>
                <w:sz w:val="21"/>
                <w:szCs w:val="21"/>
                <w:highlight w:val="none"/>
                <w:vertAlign w:val="subscript"/>
              </w:rPr>
              <w:t>3</w:t>
            </w:r>
            <w:r>
              <w:rPr>
                <w:rFonts w:hint="default" w:ascii="Times New Roman" w:hAnsi="Times New Roman" w:cs="Times New Roman"/>
                <w:color w:val="auto"/>
                <w:kern w:val="0"/>
                <w:sz w:val="21"/>
                <w:szCs w:val="21"/>
                <w:highlight w:val="none"/>
                <w:vertAlign w:val="superscript"/>
              </w:rPr>
              <w:t>-</w:t>
            </w:r>
            <w:r>
              <w:rPr>
                <w:rFonts w:hint="default" w:ascii="Times New Roman" w:hAnsi="Times New Roman" w:cs="Times New Roman"/>
                <w:color w:val="auto"/>
                <w:kern w:val="0"/>
                <w:sz w:val="21"/>
                <w:szCs w:val="21"/>
                <w:highlight w:val="none"/>
              </w:rPr>
              <w:t>、PO</w:t>
            </w:r>
            <w:r>
              <w:rPr>
                <w:rFonts w:hint="default" w:ascii="Times New Roman" w:hAnsi="Times New Roman" w:cs="Times New Roman"/>
                <w:color w:val="auto"/>
                <w:kern w:val="0"/>
                <w:sz w:val="21"/>
                <w:szCs w:val="21"/>
                <w:highlight w:val="none"/>
                <w:vertAlign w:val="subscript"/>
              </w:rPr>
              <w:t>4</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、SO</w:t>
            </w:r>
            <w:r>
              <w:rPr>
                <w:rFonts w:hint="default" w:ascii="Times New Roman" w:hAnsi="Times New Roman" w:cs="Times New Roman"/>
                <w:color w:val="auto"/>
                <w:kern w:val="0"/>
                <w:sz w:val="21"/>
                <w:szCs w:val="21"/>
                <w:highlight w:val="none"/>
                <w:vertAlign w:val="subscript"/>
              </w:rPr>
              <w:t>3</w:t>
            </w:r>
            <w:r>
              <w:rPr>
                <w:rFonts w:hint="default" w:ascii="Times New Roman" w:hAnsi="Times New Roman" w:cs="Times New Roman"/>
                <w:color w:val="auto"/>
                <w:kern w:val="0"/>
                <w:sz w:val="21"/>
                <w:szCs w:val="21"/>
                <w:highlight w:val="none"/>
                <w:vertAlign w:val="superscript"/>
              </w:rPr>
              <w:t>2-</w:t>
            </w:r>
            <w:r>
              <w:rPr>
                <w:rFonts w:hint="default" w:ascii="Times New Roman" w:hAnsi="Times New Roman" w:cs="Times New Roman"/>
                <w:color w:val="auto"/>
                <w:kern w:val="0"/>
                <w:sz w:val="21"/>
                <w:szCs w:val="21"/>
                <w:highlight w:val="none"/>
              </w:rPr>
              <w:t>、SO</w:t>
            </w:r>
            <w:r>
              <w:rPr>
                <w:rFonts w:hint="default" w:ascii="Times New Roman" w:hAnsi="Times New Roman" w:cs="Times New Roman"/>
                <w:color w:val="auto"/>
                <w:kern w:val="0"/>
                <w:sz w:val="21"/>
                <w:szCs w:val="21"/>
                <w:highlight w:val="none"/>
                <w:vertAlign w:val="subscript"/>
              </w:rPr>
              <w:t>4</w:t>
            </w:r>
            <w:r>
              <w:rPr>
                <w:rFonts w:hint="default" w:ascii="Times New Roman" w:hAnsi="Times New Roman" w:cs="Times New Roman"/>
                <w:color w:val="auto"/>
                <w:kern w:val="0"/>
                <w:sz w:val="21"/>
                <w:szCs w:val="21"/>
                <w:highlight w:val="none"/>
                <w:vertAlign w:val="superscript"/>
              </w:rPr>
              <w:t>2-</w:t>
            </w:r>
            <w:r>
              <w:rPr>
                <w:rFonts w:hint="default" w:ascii="Times New Roman" w:hAnsi="Times New Roman" w:cs="Times New Roman"/>
                <w:color w:val="auto"/>
                <w:kern w:val="0"/>
                <w:sz w:val="21"/>
                <w:szCs w:val="21"/>
                <w:highlight w:val="none"/>
              </w:rPr>
              <w:t>）的测定 离子色谱法（HJ 84-2016）</w:t>
            </w:r>
          </w:p>
        </w:tc>
        <w:tc>
          <w:tcPr>
            <w:tcW w:w="803" w:type="pct"/>
            <w:noWrap w:val="0"/>
            <w:vAlign w:val="center"/>
          </w:tcPr>
          <w:p w14:paraId="22CEB941">
            <w:pPr>
              <w:keepNext w:val="0"/>
              <w:keepLines w:val="0"/>
              <w:pageBreakBefore w:val="0"/>
              <w:widowControl/>
              <w:suppressLineNumbers w:val="0"/>
              <w:kinsoku/>
              <w:wordWrap/>
              <w:overflowPunct/>
              <w:topLinePunct w:val="0"/>
              <w:autoSpaceDE/>
              <w:autoSpaceDN/>
              <w:bidi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rPr>
              <w:t>0.007mg/L</w:t>
            </w:r>
          </w:p>
        </w:tc>
      </w:tr>
      <w:tr w14:paraId="66C82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69" w:type="pct"/>
            <w:vMerge w:val="continue"/>
            <w:noWrap w:val="0"/>
            <w:vAlign w:val="center"/>
          </w:tcPr>
          <w:p w14:paraId="46A037FB">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796" w:type="pct"/>
            <w:noWrap w:val="0"/>
            <w:vAlign w:val="center"/>
          </w:tcPr>
          <w:p w14:paraId="4B2AF1E2">
            <w:pPr>
              <w:keepNext w:val="0"/>
              <w:keepLines w:val="0"/>
              <w:pageBreakBefore w:val="0"/>
              <w:suppressLineNumbers w:val="0"/>
              <w:kinsoku/>
              <w:wordWrap/>
              <w:overflowPunct/>
              <w:topLinePunct w:val="0"/>
              <w:autoSpaceDE/>
              <w:autoSpaceDN/>
              <w:bidi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SO</w:t>
            </w:r>
            <w:r>
              <w:rPr>
                <w:rFonts w:hint="default" w:ascii="Times New Roman" w:hAnsi="Times New Roman" w:eastAsia="宋体" w:cs="Times New Roman"/>
                <w:color w:val="auto"/>
                <w:sz w:val="21"/>
                <w:szCs w:val="21"/>
                <w:highlight w:val="none"/>
                <w:vertAlign w:val="subscript"/>
                <w:lang w:val="en-US" w:eastAsia="zh-CN"/>
              </w:rPr>
              <w:t>4</w:t>
            </w:r>
            <w:r>
              <w:rPr>
                <w:rFonts w:hint="default" w:ascii="Times New Roman" w:hAnsi="Times New Roman" w:eastAsia="宋体" w:cs="Times New Roman"/>
                <w:color w:val="auto"/>
                <w:sz w:val="21"/>
                <w:szCs w:val="21"/>
                <w:highlight w:val="none"/>
                <w:vertAlign w:val="superscript"/>
                <w:lang w:val="en-US" w:eastAsia="zh-CN"/>
              </w:rPr>
              <w:t>2-</w:t>
            </w:r>
          </w:p>
        </w:tc>
        <w:tc>
          <w:tcPr>
            <w:tcW w:w="2930" w:type="pct"/>
            <w:vMerge w:val="continue"/>
            <w:noWrap w:val="0"/>
            <w:vAlign w:val="center"/>
          </w:tcPr>
          <w:p w14:paraId="7CA9061B">
            <w:pPr>
              <w:keepNext w:val="0"/>
              <w:keepLines w:val="0"/>
              <w:pageBreakBefore w:val="0"/>
              <w:suppressLineNumbers w:val="0"/>
              <w:kinsoku/>
              <w:wordWrap/>
              <w:overflowPunct/>
              <w:topLinePunct w:val="0"/>
              <w:autoSpaceDE/>
              <w:autoSpaceDN/>
              <w:bidi w:val="0"/>
              <w:spacing w:before="0" w:beforeAutospacing="0" w:after="0" w:afterAutospacing="0" w:line="240" w:lineRule="atLeast"/>
              <w:ind w:left="0" w:leftChars="0" w:right="0" w:rightChars="0"/>
              <w:jc w:val="center"/>
              <w:rPr>
                <w:rFonts w:hint="default" w:ascii="Times New Roman" w:hAnsi="Times New Roman" w:cs="Times New Roman"/>
                <w:color w:val="auto"/>
                <w:sz w:val="21"/>
                <w:szCs w:val="21"/>
                <w:highlight w:val="none"/>
              </w:rPr>
            </w:pPr>
          </w:p>
        </w:tc>
        <w:tc>
          <w:tcPr>
            <w:tcW w:w="803" w:type="pct"/>
            <w:noWrap w:val="0"/>
            <w:vAlign w:val="center"/>
          </w:tcPr>
          <w:p w14:paraId="555C3E74">
            <w:pPr>
              <w:keepNext w:val="0"/>
              <w:keepLines w:val="0"/>
              <w:pageBreakBefore w:val="0"/>
              <w:widowControl/>
              <w:suppressLineNumbers w:val="0"/>
              <w:kinsoku/>
              <w:wordWrap/>
              <w:overflowPunct/>
              <w:topLinePunct w:val="0"/>
              <w:autoSpaceDE/>
              <w:autoSpaceDN/>
              <w:bidi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0.018mg/L</w:t>
            </w:r>
          </w:p>
        </w:tc>
      </w:tr>
      <w:tr w14:paraId="007D3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69" w:type="pct"/>
            <w:vMerge w:val="continue"/>
            <w:noWrap w:val="0"/>
            <w:vAlign w:val="center"/>
          </w:tcPr>
          <w:p w14:paraId="7ADD1433">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796" w:type="pct"/>
            <w:noWrap w:val="0"/>
            <w:vAlign w:val="center"/>
          </w:tcPr>
          <w:p w14:paraId="46A3EDEB">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硝酸盐</w:t>
            </w:r>
          </w:p>
        </w:tc>
        <w:tc>
          <w:tcPr>
            <w:tcW w:w="2930" w:type="pct"/>
            <w:vMerge w:val="continue"/>
            <w:noWrap w:val="0"/>
            <w:vAlign w:val="center"/>
          </w:tcPr>
          <w:p w14:paraId="719C1E04">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2"/>
                <w:sz w:val="21"/>
                <w:szCs w:val="21"/>
                <w:highlight w:val="none"/>
                <w:lang w:val="en-US" w:eastAsia="zh-CN" w:bidi="ar-SA"/>
              </w:rPr>
            </w:pPr>
          </w:p>
        </w:tc>
        <w:tc>
          <w:tcPr>
            <w:tcW w:w="803" w:type="pct"/>
            <w:noWrap w:val="0"/>
            <w:vAlign w:val="center"/>
          </w:tcPr>
          <w:p w14:paraId="6B1A84B4">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0.016mg/L</w:t>
            </w:r>
          </w:p>
        </w:tc>
      </w:tr>
      <w:tr w14:paraId="182DB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69" w:type="pct"/>
            <w:vMerge w:val="continue"/>
            <w:noWrap w:val="0"/>
            <w:vAlign w:val="center"/>
          </w:tcPr>
          <w:p w14:paraId="3DE8194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796" w:type="pct"/>
            <w:noWrap w:val="0"/>
            <w:vAlign w:val="center"/>
          </w:tcPr>
          <w:p w14:paraId="38EA7AD6">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亚硝酸盐</w:t>
            </w:r>
          </w:p>
        </w:tc>
        <w:tc>
          <w:tcPr>
            <w:tcW w:w="2930" w:type="pct"/>
            <w:vMerge w:val="continue"/>
            <w:noWrap w:val="0"/>
            <w:vAlign w:val="center"/>
          </w:tcPr>
          <w:p w14:paraId="1A5BCB99">
            <w:pPr>
              <w:keepNext w:val="0"/>
              <w:keepLines w:val="0"/>
              <w:pageBreakBefore w:val="0"/>
              <w:suppressLineNumbers w:val="0"/>
              <w:kinsoku/>
              <w:wordWrap/>
              <w:overflowPunct/>
              <w:topLinePunct w:val="0"/>
              <w:autoSpaceDE/>
              <w:autoSpaceDN/>
              <w:bidi w:val="0"/>
              <w:spacing w:before="0" w:beforeAutospacing="0" w:after="0" w:afterAutospacing="0" w:line="240" w:lineRule="atLeast"/>
              <w:ind w:left="0" w:leftChars="0" w:right="0" w:rightChars="0"/>
              <w:jc w:val="center"/>
              <w:rPr>
                <w:rFonts w:hint="default" w:ascii="Times New Roman" w:hAnsi="Times New Roman" w:cs="Times New Roman"/>
                <w:color w:val="auto"/>
                <w:sz w:val="21"/>
                <w:szCs w:val="21"/>
                <w:highlight w:val="none"/>
              </w:rPr>
            </w:pPr>
          </w:p>
        </w:tc>
        <w:tc>
          <w:tcPr>
            <w:tcW w:w="803" w:type="pct"/>
            <w:noWrap w:val="0"/>
            <w:vAlign w:val="center"/>
          </w:tcPr>
          <w:p w14:paraId="24BDEA46">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0.016mg/L</w:t>
            </w:r>
          </w:p>
        </w:tc>
      </w:tr>
      <w:tr w14:paraId="505F0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69" w:type="pct"/>
            <w:vMerge w:val="continue"/>
            <w:noWrap w:val="0"/>
            <w:vAlign w:val="center"/>
          </w:tcPr>
          <w:p w14:paraId="7AE2A5E7">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796" w:type="pct"/>
            <w:noWrap w:val="0"/>
            <w:vAlign w:val="center"/>
          </w:tcPr>
          <w:p w14:paraId="624C5742">
            <w:pPr>
              <w:keepNext w:val="0"/>
              <w:keepLines w:val="0"/>
              <w:pageBreakBefore w:val="0"/>
              <w:suppressLineNumbers w:val="0"/>
              <w:kinsoku/>
              <w:wordWrap/>
              <w:overflowPunct/>
              <w:topLinePunct w:val="0"/>
              <w:autoSpaceDE/>
              <w:autoSpaceDN/>
              <w:bidi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溶解性总固体</w:t>
            </w:r>
          </w:p>
        </w:tc>
        <w:tc>
          <w:tcPr>
            <w:tcW w:w="2930" w:type="pct"/>
            <w:noWrap w:val="0"/>
            <w:vAlign w:val="center"/>
          </w:tcPr>
          <w:p w14:paraId="68083A7C">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生活饮用水标准检验方法 第4部分： 感官性状和物理指标（11.1称量法）（GB/T 5750.4-2023）</w:t>
            </w:r>
          </w:p>
        </w:tc>
        <w:tc>
          <w:tcPr>
            <w:tcW w:w="803" w:type="pct"/>
            <w:noWrap w:val="0"/>
            <w:vAlign w:val="center"/>
          </w:tcPr>
          <w:p w14:paraId="1665955B">
            <w:pPr>
              <w:keepNext w:val="0"/>
              <w:keepLines w:val="0"/>
              <w:pageBreakBefore w:val="0"/>
              <w:widowControl/>
              <w:suppressLineNumbers w:val="0"/>
              <w:kinsoku/>
              <w:wordWrap/>
              <w:overflowPunct/>
              <w:topLinePunct w:val="0"/>
              <w:autoSpaceDE/>
              <w:autoSpaceDN/>
              <w:bidi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4mg/L</w:t>
            </w:r>
          </w:p>
        </w:tc>
      </w:tr>
      <w:tr w14:paraId="195F6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69" w:type="pct"/>
            <w:vMerge w:val="continue"/>
            <w:noWrap w:val="0"/>
            <w:vAlign w:val="center"/>
          </w:tcPr>
          <w:p w14:paraId="28413A80">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796" w:type="pct"/>
            <w:noWrap w:val="0"/>
            <w:vAlign w:val="center"/>
          </w:tcPr>
          <w:p w14:paraId="1EA1F59E">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汞</w:t>
            </w:r>
          </w:p>
        </w:tc>
        <w:tc>
          <w:tcPr>
            <w:tcW w:w="2930" w:type="pct"/>
            <w:vMerge w:val="restart"/>
            <w:noWrap w:val="0"/>
            <w:vAlign w:val="center"/>
          </w:tcPr>
          <w:p w14:paraId="26AA7B94">
            <w:pPr>
              <w:keepNext w:val="0"/>
              <w:keepLines w:val="0"/>
              <w:pageBreakBefore w:val="0"/>
              <w:widowControl/>
              <w:kinsoku/>
              <w:wordWrap/>
              <w:overflowPunct/>
              <w:topLinePunct w:val="0"/>
              <w:autoSpaceDE/>
              <w:autoSpaceDN/>
              <w:bidi w:val="0"/>
              <w:snapToGrid w:val="0"/>
              <w:spacing w:line="231"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水质 汞、砷、硒、铋和锑的测定 原子荧光法（HJ 694-2014）</w:t>
            </w:r>
          </w:p>
        </w:tc>
        <w:tc>
          <w:tcPr>
            <w:tcW w:w="803" w:type="pct"/>
            <w:noWrap w:val="0"/>
            <w:vAlign w:val="center"/>
          </w:tcPr>
          <w:p w14:paraId="3F1B584D">
            <w:pPr>
              <w:keepNext w:val="0"/>
              <w:keepLines w:val="0"/>
              <w:pageBreakBefore w:val="0"/>
              <w:widowControl/>
              <w:kinsoku/>
              <w:wordWrap/>
              <w:overflowPunct/>
              <w:topLinePunct w:val="0"/>
              <w:autoSpaceDE/>
              <w:autoSpaceDN/>
              <w:bidi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0.04</w:t>
            </w:r>
            <w:r>
              <w:rPr>
                <w:rFonts w:hint="default" w:ascii="Times New Roman" w:hAnsi="Times New Roman" w:cs="Times New Roman"/>
                <w:color w:val="auto"/>
                <w:sz w:val="21"/>
                <w:szCs w:val="21"/>
                <w:highlight w:val="none"/>
              </w:rPr>
              <w:t>μg/L</w:t>
            </w:r>
          </w:p>
        </w:tc>
      </w:tr>
      <w:tr w14:paraId="2842C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69" w:type="pct"/>
            <w:vMerge w:val="continue"/>
            <w:noWrap w:val="0"/>
            <w:vAlign w:val="center"/>
          </w:tcPr>
          <w:p w14:paraId="083DF90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796" w:type="pct"/>
            <w:noWrap w:val="0"/>
            <w:vAlign w:val="center"/>
          </w:tcPr>
          <w:p w14:paraId="1204EB9A">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砷</w:t>
            </w:r>
          </w:p>
        </w:tc>
        <w:tc>
          <w:tcPr>
            <w:tcW w:w="2930" w:type="pct"/>
            <w:vMerge w:val="continue"/>
            <w:noWrap w:val="0"/>
            <w:vAlign w:val="center"/>
          </w:tcPr>
          <w:p w14:paraId="2A229BB2">
            <w:pPr>
              <w:keepNext w:val="0"/>
              <w:keepLines w:val="0"/>
              <w:pageBreakBefore w:val="0"/>
              <w:suppressLineNumbers w:val="0"/>
              <w:kinsoku/>
              <w:wordWrap/>
              <w:overflowPunct/>
              <w:topLinePunct w:val="0"/>
              <w:autoSpaceDE/>
              <w:autoSpaceDN/>
              <w:bidi w:val="0"/>
              <w:spacing w:before="0" w:beforeAutospacing="0" w:after="0" w:afterAutospacing="0" w:line="240" w:lineRule="atLeas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p>
        </w:tc>
        <w:tc>
          <w:tcPr>
            <w:tcW w:w="803" w:type="pct"/>
            <w:noWrap w:val="0"/>
            <w:vAlign w:val="center"/>
          </w:tcPr>
          <w:p w14:paraId="4FDCEB8C">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rPr>
              <w:t>0.3</w:t>
            </w:r>
            <w:r>
              <w:rPr>
                <w:rFonts w:hint="default" w:ascii="Times New Roman" w:hAnsi="Times New Roman" w:cs="Times New Roman"/>
                <w:color w:val="auto"/>
                <w:sz w:val="21"/>
                <w:szCs w:val="21"/>
                <w:highlight w:val="none"/>
              </w:rPr>
              <w:t>μg/L</w:t>
            </w:r>
          </w:p>
        </w:tc>
      </w:tr>
      <w:tr w14:paraId="227ED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69" w:type="pct"/>
            <w:vMerge w:val="continue"/>
            <w:noWrap w:val="0"/>
            <w:vAlign w:val="center"/>
          </w:tcPr>
          <w:p w14:paraId="172BBD2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796" w:type="pct"/>
            <w:noWrap w:val="0"/>
            <w:vAlign w:val="center"/>
          </w:tcPr>
          <w:p w14:paraId="6FA36343">
            <w:pPr>
              <w:keepNext w:val="0"/>
              <w:keepLines w:val="0"/>
              <w:pageBreakBefore w:val="0"/>
              <w:suppressLineNumbers w:val="0"/>
              <w:kinsoku/>
              <w:wordWrap/>
              <w:overflowPunct/>
              <w:topLinePunct w:val="0"/>
              <w:autoSpaceDE/>
              <w:autoSpaceDN/>
              <w:bidi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六价铬</w:t>
            </w:r>
          </w:p>
        </w:tc>
        <w:tc>
          <w:tcPr>
            <w:tcW w:w="2930" w:type="pct"/>
            <w:noWrap w:val="0"/>
            <w:vAlign w:val="center"/>
          </w:tcPr>
          <w:p w14:paraId="56A8FDF0">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生活饮用水标准检验方法 第6部分： 金属和类金属指标（13.1 二苯碳酰二肼分光光度法）（GB/T 5750.6-2023）</w:t>
            </w:r>
          </w:p>
        </w:tc>
        <w:tc>
          <w:tcPr>
            <w:tcW w:w="803" w:type="pct"/>
            <w:noWrap w:val="0"/>
            <w:vAlign w:val="center"/>
          </w:tcPr>
          <w:p w14:paraId="1FF90BA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rPr>
              <w:t>0.004</w:t>
            </w:r>
            <w:r>
              <w:rPr>
                <w:rFonts w:hint="default" w:ascii="Times New Roman" w:hAnsi="Times New Roman" w:cs="Times New Roman"/>
                <w:color w:val="auto"/>
                <w:sz w:val="21"/>
                <w:szCs w:val="21"/>
                <w:highlight w:val="none"/>
              </w:rPr>
              <w:t>mg/L</w:t>
            </w:r>
          </w:p>
        </w:tc>
      </w:tr>
      <w:tr w14:paraId="2C89F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69" w:type="pct"/>
            <w:vMerge w:val="continue"/>
            <w:noWrap w:val="0"/>
            <w:vAlign w:val="center"/>
          </w:tcPr>
          <w:p w14:paraId="3B6366E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796" w:type="pct"/>
            <w:noWrap w:val="0"/>
            <w:vAlign w:val="center"/>
          </w:tcPr>
          <w:p w14:paraId="053D8A7A">
            <w:pPr>
              <w:keepNext w:val="0"/>
              <w:keepLines w:val="0"/>
              <w:pageBreakBefore w:val="0"/>
              <w:suppressLineNumbers w:val="0"/>
              <w:kinsoku/>
              <w:wordWrap/>
              <w:overflowPunct/>
              <w:topLinePunct w:val="0"/>
              <w:autoSpaceDE/>
              <w:autoSpaceDN/>
              <w:bidi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总硬度</w:t>
            </w:r>
          </w:p>
        </w:tc>
        <w:tc>
          <w:tcPr>
            <w:tcW w:w="2930" w:type="pct"/>
            <w:noWrap w:val="0"/>
            <w:vAlign w:val="center"/>
          </w:tcPr>
          <w:p w14:paraId="0F4A1A37">
            <w:pPr>
              <w:keepNext w:val="0"/>
              <w:keepLines w:val="0"/>
              <w:pageBreakBefore w:val="0"/>
              <w:suppressLineNumbers w:val="0"/>
              <w:kinsoku/>
              <w:wordWrap/>
              <w:overflowPunct/>
              <w:topLinePunct w:val="0"/>
              <w:autoSpaceDE/>
              <w:autoSpaceDN/>
              <w:bidi w:val="0"/>
              <w:spacing w:before="0" w:beforeAutospacing="0" w:after="0" w:afterAutospacing="0" w:line="240" w:lineRule="atLeast"/>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水质 钙和镁总量的测定 EDTA滴定法 （GB 7477-87）</w:t>
            </w:r>
          </w:p>
        </w:tc>
        <w:tc>
          <w:tcPr>
            <w:tcW w:w="803" w:type="pct"/>
            <w:noWrap w:val="0"/>
            <w:vAlign w:val="center"/>
          </w:tcPr>
          <w:p w14:paraId="535AFBD8">
            <w:pPr>
              <w:pStyle w:val="20"/>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5mg/L</w:t>
            </w:r>
          </w:p>
        </w:tc>
      </w:tr>
      <w:tr w14:paraId="22851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69" w:type="pct"/>
            <w:vMerge w:val="continue"/>
            <w:noWrap w:val="0"/>
            <w:vAlign w:val="center"/>
          </w:tcPr>
          <w:p w14:paraId="458E76D2">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rPr>
            </w:pPr>
          </w:p>
        </w:tc>
        <w:tc>
          <w:tcPr>
            <w:tcW w:w="796" w:type="pct"/>
            <w:noWrap w:val="0"/>
            <w:vAlign w:val="center"/>
          </w:tcPr>
          <w:p w14:paraId="7538B551">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总大肠菌群</w:t>
            </w:r>
          </w:p>
        </w:tc>
        <w:tc>
          <w:tcPr>
            <w:tcW w:w="2930" w:type="pct"/>
            <w:noWrap w:val="0"/>
            <w:vAlign w:val="center"/>
          </w:tcPr>
          <w:p w14:paraId="6E373697">
            <w:pPr>
              <w:keepNext w:val="0"/>
              <w:keepLines w:val="0"/>
              <w:pageBreakBefore w:val="0"/>
              <w:widowControl/>
              <w:kinsoku/>
              <w:wordWrap/>
              <w:overflowPunct/>
              <w:topLinePunct w:val="0"/>
              <w:autoSpaceDE/>
              <w:autoSpaceDN/>
              <w:bidi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总大肠菌群  多管发酵法《水和废水监测分析方法》（第四版）国家环境保护总局（2002年）</w:t>
            </w:r>
          </w:p>
        </w:tc>
        <w:tc>
          <w:tcPr>
            <w:tcW w:w="803" w:type="pct"/>
            <w:noWrap w:val="0"/>
            <w:vAlign w:val="center"/>
          </w:tcPr>
          <w:p w14:paraId="6E11CF1B">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4FA00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6" w:type="pct"/>
            <w:gridSpan w:val="2"/>
            <w:noWrap w:val="0"/>
            <w:vAlign w:val="center"/>
          </w:tcPr>
          <w:p w14:paraId="3ED304AF">
            <w:pPr>
              <w:keepNext w:val="0"/>
              <w:keepLines w:val="0"/>
              <w:pageBreakBefore w:val="0"/>
              <w:kinsoku/>
              <w:wordWrap/>
              <w:overflowPunct/>
              <w:topLinePunct w:val="0"/>
              <w:autoSpaceDE/>
              <w:autoSpaceDN/>
              <w:bidi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采样依据</w:t>
            </w:r>
          </w:p>
        </w:tc>
        <w:tc>
          <w:tcPr>
            <w:tcW w:w="3733" w:type="pct"/>
            <w:gridSpan w:val="2"/>
            <w:noWrap w:val="0"/>
            <w:vAlign w:val="center"/>
          </w:tcPr>
          <w:p w14:paraId="138B96F6">
            <w:pPr>
              <w:keepNext w:val="0"/>
              <w:keepLines w:val="0"/>
              <w:pageBreakBefore w:val="0"/>
              <w:kinsoku/>
              <w:wordWrap/>
              <w:overflowPunct/>
              <w:topLinePunct w:val="0"/>
              <w:autoSpaceDE/>
              <w:autoSpaceDN/>
              <w:bidi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地下水环境监测技术规范（HJ 164-2020）</w:t>
            </w:r>
          </w:p>
        </w:tc>
      </w:tr>
    </w:tbl>
    <w:p w14:paraId="64044083">
      <w:pPr>
        <w:pStyle w:val="5"/>
        <w:numPr>
          <w:ilvl w:val="2"/>
          <w:numId w:val="40"/>
        </w:numPr>
        <w:bidi w:val="0"/>
        <w:ind w:left="452" w:leftChars="0"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评价方法</w:t>
      </w:r>
    </w:p>
    <w:p w14:paraId="2E9A9E43">
      <w:pPr>
        <w:pStyle w:val="410"/>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采用HJ610-2016《环境影响评价技术导则 地下水环境》中所推荐的单项水质参数评价法进行评价。计算公式如下：</w:t>
      </w:r>
    </w:p>
    <w:p w14:paraId="65E043EB">
      <w:pPr>
        <w:pStyle w:val="410"/>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① 污染物的单项指数</w:t>
      </w:r>
    </w:p>
    <w:p w14:paraId="0CCD3F89">
      <w:pPr>
        <w:pStyle w:val="410"/>
        <w:jc w:val="center"/>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Pi=Ci/Csi</w:t>
      </w:r>
    </w:p>
    <w:p w14:paraId="211F2933">
      <w:pPr>
        <w:pStyle w:val="410"/>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上式中：</w:t>
      </w:r>
    </w:p>
    <w:p w14:paraId="498CECEB">
      <w:pPr>
        <w:pStyle w:val="410"/>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Pi——第i个水质因子的标准指数，无量纲；</w:t>
      </w:r>
    </w:p>
    <w:p w14:paraId="5E95ABB5">
      <w:pPr>
        <w:pStyle w:val="410"/>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Ci——第i个水质因子的监测浓度值，mg/L；</w:t>
      </w:r>
    </w:p>
    <w:p w14:paraId="7E7D95F6">
      <w:pPr>
        <w:pStyle w:val="410"/>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Csi——第i个水质因子的标准浓度值，mg/L。</w:t>
      </w:r>
    </w:p>
    <w:p w14:paraId="54C2FE8C">
      <w:pPr>
        <w:pStyle w:val="410"/>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水质参数的标准指数&gt;1，表明该水质参数超过了规定的水质标准，不能满足现状使用功能要求。</w:t>
      </w:r>
    </w:p>
    <w:p w14:paraId="087D283A">
      <w:pPr>
        <w:pStyle w:val="410"/>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②对pH</w:t>
      </w:r>
      <w:r>
        <w:rPr>
          <w:rFonts w:hint="eastAsia" w:ascii="Times New Roman" w:cs="Times New Roman"/>
          <w:color w:val="auto"/>
          <w:highlight w:val="none"/>
          <w:u w:val="none"/>
          <w:lang w:val="en-US" w:eastAsia="zh-CN"/>
        </w:rPr>
        <w:t>：</w:t>
      </w:r>
    </w:p>
    <w:p w14:paraId="5E2273B4">
      <w:pPr>
        <w:pStyle w:val="410"/>
        <w:jc w:val="center"/>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PpH=（7.0-pH）/(7.0-pHsd)     pH≤7.0</w:t>
      </w:r>
    </w:p>
    <w:p w14:paraId="48A3B8D1">
      <w:pPr>
        <w:pStyle w:val="410"/>
        <w:jc w:val="center"/>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PpH=（pH -7.0）/( pHsu-7.0)    pH＞7.0</w:t>
      </w:r>
    </w:p>
    <w:p w14:paraId="793F5E16">
      <w:pPr>
        <w:pStyle w:val="410"/>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上面各式中：</w:t>
      </w:r>
    </w:p>
    <w:p w14:paraId="7446AB0A">
      <w:pPr>
        <w:pStyle w:val="410"/>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PpH—pH的标准指数；</w:t>
      </w:r>
    </w:p>
    <w:p w14:paraId="1D0FBB6D">
      <w:pPr>
        <w:pStyle w:val="410"/>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pH—pH的监测值；</w:t>
      </w:r>
    </w:p>
    <w:p w14:paraId="3FE8CE79">
      <w:pPr>
        <w:pStyle w:val="410"/>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pHsd—pH值标准下限；</w:t>
      </w:r>
    </w:p>
    <w:p w14:paraId="140F60C6">
      <w:pPr>
        <w:pStyle w:val="410"/>
        <w:rPr>
          <w:rFonts w:hint="default"/>
          <w:color w:val="auto"/>
          <w:highlight w:val="none"/>
          <w:lang w:val="en-US" w:eastAsia="zh-CN"/>
        </w:rPr>
      </w:pPr>
      <w:r>
        <w:rPr>
          <w:rFonts w:hint="eastAsia" w:ascii="Times New Roman" w:hAnsi="Times New Roman" w:eastAsia="宋体" w:cs="Times New Roman"/>
          <w:color w:val="auto"/>
          <w:highlight w:val="none"/>
          <w:u w:val="none"/>
          <w:lang w:val="en-US" w:eastAsia="zh-CN"/>
        </w:rPr>
        <w:t>pHsu—pH值标准上限。</w:t>
      </w:r>
    </w:p>
    <w:p w14:paraId="43144631">
      <w:pPr>
        <w:pStyle w:val="5"/>
        <w:numPr>
          <w:ilvl w:val="2"/>
          <w:numId w:val="40"/>
        </w:numPr>
        <w:bidi w:val="0"/>
        <w:ind w:left="452" w:leftChars="0"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评价标准</w:t>
      </w:r>
    </w:p>
    <w:p w14:paraId="7B351469">
      <w:pPr>
        <w:pStyle w:val="410"/>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评价区域水质执行《地下水质量标准》（GB/T14848-2017）Ⅲ类标准。</w:t>
      </w:r>
    </w:p>
    <w:p w14:paraId="0B45A9D6">
      <w:pPr>
        <w:pStyle w:val="5"/>
        <w:numPr>
          <w:ilvl w:val="2"/>
          <w:numId w:val="40"/>
        </w:numPr>
        <w:bidi w:val="0"/>
        <w:ind w:left="452" w:leftChars="0" w:firstLine="0" w:firstLineChars="0"/>
        <w:rPr>
          <w:rFonts w:hint="default"/>
          <w:color w:val="auto"/>
          <w:highlight w:val="none"/>
          <w:lang w:val="en-US" w:eastAsia="zh-CN"/>
        </w:rPr>
      </w:pPr>
      <w:r>
        <w:rPr>
          <w:rFonts w:hint="eastAsia"/>
          <w:color w:val="auto"/>
          <w:highlight w:val="none"/>
          <w:lang w:val="en-US" w:eastAsia="zh-CN"/>
        </w:rPr>
        <w:t>监测结果及评价</w:t>
      </w:r>
    </w:p>
    <w:p w14:paraId="7A713FB8">
      <w:pPr>
        <w:pStyle w:val="41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地下水井位、水深相关记录见</w:t>
      </w: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color w:val="auto"/>
          <w:highlight w:val="none"/>
          <w:lang w:val="en-US" w:eastAsia="zh-CN"/>
        </w:rPr>
        <w:instrText xml:space="preserve"> REF _Ref20205 \r \h </w:instrText>
      </w:r>
      <w:r>
        <w:rPr>
          <w:rFonts w:hint="default" w:ascii="Times New Roman" w:hAnsi="Times New Roman" w:cs="Times New Roman"/>
          <w:color w:val="auto"/>
          <w:highlight w:val="none"/>
          <w:lang w:val="en-US" w:eastAsia="zh-CN"/>
        </w:rPr>
        <w:fldChar w:fldCharType="separate"/>
      </w:r>
      <w:r>
        <w:rPr>
          <w:rFonts w:hint="default" w:ascii="Times New Roman" w:hAnsi="Times New Roman" w:cs="Times New Roman"/>
          <w:color w:val="auto"/>
          <w:highlight w:val="none"/>
          <w:lang w:val="en-US" w:eastAsia="zh-CN"/>
        </w:rPr>
        <w:t>表3.8-3</w:t>
      </w:r>
      <w:r>
        <w:rPr>
          <w:rFonts w:hint="default" w:ascii="Times New Roman" w:hAnsi="Times New Roman" w:cs="Times New Roman"/>
          <w:color w:val="auto"/>
          <w:highlight w:val="none"/>
          <w:lang w:val="en-US" w:eastAsia="zh-CN"/>
        </w:rPr>
        <w:fldChar w:fldCharType="end"/>
      </w:r>
      <w:r>
        <w:rPr>
          <w:rFonts w:hint="default" w:ascii="Times New Roman" w:hAnsi="Times New Roman" w:cs="Times New Roman"/>
          <w:color w:val="auto"/>
          <w:highlight w:val="none"/>
          <w:lang w:val="en-US" w:eastAsia="zh-CN"/>
        </w:rPr>
        <w:t>，</w:t>
      </w:r>
      <w:r>
        <w:rPr>
          <w:rFonts w:hint="eastAsia" w:ascii="Times New Roman" w:hAnsi="Times New Roman" w:eastAsia="宋体" w:cs="Times New Roman"/>
          <w:color w:val="auto"/>
          <w:highlight w:val="none"/>
          <w:u w:val="none"/>
          <w:lang w:val="en-US" w:eastAsia="zh-CN"/>
        </w:rPr>
        <w:t>地下水化学类型分析结果见</w:t>
      </w:r>
      <w:r>
        <w:rPr>
          <w:rFonts w:hint="eastAsia" w:ascii="Times New Roman" w:hAnsi="Times New Roman" w:eastAsia="宋体" w:cs="Times New Roman"/>
          <w:color w:val="auto"/>
          <w:highlight w:val="none"/>
          <w:u w:val="none"/>
          <w:lang w:val="en-US" w:eastAsia="zh-CN"/>
        </w:rPr>
        <w:fldChar w:fldCharType="begin"/>
      </w:r>
      <w:r>
        <w:rPr>
          <w:rFonts w:hint="eastAsia" w:ascii="Times New Roman" w:hAnsi="Times New Roman" w:eastAsia="宋体" w:cs="Times New Roman"/>
          <w:color w:val="auto"/>
          <w:highlight w:val="none"/>
          <w:u w:val="none"/>
          <w:lang w:val="en-US" w:eastAsia="zh-CN"/>
        </w:rPr>
        <w:instrText xml:space="preserve"> REF _Ref27549 \r \h </w:instrText>
      </w:r>
      <w:r>
        <w:rPr>
          <w:rFonts w:hint="eastAsia" w:ascii="Times New Roman" w:hAnsi="Times New Roman" w:eastAsia="宋体" w:cs="Times New Roman"/>
          <w:color w:val="auto"/>
          <w:highlight w:val="none"/>
          <w:u w:val="none"/>
          <w:lang w:val="en-US" w:eastAsia="zh-CN"/>
        </w:rPr>
        <w:fldChar w:fldCharType="separate"/>
      </w:r>
      <w:r>
        <w:rPr>
          <w:rFonts w:hint="eastAsia" w:ascii="Times New Roman" w:hAnsi="Times New Roman" w:eastAsia="宋体" w:cs="Times New Roman"/>
          <w:color w:val="auto"/>
          <w:highlight w:val="none"/>
          <w:u w:val="none"/>
          <w:lang w:val="en-US" w:eastAsia="zh-CN"/>
        </w:rPr>
        <w:t>表3.8-4</w:t>
      </w:r>
      <w:r>
        <w:rPr>
          <w:rFonts w:hint="eastAsia" w:ascii="Times New Roman" w:hAnsi="Times New Roman" w:eastAsia="宋体" w:cs="Times New Roman"/>
          <w:color w:val="auto"/>
          <w:highlight w:val="none"/>
          <w:u w:val="none"/>
          <w:lang w:val="en-US" w:eastAsia="zh-CN"/>
        </w:rPr>
        <w:fldChar w:fldCharType="end"/>
      </w:r>
      <w:r>
        <w:rPr>
          <w:rFonts w:hint="eastAsia" w:ascii="Times New Roman" w:hAnsi="Times New Roman" w:eastAsia="宋体" w:cs="Times New Roman"/>
          <w:color w:val="auto"/>
          <w:highlight w:val="none"/>
          <w:u w:val="none"/>
          <w:lang w:val="en-US" w:eastAsia="zh-CN"/>
        </w:rPr>
        <w:t>，</w:t>
      </w:r>
      <w:r>
        <w:rPr>
          <w:rFonts w:hint="default" w:ascii="Times New Roman" w:hAnsi="Times New Roman" w:eastAsia="宋体" w:cs="Times New Roman"/>
          <w:color w:val="auto"/>
          <w:highlight w:val="none"/>
          <w:u w:val="none"/>
          <w:lang w:val="en-US" w:eastAsia="zh-CN"/>
        </w:rPr>
        <w:t>G1、G3监测结果见</w:t>
      </w:r>
      <w:r>
        <w:rPr>
          <w:rFonts w:hint="eastAsia" w:ascii="Times New Roman" w:hAnsi="Times New Roman" w:eastAsia="宋体" w:cs="Times New Roman"/>
          <w:color w:val="auto"/>
          <w:highlight w:val="none"/>
          <w:u w:val="none"/>
          <w:lang w:val="en-US" w:eastAsia="zh-CN"/>
        </w:rPr>
        <w:fldChar w:fldCharType="begin"/>
      </w:r>
      <w:r>
        <w:rPr>
          <w:rFonts w:hint="eastAsia" w:ascii="Times New Roman" w:hAnsi="Times New Roman" w:eastAsia="宋体" w:cs="Times New Roman"/>
          <w:color w:val="auto"/>
          <w:highlight w:val="none"/>
          <w:u w:val="none"/>
          <w:lang w:val="en-US" w:eastAsia="zh-CN"/>
        </w:rPr>
        <w:instrText xml:space="preserve"> REF _Ref27559 \r \h </w:instrText>
      </w:r>
      <w:r>
        <w:rPr>
          <w:rFonts w:hint="eastAsia" w:ascii="Times New Roman" w:hAnsi="Times New Roman" w:eastAsia="宋体" w:cs="Times New Roman"/>
          <w:color w:val="auto"/>
          <w:highlight w:val="none"/>
          <w:u w:val="none"/>
          <w:lang w:val="en-US" w:eastAsia="zh-CN"/>
        </w:rPr>
        <w:fldChar w:fldCharType="separate"/>
      </w:r>
      <w:r>
        <w:rPr>
          <w:rFonts w:hint="eastAsia" w:ascii="Times New Roman" w:hAnsi="Times New Roman" w:eastAsia="宋体" w:cs="Times New Roman"/>
          <w:color w:val="auto"/>
          <w:highlight w:val="none"/>
          <w:u w:val="none"/>
          <w:lang w:val="en-US" w:eastAsia="zh-CN"/>
        </w:rPr>
        <w:t>表3.8-5</w:t>
      </w:r>
      <w:r>
        <w:rPr>
          <w:rFonts w:hint="eastAsia" w:ascii="Times New Roman" w:hAnsi="Times New Roman" w:eastAsia="宋体" w:cs="Times New Roman"/>
          <w:color w:val="auto"/>
          <w:highlight w:val="none"/>
          <w:u w:val="none"/>
          <w:lang w:val="en-US" w:eastAsia="zh-CN"/>
        </w:rPr>
        <w:fldChar w:fldCharType="end"/>
      </w:r>
      <w:r>
        <w:rPr>
          <w:rFonts w:hint="eastAsia" w:ascii="Times New Roman" w:hAnsi="Times New Roman" w:eastAsia="宋体" w:cs="Times New Roman"/>
          <w:color w:val="auto"/>
          <w:highlight w:val="none"/>
          <w:u w:val="none"/>
          <w:lang w:val="en-US" w:eastAsia="zh-CN"/>
        </w:rPr>
        <w:t>，</w:t>
      </w:r>
      <w:r>
        <w:rPr>
          <w:rFonts w:hint="default" w:ascii="Times New Roman" w:hAnsi="Times New Roman" w:eastAsia="宋体" w:cs="Times New Roman"/>
          <w:color w:val="auto"/>
          <w:highlight w:val="none"/>
          <w:u w:val="none"/>
          <w:lang w:val="en-US" w:eastAsia="zh-CN"/>
        </w:rPr>
        <w:t>G2监测结果见</w:t>
      </w:r>
      <w:r>
        <w:rPr>
          <w:rFonts w:hint="default" w:ascii="Times New Roman" w:hAnsi="Times New Roman" w:eastAsia="宋体" w:cs="Times New Roman"/>
          <w:color w:val="auto"/>
          <w:highlight w:val="none"/>
          <w:u w:val="none"/>
          <w:lang w:val="en-US" w:eastAsia="zh-CN"/>
        </w:rPr>
        <w:fldChar w:fldCharType="begin"/>
      </w:r>
      <w:r>
        <w:rPr>
          <w:rFonts w:hint="default" w:ascii="Times New Roman" w:hAnsi="Times New Roman" w:eastAsia="宋体" w:cs="Times New Roman"/>
          <w:color w:val="auto"/>
          <w:highlight w:val="none"/>
          <w:u w:val="none"/>
          <w:lang w:val="en-US" w:eastAsia="zh-CN"/>
        </w:rPr>
        <w:instrText xml:space="preserve"> REF _Ref20313 \r \h </w:instrText>
      </w:r>
      <w:r>
        <w:rPr>
          <w:rFonts w:hint="default" w:ascii="Times New Roman" w:hAnsi="Times New Roman" w:eastAsia="宋体" w:cs="Times New Roman"/>
          <w:color w:val="auto"/>
          <w:highlight w:val="none"/>
          <w:u w:val="none"/>
          <w:lang w:val="en-US" w:eastAsia="zh-CN"/>
        </w:rPr>
        <w:fldChar w:fldCharType="separate"/>
      </w:r>
      <w:r>
        <w:rPr>
          <w:rFonts w:hint="default" w:ascii="Times New Roman" w:hAnsi="Times New Roman" w:eastAsia="宋体" w:cs="Times New Roman"/>
          <w:color w:val="auto"/>
          <w:highlight w:val="none"/>
          <w:u w:val="none"/>
          <w:lang w:val="en-US" w:eastAsia="zh-CN"/>
        </w:rPr>
        <w:t>表3.8-6</w:t>
      </w:r>
      <w:r>
        <w:rPr>
          <w:rFonts w:hint="default" w:ascii="Times New Roman" w:hAnsi="Times New Roman" w:eastAsia="宋体" w:cs="Times New Roman"/>
          <w:color w:val="auto"/>
          <w:highlight w:val="none"/>
          <w:u w:val="none"/>
          <w:lang w:val="en-US" w:eastAsia="zh-CN"/>
        </w:rPr>
        <w:fldChar w:fldCharType="end"/>
      </w:r>
      <w:r>
        <w:rPr>
          <w:rFonts w:hint="default" w:ascii="Times New Roman" w:hAnsi="Times New Roman" w:eastAsia="宋体" w:cs="Times New Roman"/>
          <w:color w:val="auto"/>
          <w:highlight w:val="none"/>
          <w:u w:val="none"/>
          <w:lang w:val="en-US" w:eastAsia="zh-CN"/>
        </w:rPr>
        <w:t>。</w:t>
      </w:r>
    </w:p>
    <w:p w14:paraId="49ECAC3E">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lang w:val="en-US" w:eastAsia="zh-CN"/>
        </w:rPr>
      </w:pPr>
      <w:bookmarkStart w:id="85" w:name="_Ref20205"/>
      <w:r>
        <w:rPr>
          <w:rFonts w:hint="eastAsia"/>
          <w:color w:val="auto"/>
          <w:highlight w:val="none"/>
          <w:lang w:val="en-US" w:eastAsia="zh-CN"/>
        </w:rPr>
        <w:t>地下水井位、水深相关记录</w:t>
      </w:r>
      <w:bookmarkEnd w:id="85"/>
    </w:p>
    <w:tbl>
      <w:tblPr>
        <w:tblStyle w:val="88"/>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595"/>
        <w:gridCol w:w="2448"/>
        <w:gridCol w:w="2780"/>
      </w:tblGrid>
      <w:tr w14:paraId="0CA9E0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37" w:type="pct"/>
            <w:noWrap w:val="0"/>
            <w:vAlign w:val="center"/>
          </w:tcPr>
          <w:p w14:paraId="3C2F589D">
            <w:pPr>
              <w:pStyle w:val="56"/>
              <w:pBdr>
                <w:top w:val="none" w:color="auto" w:sz="0" w:space="0"/>
                <w:left w:val="none" w:color="auto" w:sz="0" w:space="0"/>
                <w:bottom w:val="none" w:color="auto" w:sz="0" w:space="0"/>
                <w:right w:val="none" w:color="auto" w:sz="0" w:space="0"/>
              </w:pBd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检测点位</w:t>
            </w:r>
          </w:p>
        </w:tc>
        <w:tc>
          <w:tcPr>
            <w:tcW w:w="1387" w:type="pct"/>
            <w:noWrap w:val="0"/>
            <w:vAlign w:val="center"/>
          </w:tcPr>
          <w:p w14:paraId="42FF7749">
            <w:pPr>
              <w:pStyle w:val="56"/>
              <w:pBdr>
                <w:top w:val="none" w:color="auto" w:sz="0" w:space="0"/>
                <w:left w:val="none" w:color="auto" w:sz="0" w:space="0"/>
                <w:bottom w:val="none" w:color="auto" w:sz="0" w:space="0"/>
                <w:right w:val="none" w:color="auto" w:sz="0" w:space="0"/>
              </w:pBdr>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水位</w:t>
            </w:r>
            <w:r>
              <w:rPr>
                <w:rFonts w:hint="default" w:ascii="Times New Roman" w:hAnsi="Times New Roman" w:cs="Times New Roman"/>
                <w:b/>
                <w:bCs/>
                <w:color w:val="auto"/>
                <w:sz w:val="21"/>
                <w:szCs w:val="21"/>
                <w:highlight w:val="none"/>
              </w:rPr>
              <w:t>（m）</w:t>
            </w:r>
          </w:p>
        </w:tc>
        <w:tc>
          <w:tcPr>
            <w:tcW w:w="1575" w:type="pct"/>
            <w:noWrap w:val="0"/>
            <w:vAlign w:val="center"/>
          </w:tcPr>
          <w:p w14:paraId="07729B91">
            <w:pPr>
              <w:pStyle w:val="56"/>
              <w:pBdr>
                <w:top w:val="none" w:color="auto" w:sz="0" w:space="0"/>
                <w:left w:val="none" w:color="auto" w:sz="0" w:space="0"/>
                <w:bottom w:val="none" w:color="auto" w:sz="0" w:space="0"/>
                <w:right w:val="none" w:color="auto" w:sz="0" w:space="0"/>
              </w:pBd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井深</w:t>
            </w:r>
            <w:r>
              <w:rPr>
                <w:rFonts w:hint="default" w:ascii="Times New Roman" w:hAnsi="Times New Roman" w:cs="Times New Roman"/>
                <w:b/>
                <w:bCs/>
                <w:color w:val="auto"/>
                <w:sz w:val="21"/>
                <w:szCs w:val="21"/>
                <w:highlight w:val="none"/>
              </w:rPr>
              <w:t>（m）</w:t>
            </w:r>
          </w:p>
        </w:tc>
      </w:tr>
      <w:tr w14:paraId="50D216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37" w:type="pct"/>
            <w:noWrap w:val="0"/>
            <w:vAlign w:val="center"/>
          </w:tcPr>
          <w:p w14:paraId="35881161">
            <w:pPr>
              <w:pStyle w:val="2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G1苦竹坑村</w:t>
            </w:r>
          </w:p>
        </w:tc>
        <w:tc>
          <w:tcPr>
            <w:tcW w:w="1387" w:type="pct"/>
            <w:noWrap w:val="0"/>
            <w:vAlign w:val="center"/>
          </w:tcPr>
          <w:p w14:paraId="69FE82DE">
            <w:pPr>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c>
          <w:tcPr>
            <w:tcW w:w="1575" w:type="pct"/>
            <w:noWrap w:val="0"/>
            <w:vAlign w:val="center"/>
          </w:tcPr>
          <w:p w14:paraId="2B3F5989">
            <w:pPr>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r>
      <w:tr w14:paraId="7A556C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37" w:type="pct"/>
            <w:noWrap w:val="0"/>
            <w:vAlign w:val="center"/>
          </w:tcPr>
          <w:p w14:paraId="663974C5">
            <w:pPr>
              <w:pStyle w:val="2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G2大岭脚村</w:t>
            </w:r>
          </w:p>
        </w:tc>
        <w:tc>
          <w:tcPr>
            <w:tcW w:w="1387" w:type="pct"/>
            <w:noWrap w:val="0"/>
            <w:vAlign w:val="center"/>
          </w:tcPr>
          <w:p w14:paraId="7631B101">
            <w:pPr>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1575" w:type="pct"/>
            <w:noWrap w:val="0"/>
            <w:vAlign w:val="center"/>
          </w:tcPr>
          <w:p w14:paraId="0083E587">
            <w:pPr>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cs="Times New Roman"/>
                <w:color w:val="auto"/>
                <w:szCs w:val="24"/>
                <w:highlight w:val="none"/>
                <w:u w:val="single"/>
                <w:lang w:val="en-US" w:eastAsia="zh-CN"/>
              </w:rPr>
              <w:t>****</w:t>
            </w:r>
          </w:p>
        </w:tc>
      </w:tr>
      <w:tr w14:paraId="265EB1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37" w:type="pct"/>
            <w:noWrap w:val="0"/>
            <w:vAlign w:val="center"/>
          </w:tcPr>
          <w:p w14:paraId="6B4E1BCD">
            <w:pPr>
              <w:pStyle w:val="2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G3淡水湾村</w:t>
            </w:r>
          </w:p>
        </w:tc>
        <w:tc>
          <w:tcPr>
            <w:tcW w:w="1387" w:type="pct"/>
            <w:noWrap w:val="0"/>
            <w:vAlign w:val="center"/>
          </w:tcPr>
          <w:p w14:paraId="3EAE177D">
            <w:pPr>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c>
          <w:tcPr>
            <w:tcW w:w="1575" w:type="pct"/>
            <w:noWrap w:val="0"/>
            <w:vAlign w:val="center"/>
          </w:tcPr>
          <w:p w14:paraId="27AF99FB">
            <w:pPr>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r>
      <w:tr w14:paraId="7EA5DB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37" w:type="pct"/>
            <w:noWrap w:val="0"/>
            <w:vAlign w:val="center"/>
          </w:tcPr>
          <w:p w14:paraId="78BC286A">
            <w:pPr>
              <w:pStyle w:val="2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G4松柏港村</w:t>
            </w:r>
          </w:p>
        </w:tc>
        <w:tc>
          <w:tcPr>
            <w:tcW w:w="1387" w:type="pct"/>
            <w:noWrap w:val="0"/>
            <w:vAlign w:val="center"/>
          </w:tcPr>
          <w:p w14:paraId="47F26D97">
            <w:pPr>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1575" w:type="pct"/>
            <w:noWrap w:val="0"/>
            <w:vAlign w:val="center"/>
          </w:tcPr>
          <w:p w14:paraId="43647153">
            <w:pPr>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cs="Times New Roman"/>
                <w:color w:val="auto"/>
                <w:szCs w:val="24"/>
                <w:highlight w:val="none"/>
                <w:u w:val="single"/>
                <w:lang w:val="en-US" w:eastAsia="zh-CN"/>
              </w:rPr>
              <w:t>****</w:t>
            </w:r>
          </w:p>
        </w:tc>
      </w:tr>
      <w:tr w14:paraId="5E477B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37" w:type="pct"/>
            <w:noWrap w:val="0"/>
            <w:vAlign w:val="center"/>
          </w:tcPr>
          <w:p w14:paraId="7B81456E">
            <w:pPr>
              <w:pStyle w:val="2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G5新村</w:t>
            </w:r>
          </w:p>
        </w:tc>
        <w:tc>
          <w:tcPr>
            <w:tcW w:w="1387" w:type="pct"/>
            <w:noWrap w:val="0"/>
            <w:vAlign w:val="center"/>
          </w:tcPr>
          <w:p w14:paraId="7D5C7E8C">
            <w:pPr>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1575" w:type="pct"/>
            <w:noWrap w:val="0"/>
            <w:vAlign w:val="center"/>
          </w:tcPr>
          <w:p w14:paraId="73DC86A6">
            <w:pPr>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cs="Times New Roman"/>
                <w:color w:val="auto"/>
                <w:szCs w:val="24"/>
                <w:highlight w:val="none"/>
                <w:u w:val="single"/>
                <w:lang w:val="en-US" w:eastAsia="zh-CN"/>
              </w:rPr>
              <w:t>****</w:t>
            </w:r>
          </w:p>
        </w:tc>
      </w:tr>
      <w:tr w14:paraId="585E22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37" w:type="pct"/>
            <w:noWrap w:val="0"/>
            <w:vAlign w:val="center"/>
          </w:tcPr>
          <w:p w14:paraId="64CFE47B">
            <w:pPr>
              <w:pStyle w:val="2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G6鸡墩头村</w:t>
            </w:r>
          </w:p>
        </w:tc>
        <w:tc>
          <w:tcPr>
            <w:tcW w:w="1387" w:type="pct"/>
            <w:noWrap w:val="0"/>
            <w:vAlign w:val="center"/>
          </w:tcPr>
          <w:p w14:paraId="587DD461">
            <w:pPr>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cs="Times New Roman"/>
                <w:color w:val="auto"/>
                <w:szCs w:val="24"/>
                <w:highlight w:val="none"/>
                <w:u w:val="single"/>
                <w:lang w:val="en-US" w:eastAsia="zh-CN"/>
              </w:rPr>
              <w:t>****</w:t>
            </w:r>
          </w:p>
        </w:tc>
        <w:tc>
          <w:tcPr>
            <w:tcW w:w="1575" w:type="pct"/>
            <w:noWrap w:val="0"/>
            <w:vAlign w:val="center"/>
          </w:tcPr>
          <w:p w14:paraId="61ACD227">
            <w:pPr>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cs="Times New Roman"/>
                <w:color w:val="auto"/>
                <w:szCs w:val="24"/>
                <w:highlight w:val="none"/>
                <w:u w:val="single"/>
                <w:lang w:val="en-US" w:eastAsia="zh-CN"/>
              </w:rPr>
              <w:t>****</w:t>
            </w:r>
          </w:p>
        </w:tc>
      </w:tr>
    </w:tbl>
    <w:p w14:paraId="4D98D22B">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color w:val="auto"/>
          <w:highlight w:val="none"/>
          <w:u w:val="none"/>
          <w:lang w:val="en-US" w:eastAsia="zh-CN"/>
        </w:rPr>
      </w:pPr>
      <w:bookmarkStart w:id="86" w:name="_Ref27549"/>
      <w:bookmarkStart w:id="87" w:name="_Ref20303"/>
      <w:r>
        <w:rPr>
          <w:rFonts w:hint="eastAsia" w:ascii="Times New Roman" w:hAnsi="Times New Roman" w:eastAsia="宋体" w:cs="Times New Roman"/>
          <w:color w:val="auto"/>
          <w:highlight w:val="none"/>
          <w:u w:val="none"/>
          <w:lang w:val="en-US" w:eastAsia="zh-CN"/>
        </w:rPr>
        <w:t>项目区域地下水化学类型分析结果</w:t>
      </w:r>
      <w:bookmarkEnd w:id="86"/>
    </w:p>
    <w:tbl>
      <w:tblPr>
        <w:tblStyle w:val="88"/>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32"/>
        <w:gridCol w:w="1860"/>
        <w:gridCol w:w="2114"/>
        <w:gridCol w:w="2117"/>
      </w:tblGrid>
      <w:tr w14:paraId="4C2C5F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8" w:type="pct"/>
            <w:vMerge w:val="restart"/>
            <w:noWrap w:val="0"/>
            <w:vAlign w:val="center"/>
          </w:tcPr>
          <w:p w14:paraId="5331D159">
            <w:pPr>
              <w:pStyle w:val="56"/>
              <w:pBdr>
                <w:top w:val="none" w:color="auto" w:sz="0" w:space="0"/>
                <w:left w:val="none" w:color="auto" w:sz="0" w:space="0"/>
                <w:bottom w:val="none" w:color="auto" w:sz="0" w:space="0"/>
                <w:right w:val="none" w:color="auto" w:sz="0" w:space="0"/>
              </w:pBdr>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rPr>
              <w:t>检测</w:t>
            </w:r>
            <w:r>
              <w:rPr>
                <w:rFonts w:hint="default" w:ascii="Times New Roman" w:hAnsi="Times New Roman" w:cs="Times New Roman"/>
                <w:b w:val="0"/>
                <w:bCs w:val="0"/>
                <w:color w:val="auto"/>
                <w:sz w:val="21"/>
                <w:szCs w:val="21"/>
                <w:highlight w:val="none"/>
                <w:lang w:val="en-US" w:eastAsia="zh-CN"/>
              </w:rPr>
              <w:t>项目</w:t>
            </w:r>
          </w:p>
        </w:tc>
        <w:tc>
          <w:tcPr>
            <w:tcW w:w="3451" w:type="pct"/>
            <w:gridSpan w:val="3"/>
            <w:noWrap w:val="0"/>
            <w:vAlign w:val="center"/>
          </w:tcPr>
          <w:p w14:paraId="01AF10E2">
            <w:pPr>
              <w:pStyle w:val="56"/>
              <w:pBdr>
                <w:top w:val="none" w:color="auto" w:sz="0" w:space="0"/>
                <w:left w:val="none" w:color="auto" w:sz="0" w:space="0"/>
                <w:bottom w:val="none" w:color="auto" w:sz="0" w:space="0"/>
                <w:right w:val="none" w:color="auto" w:sz="0" w:space="0"/>
              </w:pBd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检测结果</w:t>
            </w:r>
          </w:p>
        </w:tc>
      </w:tr>
      <w:tr w14:paraId="61B2BC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8" w:type="pct"/>
            <w:vMerge w:val="continue"/>
            <w:noWrap w:val="0"/>
            <w:vAlign w:val="center"/>
          </w:tcPr>
          <w:p w14:paraId="56B38A7B">
            <w:pPr>
              <w:pStyle w:val="56"/>
              <w:pBdr>
                <w:top w:val="none" w:color="auto" w:sz="0" w:space="0"/>
                <w:left w:val="none" w:color="auto" w:sz="0" w:space="0"/>
                <w:bottom w:val="none" w:color="auto" w:sz="0" w:space="0"/>
                <w:right w:val="none" w:color="auto" w:sz="0" w:space="0"/>
              </w:pBdr>
              <w:jc w:val="center"/>
              <w:rPr>
                <w:rFonts w:hint="default" w:ascii="Times New Roman" w:hAnsi="Times New Roman" w:cs="Times New Roman"/>
                <w:b w:val="0"/>
                <w:bCs w:val="0"/>
                <w:color w:val="auto"/>
                <w:sz w:val="21"/>
                <w:szCs w:val="21"/>
                <w:highlight w:val="none"/>
              </w:rPr>
            </w:pPr>
          </w:p>
        </w:tc>
        <w:tc>
          <w:tcPr>
            <w:tcW w:w="1054" w:type="pct"/>
            <w:noWrap w:val="0"/>
            <w:vAlign w:val="center"/>
          </w:tcPr>
          <w:p w14:paraId="3AA04230">
            <w:pPr>
              <w:pStyle w:val="56"/>
              <w:pBdr>
                <w:top w:val="none" w:color="auto" w:sz="0" w:space="0"/>
                <w:left w:val="none" w:color="auto" w:sz="0" w:space="0"/>
                <w:bottom w:val="none" w:color="auto" w:sz="0" w:space="0"/>
                <w:right w:val="none" w:color="auto" w:sz="0" w:space="0"/>
              </w:pBdr>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G1苦竹坑村</w:t>
            </w:r>
          </w:p>
        </w:tc>
        <w:tc>
          <w:tcPr>
            <w:tcW w:w="1198" w:type="pct"/>
            <w:noWrap w:val="0"/>
            <w:vAlign w:val="center"/>
          </w:tcPr>
          <w:p w14:paraId="7C3E2653">
            <w:pPr>
              <w:pStyle w:val="56"/>
              <w:pBdr>
                <w:top w:val="none" w:color="auto" w:sz="0" w:space="0"/>
                <w:left w:val="none" w:color="auto" w:sz="0" w:space="0"/>
                <w:bottom w:val="none" w:color="auto" w:sz="0" w:space="0"/>
                <w:right w:val="none" w:color="auto" w:sz="0" w:space="0"/>
              </w:pBd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G2大岭脚村</w:t>
            </w:r>
          </w:p>
        </w:tc>
        <w:tc>
          <w:tcPr>
            <w:tcW w:w="1199" w:type="pct"/>
            <w:noWrap w:val="0"/>
            <w:vAlign w:val="center"/>
          </w:tcPr>
          <w:p w14:paraId="57A647F7">
            <w:pPr>
              <w:pStyle w:val="56"/>
              <w:pBdr>
                <w:top w:val="none" w:color="auto" w:sz="0" w:space="0"/>
                <w:left w:val="none" w:color="auto" w:sz="0" w:space="0"/>
                <w:bottom w:val="none" w:color="auto" w:sz="0" w:space="0"/>
                <w:right w:val="none" w:color="auto" w:sz="0" w:space="0"/>
              </w:pBd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G3淡水湾村</w:t>
            </w:r>
          </w:p>
        </w:tc>
      </w:tr>
      <w:tr w14:paraId="29EF9D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8" w:type="pct"/>
            <w:noWrap w:val="0"/>
            <w:vAlign w:val="center"/>
          </w:tcPr>
          <w:p w14:paraId="50A567C1">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K</w:t>
            </w:r>
            <w:r>
              <w:rPr>
                <w:rFonts w:hint="default" w:ascii="Times New Roman" w:hAnsi="Times New Roman" w:cs="Times New Roman"/>
                <w:color w:val="auto"/>
                <w:sz w:val="21"/>
                <w:szCs w:val="21"/>
                <w:highlight w:val="none"/>
                <w:vertAlign w:val="superscript"/>
              </w:rPr>
              <w:t>+</w:t>
            </w:r>
          </w:p>
        </w:tc>
        <w:tc>
          <w:tcPr>
            <w:tcW w:w="1860" w:type="dxa"/>
            <w:noWrap w:val="0"/>
            <w:vAlign w:val="center"/>
          </w:tcPr>
          <w:p w14:paraId="4FC9D90C">
            <w:pPr>
              <w:jc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c>
          <w:tcPr>
            <w:tcW w:w="2114" w:type="dxa"/>
            <w:noWrap w:val="0"/>
            <w:vAlign w:val="center"/>
          </w:tcPr>
          <w:p w14:paraId="6A8D6B1F">
            <w:pPr>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c>
          <w:tcPr>
            <w:tcW w:w="2117" w:type="dxa"/>
            <w:noWrap w:val="0"/>
            <w:vAlign w:val="center"/>
          </w:tcPr>
          <w:p w14:paraId="1316A303">
            <w:pPr>
              <w:jc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r>
      <w:tr w14:paraId="6202E3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8" w:type="pct"/>
            <w:noWrap w:val="0"/>
            <w:vAlign w:val="center"/>
          </w:tcPr>
          <w:p w14:paraId="31113E78">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Na</w:t>
            </w:r>
            <w:r>
              <w:rPr>
                <w:rFonts w:hint="default" w:ascii="Times New Roman" w:hAnsi="Times New Roman" w:cs="Times New Roman"/>
                <w:color w:val="auto"/>
                <w:sz w:val="21"/>
                <w:szCs w:val="21"/>
                <w:highlight w:val="none"/>
                <w:vertAlign w:val="superscript"/>
              </w:rPr>
              <w:t>+</w:t>
            </w:r>
          </w:p>
        </w:tc>
        <w:tc>
          <w:tcPr>
            <w:tcW w:w="1860" w:type="dxa"/>
            <w:noWrap w:val="0"/>
            <w:vAlign w:val="center"/>
          </w:tcPr>
          <w:p w14:paraId="5E96C948">
            <w:pPr>
              <w:jc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c>
          <w:tcPr>
            <w:tcW w:w="2114" w:type="dxa"/>
            <w:noWrap w:val="0"/>
            <w:vAlign w:val="center"/>
          </w:tcPr>
          <w:p w14:paraId="660F1E83">
            <w:pPr>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c>
          <w:tcPr>
            <w:tcW w:w="2117" w:type="dxa"/>
            <w:noWrap w:val="0"/>
            <w:vAlign w:val="center"/>
          </w:tcPr>
          <w:p w14:paraId="415AA705">
            <w:pPr>
              <w:jc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r>
      <w:tr w14:paraId="41F5A5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8" w:type="pct"/>
            <w:noWrap w:val="0"/>
            <w:vAlign w:val="center"/>
          </w:tcPr>
          <w:p w14:paraId="072B68F6">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Ca</w:t>
            </w:r>
            <w:r>
              <w:rPr>
                <w:rFonts w:hint="default" w:ascii="Times New Roman" w:hAnsi="Times New Roman" w:cs="Times New Roman"/>
                <w:color w:val="auto"/>
                <w:sz w:val="21"/>
                <w:szCs w:val="21"/>
                <w:highlight w:val="none"/>
                <w:vertAlign w:val="superscript"/>
              </w:rPr>
              <w:t>2+</w:t>
            </w:r>
          </w:p>
        </w:tc>
        <w:tc>
          <w:tcPr>
            <w:tcW w:w="1860" w:type="dxa"/>
            <w:noWrap w:val="0"/>
            <w:vAlign w:val="center"/>
          </w:tcPr>
          <w:p w14:paraId="3F5D8042">
            <w:pPr>
              <w:jc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c>
          <w:tcPr>
            <w:tcW w:w="2114" w:type="dxa"/>
            <w:noWrap w:val="0"/>
            <w:vAlign w:val="center"/>
          </w:tcPr>
          <w:p w14:paraId="1C425510">
            <w:pPr>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c>
          <w:tcPr>
            <w:tcW w:w="2117" w:type="dxa"/>
            <w:noWrap w:val="0"/>
            <w:vAlign w:val="center"/>
          </w:tcPr>
          <w:p w14:paraId="01F80BA9">
            <w:pPr>
              <w:jc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r>
      <w:tr w14:paraId="114E8B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8" w:type="pct"/>
            <w:noWrap w:val="0"/>
            <w:vAlign w:val="center"/>
          </w:tcPr>
          <w:p w14:paraId="208BF022">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Mg</w:t>
            </w:r>
            <w:r>
              <w:rPr>
                <w:rFonts w:hint="default" w:ascii="Times New Roman" w:hAnsi="Times New Roman" w:cs="Times New Roman"/>
                <w:color w:val="auto"/>
                <w:sz w:val="21"/>
                <w:szCs w:val="21"/>
                <w:highlight w:val="none"/>
                <w:vertAlign w:val="superscript"/>
              </w:rPr>
              <w:t>2+</w:t>
            </w:r>
          </w:p>
        </w:tc>
        <w:tc>
          <w:tcPr>
            <w:tcW w:w="1860" w:type="dxa"/>
            <w:noWrap w:val="0"/>
            <w:vAlign w:val="center"/>
          </w:tcPr>
          <w:p w14:paraId="7CD13E79">
            <w:pPr>
              <w:jc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c>
          <w:tcPr>
            <w:tcW w:w="2114" w:type="dxa"/>
            <w:noWrap w:val="0"/>
            <w:vAlign w:val="center"/>
          </w:tcPr>
          <w:p w14:paraId="38847710">
            <w:pPr>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c>
          <w:tcPr>
            <w:tcW w:w="2117" w:type="dxa"/>
            <w:noWrap w:val="0"/>
            <w:vAlign w:val="center"/>
          </w:tcPr>
          <w:p w14:paraId="5CE56876">
            <w:pPr>
              <w:jc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r>
      <w:tr w14:paraId="0F655D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8" w:type="pct"/>
            <w:noWrap w:val="0"/>
            <w:vAlign w:val="center"/>
          </w:tcPr>
          <w:p w14:paraId="5A4FB56D">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CO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vertAlign w:val="superscript"/>
              </w:rPr>
              <w:t>2-</w:t>
            </w:r>
          </w:p>
        </w:tc>
        <w:tc>
          <w:tcPr>
            <w:tcW w:w="1860" w:type="dxa"/>
            <w:noWrap w:val="0"/>
            <w:vAlign w:val="center"/>
          </w:tcPr>
          <w:p w14:paraId="4B4D9951">
            <w:pPr>
              <w:jc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c>
          <w:tcPr>
            <w:tcW w:w="2114" w:type="dxa"/>
            <w:noWrap w:val="0"/>
            <w:vAlign w:val="center"/>
          </w:tcPr>
          <w:p w14:paraId="54FD0673">
            <w:pPr>
              <w:jc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c>
          <w:tcPr>
            <w:tcW w:w="2117" w:type="dxa"/>
            <w:noWrap w:val="0"/>
            <w:vAlign w:val="center"/>
          </w:tcPr>
          <w:p w14:paraId="1E0D08D1">
            <w:pPr>
              <w:jc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r>
      <w:tr w14:paraId="7416A5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8" w:type="pct"/>
            <w:noWrap w:val="0"/>
            <w:vAlign w:val="center"/>
          </w:tcPr>
          <w:p w14:paraId="2EFD3CDB">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HCO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vertAlign w:val="superscript"/>
              </w:rPr>
              <w:t>-</w:t>
            </w:r>
          </w:p>
        </w:tc>
        <w:tc>
          <w:tcPr>
            <w:tcW w:w="1860" w:type="dxa"/>
            <w:noWrap w:val="0"/>
            <w:vAlign w:val="center"/>
          </w:tcPr>
          <w:p w14:paraId="121461F2">
            <w:pPr>
              <w:jc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c>
          <w:tcPr>
            <w:tcW w:w="2114" w:type="dxa"/>
            <w:noWrap w:val="0"/>
            <w:vAlign w:val="center"/>
          </w:tcPr>
          <w:p w14:paraId="71FB1F5E">
            <w:pPr>
              <w:jc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c>
          <w:tcPr>
            <w:tcW w:w="2117" w:type="dxa"/>
            <w:noWrap w:val="0"/>
            <w:vAlign w:val="center"/>
          </w:tcPr>
          <w:p w14:paraId="28CDFF40">
            <w:pPr>
              <w:jc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r>
      <w:tr w14:paraId="21384F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8" w:type="pct"/>
            <w:noWrap w:val="0"/>
            <w:vAlign w:val="center"/>
          </w:tcPr>
          <w:p w14:paraId="360B41A0">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Cl</w:t>
            </w:r>
            <w:r>
              <w:rPr>
                <w:rFonts w:hint="default" w:ascii="Times New Roman" w:hAnsi="Times New Roman" w:eastAsia="宋体" w:cs="Times New Roman"/>
                <w:color w:val="auto"/>
                <w:sz w:val="21"/>
                <w:szCs w:val="21"/>
                <w:highlight w:val="none"/>
                <w:vertAlign w:val="superscript"/>
                <w:lang w:val="en-US" w:eastAsia="zh-CN"/>
              </w:rPr>
              <w:t>-</w:t>
            </w:r>
          </w:p>
        </w:tc>
        <w:tc>
          <w:tcPr>
            <w:tcW w:w="1860" w:type="dxa"/>
            <w:noWrap w:val="0"/>
            <w:vAlign w:val="center"/>
          </w:tcPr>
          <w:p w14:paraId="109BB1F0">
            <w:pPr>
              <w:jc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c>
          <w:tcPr>
            <w:tcW w:w="2114" w:type="dxa"/>
            <w:noWrap w:val="0"/>
            <w:vAlign w:val="center"/>
          </w:tcPr>
          <w:p w14:paraId="7C8E77C9">
            <w:pPr>
              <w:jc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c>
          <w:tcPr>
            <w:tcW w:w="2117" w:type="dxa"/>
            <w:noWrap w:val="0"/>
            <w:vAlign w:val="center"/>
          </w:tcPr>
          <w:p w14:paraId="0BE4835D">
            <w:pPr>
              <w:jc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r>
      <w:tr w14:paraId="6B4D62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48" w:type="pct"/>
            <w:noWrap w:val="0"/>
            <w:vAlign w:val="center"/>
          </w:tcPr>
          <w:p w14:paraId="4B10739D">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SO</w:t>
            </w:r>
            <w:r>
              <w:rPr>
                <w:rFonts w:hint="default" w:ascii="Times New Roman" w:hAnsi="Times New Roman" w:eastAsia="宋体" w:cs="Times New Roman"/>
                <w:color w:val="auto"/>
                <w:sz w:val="21"/>
                <w:szCs w:val="21"/>
                <w:highlight w:val="none"/>
                <w:vertAlign w:val="subscript"/>
                <w:lang w:val="en-US" w:eastAsia="zh-CN"/>
              </w:rPr>
              <w:t>4</w:t>
            </w:r>
            <w:r>
              <w:rPr>
                <w:rFonts w:hint="default" w:ascii="Times New Roman" w:hAnsi="Times New Roman" w:eastAsia="宋体" w:cs="Times New Roman"/>
                <w:color w:val="auto"/>
                <w:sz w:val="21"/>
                <w:szCs w:val="21"/>
                <w:highlight w:val="none"/>
                <w:vertAlign w:val="superscript"/>
                <w:lang w:val="en-US" w:eastAsia="zh-CN"/>
              </w:rPr>
              <w:t>2-</w:t>
            </w:r>
          </w:p>
        </w:tc>
        <w:tc>
          <w:tcPr>
            <w:tcW w:w="1860" w:type="dxa"/>
            <w:noWrap w:val="0"/>
            <w:vAlign w:val="center"/>
          </w:tcPr>
          <w:p w14:paraId="3FA39ED9">
            <w:pPr>
              <w:jc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c>
          <w:tcPr>
            <w:tcW w:w="2114" w:type="dxa"/>
            <w:noWrap w:val="0"/>
            <w:vAlign w:val="center"/>
          </w:tcPr>
          <w:p w14:paraId="43A1536D">
            <w:pPr>
              <w:jc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c>
          <w:tcPr>
            <w:tcW w:w="2117" w:type="dxa"/>
            <w:noWrap w:val="0"/>
            <w:vAlign w:val="center"/>
          </w:tcPr>
          <w:p w14:paraId="5E1FA75B">
            <w:pPr>
              <w:jc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r>
    </w:tbl>
    <w:p w14:paraId="49E3F1EE">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color w:val="auto"/>
          <w:highlight w:val="none"/>
          <w:u w:val="none"/>
          <w:lang w:val="en-US" w:eastAsia="zh-CN"/>
        </w:rPr>
      </w:pPr>
      <w:bookmarkStart w:id="88" w:name="_Ref27559"/>
      <w:r>
        <w:rPr>
          <w:rFonts w:hint="eastAsia" w:ascii="Times New Roman" w:hAnsi="Times New Roman" w:eastAsia="宋体" w:cs="Times New Roman"/>
          <w:color w:val="auto"/>
          <w:highlight w:val="none"/>
          <w:u w:val="none"/>
          <w:lang w:val="en-US" w:eastAsia="zh-CN"/>
        </w:rPr>
        <w:t>监测点位G1、G3监测结果</w:t>
      </w:r>
      <w:bookmarkEnd w:id="87"/>
      <w:bookmarkEnd w:id="88"/>
    </w:p>
    <w:tbl>
      <w:tblPr>
        <w:tblStyle w:val="8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6"/>
        <w:gridCol w:w="1463"/>
        <w:gridCol w:w="1069"/>
        <w:gridCol w:w="744"/>
        <w:gridCol w:w="630"/>
        <w:gridCol w:w="770"/>
        <w:gridCol w:w="809"/>
        <w:gridCol w:w="630"/>
        <w:gridCol w:w="693"/>
        <w:gridCol w:w="1029"/>
      </w:tblGrid>
      <w:tr w14:paraId="6C9B53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8" w:type="pct"/>
            <w:vMerge w:val="restart"/>
            <w:noWrap w:val="0"/>
            <w:vAlign w:val="center"/>
          </w:tcPr>
          <w:p w14:paraId="539FA1F4">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采样日期</w:t>
            </w:r>
          </w:p>
        </w:tc>
        <w:tc>
          <w:tcPr>
            <w:tcW w:w="829" w:type="pct"/>
            <w:vMerge w:val="restart"/>
            <w:noWrap w:val="0"/>
            <w:vAlign w:val="center"/>
          </w:tcPr>
          <w:p w14:paraId="7E0945BE">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检测项目</w:t>
            </w:r>
          </w:p>
        </w:tc>
        <w:tc>
          <w:tcPr>
            <w:tcW w:w="605" w:type="pct"/>
            <w:vMerge w:val="restart"/>
            <w:noWrap w:val="0"/>
            <w:vAlign w:val="center"/>
          </w:tcPr>
          <w:p w14:paraId="5A60D0E8">
            <w:pPr>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标准值</w:t>
            </w:r>
          </w:p>
        </w:tc>
        <w:tc>
          <w:tcPr>
            <w:tcW w:w="1215" w:type="pct"/>
            <w:gridSpan w:val="3"/>
            <w:noWrap w:val="0"/>
            <w:vAlign w:val="center"/>
          </w:tcPr>
          <w:p w14:paraId="75CCA742">
            <w:pPr>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vertAlign w:val="baseline"/>
                <w:lang w:val="en-US" w:eastAsia="zh-CN"/>
              </w:rPr>
              <w:t>G1苦竹坑村</w:t>
            </w:r>
          </w:p>
        </w:tc>
        <w:tc>
          <w:tcPr>
            <w:tcW w:w="1208" w:type="pct"/>
            <w:gridSpan w:val="3"/>
            <w:noWrap w:val="0"/>
            <w:vAlign w:val="center"/>
          </w:tcPr>
          <w:p w14:paraId="3564BAF1">
            <w:pPr>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vertAlign w:val="baseline"/>
                <w:lang w:val="en-US" w:eastAsia="zh-CN"/>
              </w:rPr>
              <w:t>G3淡水湾村</w:t>
            </w:r>
          </w:p>
        </w:tc>
        <w:tc>
          <w:tcPr>
            <w:tcW w:w="583" w:type="pct"/>
            <w:vMerge w:val="restart"/>
            <w:noWrap w:val="0"/>
            <w:vAlign w:val="center"/>
          </w:tcPr>
          <w:p w14:paraId="2F8E6691">
            <w:pPr>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单位</w:t>
            </w:r>
          </w:p>
        </w:tc>
      </w:tr>
      <w:tr w14:paraId="1B1330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8" w:type="pct"/>
            <w:vMerge w:val="continue"/>
            <w:noWrap w:val="0"/>
            <w:vAlign w:val="center"/>
          </w:tcPr>
          <w:p w14:paraId="678947BF">
            <w:pPr>
              <w:jc w:val="center"/>
              <w:rPr>
                <w:rFonts w:hint="default" w:ascii="Times New Roman" w:hAnsi="Times New Roman" w:cs="Times New Roman"/>
                <w:b/>
                <w:bCs/>
                <w:color w:val="auto"/>
                <w:sz w:val="21"/>
                <w:szCs w:val="21"/>
                <w:highlight w:val="none"/>
              </w:rPr>
            </w:pPr>
          </w:p>
        </w:tc>
        <w:tc>
          <w:tcPr>
            <w:tcW w:w="829" w:type="pct"/>
            <w:vMerge w:val="continue"/>
            <w:noWrap w:val="0"/>
            <w:vAlign w:val="center"/>
          </w:tcPr>
          <w:p w14:paraId="67966BCB">
            <w:pPr>
              <w:jc w:val="center"/>
              <w:rPr>
                <w:rFonts w:hint="default" w:ascii="Times New Roman" w:hAnsi="Times New Roman" w:cs="Times New Roman"/>
                <w:b/>
                <w:bCs/>
                <w:color w:val="auto"/>
                <w:sz w:val="21"/>
                <w:szCs w:val="21"/>
                <w:highlight w:val="none"/>
              </w:rPr>
            </w:pPr>
          </w:p>
        </w:tc>
        <w:tc>
          <w:tcPr>
            <w:tcW w:w="605" w:type="pct"/>
            <w:vMerge w:val="continue"/>
            <w:noWrap w:val="0"/>
            <w:vAlign w:val="center"/>
          </w:tcPr>
          <w:p w14:paraId="2D5C6BFF">
            <w:pPr>
              <w:jc w:val="center"/>
              <w:rPr>
                <w:rFonts w:hint="default" w:ascii="Times New Roman" w:hAnsi="Times New Roman" w:cs="Times New Roman"/>
                <w:b/>
                <w:bCs/>
                <w:color w:val="auto"/>
                <w:sz w:val="21"/>
                <w:szCs w:val="21"/>
                <w:highlight w:val="none"/>
              </w:rPr>
            </w:pPr>
          </w:p>
        </w:tc>
        <w:tc>
          <w:tcPr>
            <w:tcW w:w="421" w:type="pct"/>
            <w:noWrap w:val="0"/>
            <w:vAlign w:val="center"/>
          </w:tcPr>
          <w:p w14:paraId="4E278F84">
            <w:pPr>
              <w:pStyle w:val="20"/>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监测值</w:t>
            </w:r>
          </w:p>
        </w:tc>
        <w:tc>
          <w:tcPr>
            <w:tcW w:w="357" w:type="pct"/>
            <w:noWrap w:val="0"/>
            <w:vAlign w:val="center"/>
          </w:tcPr>
          <w:p w14:paraId="7840E9AB">
            <w:pPr>
              <w:pStyle w:val="20"/>
              <w:ind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Pi</w:t>
            </w:r>
          </w:p>
        </w:tc>
        <w:tc>
          <w:tcPr>
            <w:tcW w:w="436" w:type="pct"/>
            <w:noWrap w:val="0"/>
            <w:vAlign w:val="center"/>
          </w:tcPr>
          <w:p w14:paraId="5D08E628">
            <w:pPr>
              <w:pStyle w:val="20"/>
              <w:ind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达标情况</w:t>
            </w:r>
          </w:p>
        </w:tc>
        <w:tc>
          <w:tcPr>
            <w:tcW w:w="458" w:type="pct"/>
            <w:noWrap w:val="0"/>
            <w:vAlign w:val="center"/>
          </w:tcPr>
          <w:p w14:paraId="5BEDB826">
            <w:pPr>
              <w:pStyle w:val="20"/>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监测值</w:t>
            </w:r>
          </w:p>
        </w:tc>
        <w:tc>
          <w:tcPr>
            <w:tcW w:w="357" w:type="pct"/>
            <w:noWrap w:val="0"/>
            <w:vAlign w:val="center"/>
          </w:tcPr>
          <w:p w14:paraId="18E34C96">
            <w:pPr>
              <w:pStyle w:val="20"/>
              <w:ind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Pi</w:t>
            </w:r>
          </w:p>
        </w:tc>
        <w:tc>
          <w:tcPr>
            <w:tcW w:w="392" w:type="pct"/>
            <w:noWrap w:val="0"/>
            <w:vAlign w:val="center"/>
          </w:tcPr>
          <w:p w14:paraId="697D481D">
            <w:pPr>
              <w:pStyle w:val="20"/>
              <w:ind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达标情况</w:t>
            </w:r>
          </w:p>
        </w:tc>
        <w:tc>
          <w:tcPr>
            <w:tcW w:w="583" w:type="pct"/>
            <w:vMerge w:val="continue"/>
            <w:noWrap w:val="0"/>
            <w:vAlign w:val="center"/>
          </w:tcPr>
          <w:p w14:paraId="0A00F07B">
            <w:pPr>
              <w:jc w:val="center"/>
              <w:rPr>
                <w:rFonts w:hint="default" w:ascii="Times New Roman" w:hAnsi="Times New Roman" w:cs="Times New Roman"/>
                <w:color w:val="auto"/>
                <w:sz w:val="21"/>
                <w:szCs w:val="21"/>
                <w:highlight w:val="none"/>
              </w:rPr>
            </w:pPr>
          </w:p>
        </w:tc>
      </w:tr>
      <w:tr w14:paraId="270CDA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8" w:type="pct"/>
            <w:vMerge w:val="restart"/>
            <w:noWrap w:val="0"/>
            <w:vAlign w:val="center"/>
          </w:tcPr>
          <w:p w14:paraId="40341878">
            <w:pPr>
              <w:pStyle w:val="2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2025.04.21</w:t>
            </w:r>
          </w:p>
        </w:tc>
        <w:tc>
          <w:tcPr>
            <w:tcW w:w="829" w:type="pct"/>
            <w:noWrap w:val="0"/>
            <w:vAlign w:val="center"/>
          </w:tcPr>
          <w:p w14:paraId="73B915A6">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pH值</w:t>
            </w:r>
          </w:p>
        </w:tc>
        <w:tc>
          <w:tcPr>
            <w:tcW w:w="605" w:type="pct"/>
            <w:noWrap w:val="0"/>
            <w:vAlign w:val="center"/>
          </w:tcPr>
          <w:p w14:paraId="1E320D54">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6.5≤pH≤8.5</w:t>
            </w:r>
          </w:p>
        </w:tc>
        <w:tc>
          <w:tcPr>
            <w:tcW w:w="421" w:type="pct"/>
            <w:noWrap w:val="0"/>
            <w:vAlign w:val="center"/>
          </w:tcPr>
          <w:p w14:paraId="390C1200">
            <w:pPr>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357" w:type="pct"/>
            <w:noWrap w:val="0"/>
            <w:vAlign w:val="center"/>
          </w:tcPr>
          <w:p w14:paraId="215BB5ED">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436" w:type="pct"/>
            <w:noWrap w:val="0"/>
            <w:vAlign w:val="center"/>
          </w:tcPr>
          <w:p w14:paraId="6ED44FC5">
            <w:pPr>
              <w:jc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w:t>
            </w:r>
          </w:p>
        </w:tc>
        <w:tc>
          <w:tcPr>
            <w:tcW w:w="458" w:type="pct"/>
            <w:noWrap w:val="0"/>
            <w:vAlign w:val="center"/>
          </w:tcPr>
          <w:p w14:paraId="17AF7C52">
            <w:pPr>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357" w:type="pct"/>
            <w:noWrap w:val="0"/>
            <w:vAlign w:val="center"/>
          </w:tcPr>
          <w:p w14:paraId="60AC3E77">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392" w:type="pct"/>
            <w:noWrap w:val="0"/>
            <w:vAlign w:val="center"/>
          </w:tcPr>
          <w:p w14:paraId="3B901CB0">
            <w:pPr>
              <w:jc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w:t>
            </w:r>
          </w:p>
        </w:tc>
        <w:tc>
          <w:tcPr>
            <w:tcW w:w="583" w:type="pct"/>
            <w:noWrap w:val="0"/>
            <w:vAlign w:val="center"/>
          </w:tcPr>
          <w:p w14:paraId="25A707FB">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无量纲</w:t>
            </w:r>
          </w:p>
        </w:tc>
      </w:tr>
      <w:tr w14:paraId="7CC1D8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8" w:type="pct"/>
            <w:vMerge w:val="continue"/>
            <w:noWrap w:val="0"/>
            <w:vAlign w:val="center"/>
          </w:tcPr>
          <w:p w14:paraId="71577550">
            <w:pPr>
              <w:pStyle w:val="20"/>
              <w:ind w:firstLine="0" w:firstLineChars="0"/>
              <w:jc w:val="center"/>
              <w:rPr>
                <w:rFonts w:hint="default" w:ascii="Times New Roman" w:hAnsi="Times New Roman" w:eastAsia="宋体" w:cs="Times New Roman"/>
                <w:color w:val="auto"/>
                <w:sz w:val="21"/>
                <w:szCs w:val="21"/>
                <w:highlight w:val="none"/>
                <w:lang w:val="en-US" w:eastAsia="zh-CN"/>
              </w:rPr>
            </w:pPr>
          </w:p>
        </w:tc>
        <w:tc>
          <w:tcPr>
            <w:tcW w:w="829" w:type="pct"/>
            <w:noWrap w:val="0"/>
            <w:vAlign w:val="center"/>
          </w:tcPr>
          <w:p w14:paraId="3A15F830">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镉</w:t>
            </w:r>
          </w:p>
        </w:tc>
        <w:tc>
          <w:tcPr>
            <w:tcW w:w="605" w:type="pct"/>
            <w:noWrap w:val="0"/>
            <w:vAlign w:val="center"/>
          </w:tcPr>
          <w:p w14:paraId="14EA01BA">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0.005</w:t>
            </w:r>
          </w:p>
        </w:tc>
        <w:tc>
          <w:tcPr>
            <w:tcW w:w="421" w:type="pct"/>
            <w:noWrap w:val="0"/>
            <w:vAlign w:val="center"/>
          </w:tcPr>
          <w:p w14:paraId="1D914EFA">
            <w:pPr>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357" w:type="pct"/>
            <w:noWrap w:val="0"/>
            <w:vAlign w:val="center"/>
          </w:tcPr>
          <w:p w14:paraId="5698278E">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436" w:type="pct"/>
            <w:noWrap w:val="0"/>
            <w:vAlign w:val="center"/>
          </w:tcPr>
          <w:p w14:paraId="13C381C6">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达标</w:t>
            </w:r>
          </w:p>
        </w:tc>
        <w:tc>
          <w:tcPr>
            <w:tcW w:w="458" w:type="pct"/>
            <w:noWrap w:val="0"/>
            <w:vAlign w:val="center"/>
          </w:tcPr>
          <w:p w14:paraId="6A3AC0AC">
            <w:pPr>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357" w:type="pct"/>
            <w:noWrap w:val="0"/>
            <w:vAlign w:val="center"/>
          </w:tcPr>
          <w:p w14:paraId="50B8F2D0">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392" w:type="pct"/>
            <w:noWrap w:val="0"/>
            <w:vAlign w:val="center"/>
          </w:tcPr>
          <w:p w14:paraId="1D95DA8D">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达标</w:t>
            </w:r>
          </w:p>
        </w:tc>
        <w:tc>
          <w:tcPr>
            <w:tcW w:w="583" w:type="pct"/>
            <w:noWrap w:val="0"/>
            <w:vAlign w:val="center"/>
          </w:tcPr>
          <w:p w14:paraId="21C38F2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mg/L</w:t>
            </w:r>
          </w:p>
        </w:tc>
      </w:tr>
      <w:tr w14:paraId="37C63C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8" w:type="pct"/>
            <w:vMerge w:val="continue"/>
            <w:noWrap w:val="0"/>
            <w:vAlign w:val="center"/>
          </w:tcPr>
          <w:p w14:paraId="663821FB">
            <w:pPr>
              <w:pStyle w:val="20"/>
              <w:ind w:firstLine="0" w:firstLineChars="0"/>
              <w:jc w:val="center"/>
              <w:rPr>
                <w:rFonts w:hint="default" w:ascii="Times New Roman" w:hAnsi="Times New Roman" w:eastAsia="宋体" w:cs="Times New Roman"/>
                <w:color w:val="auto"/>
                <w:sz w:val="21"/>
                <w:szCs w:val="21"/>
                <w:highlight w:val="none"/>
                <w:lang w:val="en-US" w:eastAsia="zh-CN"/>
              </w:rPr>
            </w:pPr>
          </w:p>
        </w:tc>
        <w:tc>
          <w:tcPr>
            <w:tcW w:w="829" w:type="pct"/>
            <w:noWrap w:val="0"/>
            <w:vAlign w:val="center"/>
          </w:tcPr>
          <w:p w14:paraId="217C55B2">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铅</w:t>
            </w:r>
          </w:p>
        </w:tc>
        <w:tc>
          <w:tcPr>
            <w:tcW w:w="605" w:type="pct"/>
            <w:noWrap w:val="0"/>
            <w:vAlign w:val="center"/>
          </w:tcPr>
          <w:p w14:paraId="3B984ED1">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w:t>
            </w:r>
          </w:p>
        </w:tc>
        <w:tc>
          <w:tcPr>
            <w:tcW w:w="421" w:type="pct"/>
            <w:noWrap w:val="0"/>
            <w:vAlign w:val="center"/>
          </w:tcPr>
          <w:p w14:paraId="3F2F6B57">
            <w:pPr>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357" w:type="pct"/>
            <w:noWrap w:val="0"/>
            <w:vAlign w:val="center"/>
          </w:tcPr>
          <w:p w14:paraId="45236561">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436" w:type="pct"/>
            <w:noWrap w:val="0"/>
            <w:vAlign w:val="center"/>
          </w:tcPr>
          <w:p w14:paraId="662AF35D">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达标</w:t>
            </w:r>
          </w:p>
        </w:tc>
        <w:tc>
          <w:tcPr>
            <w:tcW w:w="458" w:type="pct"/>
            <w:noWrap w:val="0"/>
            <w:vAlign w:val="center"/>
          </w:tcPr>
          <w:p w14:paraId="146E128A">
            <w:pPr>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357" w:type="pct"/>
            <w:noWrap w:val="0"/>
            <w:vAlign w:val="center"/>
          </w:tcPr>
          <w:p w14:paraId="32F396ED">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392" w:type="pct"/>
            <w:noWrap w:val="0"/>
            <w:vAlign w:val="center"/>
          </w:tcPr>
          <w:p w14:paraId="397B8BB2">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达标</w:t>
            </w:r>
          </w:p>
        </w:tc>
        <w:tc>
          <w:tcPr>
            <w:tcW w:w="583" w:type="pct"/>
            <w:noWrap w:val="0"/>
            <w:vAlign w:val="center"/>
          </w:tcPr>
          <w:p w14:paraId="4080F1A4">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mg/L</w:t>
            </w:r>
          </w:p>
        </w:tc>
      </w:tr>
      <w:tr w14:paraId="53F58E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8" w:type="pct"/>
            <w:vMerge w:val="continue"/>
            <w:noWrap w:val="0"/>
            <w:vAlign w:val="center"/>
          </w:tcPr>
          <w:p w14:paraId="052FB45B">
            <w:pPr>
              <w:pStyle w:val="20"/>
              <w:ind w:firstLine="0" w:firstLineChars="0"/>
              <w:jc w:val="center"/>
              <w:rPr>
                <w:rFonts w:hint="default" w:ascii="Times New Roman" w:hAnsi="Times New Roman" w:eastAsia="宋体" w:cs="Times New Roman"/>
                <w:color w:val="auto"/>
                <w:sz w:val="21"/>
                <w:szCs w:val="21"/>
                <w:highlight w:val="none"/>
                <w:lang w:val="en-US" w:eastAsia="zh-CN"/>
              </w:rPr>
            </w:pPr>
          </w:p>
        </w:tc>
        <w:tc>
          <w:tcPr>
            <w:tcW w:w="829" w:type="pct"/>
            <w:noWrap w:val="0"/>
            <w:vAlign w:val="center"/>
          </w:tcPr>
          <w:p w14:paraId="6C0D1A69">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铁</w:t>
            </w:r>
          </w:p>
        </w:tc>
        <w:tc>
          <w:tcPr>
            <w:tcW w:w="605" w:type="pct"/>
            <w:noWrap w:val="0"/>
            <w:vAlign w:val="center"/>
          </w:tcPr>
          <w:p w14:paraId="09B20036">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w:t>
            </w:r>
          </w:p>
        </w:tc>
        <w:tc>
          <w:tcPr>
            <w:tcW w:w="421" w:type="pct"/>
            <w:noWrap w:val="0"/>
            <w:vAlign w:val="center"/>
          </w:tcPr>
          <w:p w14:paraId="4E07CBA7">
            <w:pPr>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357" w:type="pct"/>
            <w:noWrap w:val="0"/>
            <w:vAlign w:val="center"/>
          </w:tcPr>
          <w:p w14:paraId="3DB23A34">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436" w:type="pct"/>
            <w:noWrap w:val="0"/>
            <w:vAlign w:val="center"/>
          </w:tcPr>
          <w:p w14:paraId="2BC43E50">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达标</w:t>
            </w:r>
          </w:p>
        </w:tc>
        <w:tc>
          <w:tcPr>
            <w:tcW w:w="458" w:type="pct"/>
            <w:noWrap w:val="0"/>
            <w:vAlign w:val="center"/>
          </w:tcPr>
          <w:p w14:paraId="68095F68">
            <w:pPr>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357" w:type="pct"/>
            <w:noWrap w:val="0"/>
            <w:vAlign w:val="center"/>
          </w:tcPr>
          <w:p w14:paraId="729910E7">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392" w:type="pct"/>
            <w:noWrap w:val="0"/>
            <w:vAlign w:val="center"/>
          </w:tcPr>
          <w:p w14:paraId="7B2FB704">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达标</w:t>
            </w:r>
          </w:p>
        </w:tc>
        <w:tc>
          <w:tcPr>
            <w:tcW w:w="583" w:type="pct"/>
            <w:noWrap w:val="0"/>
            <w:vAlign w:val="center"/>
          </w:tcPr>
          <w:p w14:paraId="0F49DA4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mg/L</w:t>
            </w:r>
          </w:p>
        </w:tc>
      </w:tr>
      <w:tr w14:paraId="118F49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8" w:type="pct"/>
            <w:vMerge w:val="continue"/>
            <w:noWrap w:val="0"/>
            <w:vAlign w:val="center"/>
          </w:tcPr>
          <w:p w14:paraId="55867688">
            <w:pPr>
              <w:pStyle w:val="20"/>
              <w:ind w:firstLine="0" w:firstLineChars="0"/>
              <w:jc w:val="center"/>
              <w:rPr>
                <w:rFonts w:hint="default" w:ascii="Times New Roman" w:hAnsi="Times New Roman" w:eastAsia="宋体" w:cs="Times New Roman"/>
                <w:color w:val="auto"/>
                <w:sz w:val="21"/>
                <w:szCs w:val="21"/>
                <w:highlight w:val="none"/>
                <w:lang w:val="en-US" w:eastAsia="zh-CN"/>
              </w:rPr>
            </w:pPr>
          </w:p>
        </w:tc>
        <w:tc>
          <w:tcPr>
            <w:tcW w:w="829" w:type="pct"/>
            <w:noWrap w:val="0"/>
            <w:vAlign w:val="center"/>
          </w:tcPr>
          <w:p w14:paraId="2B25580D">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锰</w:t>
            </w:r>
          </w:p>
        </w:tc>
        <w:tc>
          <w:tcPr>
            <w:tcW w:w="605" w:type="pct"/>
            <w:noWrap w:val="0"/>
            <w:vAlign w:val="center"/>
          </w:tcPr>
          <w:p w14:paraId="67E463E6">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0.10</w:t>
            </w:r>
          </w:p>
        </w:tc>
        <w:tc>
          <w:tcPr>
            <w:tcW w:w="421" w:type="pct"/>
            <w:noWrap w:val="0"/>
            <w:vAlign w:val="center"/>
          </w:tcPr>
          <w:p w14:paraId="4374F8E8">
            <w:pPr>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357" w:type="pct"/>
            <w:noWrap w:val="0"/>
            <w:vAlign w:val="center"/>
          </w:tcPr>
          <w:p w14:paraId="751FAF96">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436" w:type="pct"/>
            <w:noWrap w:val="0"/>
            <w:vAlign w:val="center"/>
          </w:tcPr>
          <w:p w14:paraId="670984CD">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达标</w:t>
            </w:r>
          </w:p>
        </w:tc>
        <w:tc>
          <w:tcPr>
            <w:tcW w:w="458" w:type="pct"/>
            <w:noWrap w:val="0"/>
            <w:vAlign w:val="center"/>
          </w:tcPr>
          <w:p w14:paraId="30C5699A">
            <w:pPr>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357" w:type="pct"/>
            <w:noWrap w:val="0"/>
            <w:vAlign w:val="center"/>
          </w:tcPr>
          <w:p w14:paraId="1905630F">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392" w:type="pct"/>
            <w:noWrap w:val="0"/>
            <w:vAlign w:val="center"/>
          </w:tcPr>
          <w:p w14:paraId="222E1073">
            <w:pPr>
              <w:jc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达标</w:t>
            </w:r>
          </w:p>
        </w:tc>
        <w:tc>
          <w:tcPr>
            <w:tcW w:w="583" w:type="pct"/>
            <w:noWrap w:val="0"/>
            <w:vAlign w:val="center"/>
          </w:tcPr>
          <w:p w14:paraId="514D2152">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mg/L</w:t>
            </w:r>
          </w:p>
        </w:tc>
      </w:tr>
      <w:tr w14:paraId="30546F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8" w:type="pct"/>
            <w:vMerge w:val="continue"/>
            <w:noWrap w:val="0"/>
            <w:vAlign w:val="center"/>
          </w:tcPr>
          <w:p w14:paraId="317DC758">
            <w:pPr>
              <w:pStyle w:val="20"/>
              <w:ind w:firstLine="0" w:firstLineChars="0"/>
              <w:jc w:val="center"/>
              <w:rPr>
                <w:rFonts w:hint="default" w:ascii="Times New Roman" w:hAnsi="Times New Roman" w:eastAsia="宋体" w:cs="Times New Roman"/>
                <w:color w:val="auto"/>
                <w:sz w:val="21"/>
                <w:szCs w:val="21"/>
                <w:highlight w:val="none"/>
                <w:lang w:val="en-US" w:eastAsia="zh-CN"/>
              </w:rPr>
            </w:pPr>
          </w:p>
        </w:tc>
        <w:tc>
          <w:tcPr>
            <w:tcW w:w="829" w:type="pct"/>
            <w:noWrap w:val="0"/>
            <w:vAlign w:val="center"/>
          </w:tcPr>
          <w:p w14:paraId="51FF2BB8">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氨氮</w:t>
            </w:r>
          </w:p>
        </w:tc>
        <w:tc>
          <w:tcPr>
            <w:tcW w:w="605" w:type="pct"/>
            <w:noWrap w:val="0"/>
            <w:vAlign w:val="center"/>
          </w:tcPr>
          <w:p w14:paraId="2102DFE9">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0.50</w:t>
            </w:r>
          </w:p>
        </w:tc>
        <w:tc>
          <w:tcPr>
            <w:tcW w:w="421" w:type="pct"/>
            <w:noWrap w:val="0"/>
            <w:vAlign w:val="center"/>
          </w:tcPr>
          <w:p w14:paraId="4566CCDE">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57" w:type="pct"/>
            <w:noWrap w:val="0"/>
            <w:vAlign w:val="center"/>
          </w:tcPr>
          <w:p w14:paraId="66953200">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36" w:type="pct"/>
            <w:noWrap w:val="0"/>
            <w:vAlign w:val="center"/>
          </w:tcPr>
          <w:p w14:paraId="0E21AF37">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458" w:type="pct"/>
            <w:noWrap w:val="0"/>
            <w:vAlign w:val="center"/>
          </w:tcPr>
          <w:p w14:paraId="2A6E03F3">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57" w:type="pct"/>
            <w:noWrap w:val="0"/>
            <w:vAlign w:val="center"/>
          </w:tcPr>
          <w:p w14:paraId="10939EBE">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92" w:type="pct"/>
            <w:noWrap w:val="0"/>
            <w:vAlign w:val="center"/>
          </w:tcPr>
          <w:p w14:paraId="01FDDBB2">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583" w:type="pct"/>
            <w:noWrap w:val="0"/>
            <w:vAlign w:val="center"/>
          </w:tcPr>
          <w:p w14:paraId="5048C74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mg/L</w:t>
            </w:r>
          </w:p>
        </w:tc>
      </w:tr>
      <w:tr w14:paraId="23EC6D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8" w:type="pct"/>
            <w:vMerge w:val="continue"/>
            <w:noWrap w:val="0"/>
            <w:vAlign w:val="center"/>
          </w:tcPr>
          <w:p w14:paraId="57864F8C">
            <w:pPr>
              <w:pStyle w:val="20"/>
              <w:ind w:firstLine="0" w:firstLineChars="0"/>
              <w:jc w:val="center"/>
              <w:rPr>
                <w:rFonts w:hint="default" w:ascii="Times New Roman" w:hAnsi="Times New Roman" w:eastAsia="宋体" w:cs="Times New Roman"/>
                <w:color w:val="auto"/>
                <w:sz w:val="21"/>
                <w:szCs w:val="21"/>
                <w:highlight w:val="none"/>
                <w:lang w:val="en-US" w:eastAsia="zh-CN"/>
              </w:rPr>
            </w:pPr>
          </w:p>
        </w:tc>
        <w:tc>
          <w:tcPr>
            <w:tcW w:w="829" w:type="pct"/>
            <w:noWrap w:val="0"/>
            <w:vAlign w:val="center"/>
          </w:tcPr>
          <w:p w14:paraId="297BE574">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u w:val="none"/>
                <w:lang w:val="en-US" w:eastAsia="zh-CN" w:bidi="ar-SA"/>
              </w:rPr>
              <w:t>高锰酸盐指数（以O</w:t>
            </w:r>
            <w:r>
              <w:rPr>
                <w:rFonts w:hint="default" w:ascii="Times New Roman" w:hAnsi="Times New Roman" w:eastAsia="宋体" w:cs="Times New Roman"/>
                <w:b w:val="0"/>
                <w:bCs/>
                <w:color w:val="auto"/>
                <w:kern w:val="2"/>
                <w:sz w:val="21"/>
                <w:szCs w:val="21"/>
                <w:highlight w:val="none"/>
                <w:u w:val="none"/>
                <w:vertAlign w:val="subscript"/>
                <w:lang w:val="en-US" w:eastAsia="zh-CN" w:bidi="ar-SA"/>
              </w:rPr>
              <w:t>2</w:t>
            </w:r>
            <w:r>
              <w:rPr>
                <w:rFonts w:hint="default" w:ascii="Times New Roman" w:hAnsi="Times New Roman" w:eastAsia="宋体" w:cs="Times New Roman"/>
                <w:b w:val="0"/>
                <w:bCs/>
                <w:color w:val="auto"/>
                <w:kern w:val="2"/>
                <w:sz w:val="21"/>
                <w:szCs w:val="21"/>
                <w:highlight w:val="none"/>
                <w:u w:val="none"/>
                <w:lang w:val="en-US" w:eastAsia="zh-CN" w:bidi="ar-SA"/>
              </w:rPr>
              <w:t>计）</w:t>
            </w:r>
          </w:p>
        </w:tc>
        <w:tc>
          <w:tcPr>
            <w:tcW w:w="605" w:type="pct"/>
            <w:noWrap w:val="0"/>
            <w:vAlign w:val="center"/>
          </w:tcPr>
          <w:p w14:paraId="686424CA">
            <w:pPr>
              <w:adjustRightInd w:val="0"/>
              <w:snapToGrid w:val="0"/>
              <w:jc w:val="center"/>
              <w:rPr>
                <w:rFonts w:hint="default" w:ascii="Times New Roman" w:hAnsi="Times New Roman" w:eastAsia="宋体" w:cs="Times New Roman"/>
                <w:b w:val="0"/>
                <w:bCs/>
                <w:color w:val="auto"/>
                <w:kern w:val="2"/>
                <w:sz w:val="21"/>
                <w:szCs w:val="21"/>
                <w:highlight w:val="none"/>
                <w:u w:val="none"/>
                <w:lang w:val="en-US" w:eastAsia="zh-CN" w:bidi="ar-SA"/>
              </w:rPr>
            </w:pPr>
            <w:r>
              <w:rPr>
                <w:rFonts w:hint="eastAsia" w:ascii="Times New Roman" w:hAnsi="Times New Roman" w:eastAsia="宋体" w:cs="Times New Roman"/>
                <w:b w:val="0"/>
                <w:bCs/>
                <w:color w:val="auto"/>
                <w:kern w:val="2"/>
                <w:sz w:val="21"/>
                <w:szCs w:val="21"/>
                <w:highlight w:val="none"/>
                <w:u w:val="none"/>
                <w:lang w:val="en-US" w:eastAsia="zh-CN" w:bidi="ar-SA"/>
              </w:rPr>
              <w:t>3.0</w:t>
            </w:r>
          </w:p>
        </w:tc>
        <w:tc>
          <w:tcPr>
            <w:tcW w:w="421" w:type="pct"/>
            <w:noWrap w:val="0"/>
            <w:vAlign w:val="center"/>
          </w:tcPr>
          <w:p w14:paraId="27ACF2A9">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57" w:type="pct"/>
            <w:noWrap w:val="0"/>
            <w:vAlign w:val="center"/>
          </w:tcPr>
          <w:p w14:paraId="400368F8">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36" w:type="pct"/>
            <w:noWrap w:val="0"/>
            <w:vAlign w:val="center"/>
          </w:tcPr>
          <w:p w14:paraId="64E3C371">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458" w:type="pct"/>
            <w:noWrap w:val="0"/>
            <w:vAlign w:val="center"/>
          </w:tcPr>
          <w:p w14:paraId="41506073">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57" w:type="pct"/>
            <w:noWrap w:val="0"/>
            <w:vAlign w:val="center"/>
          </w:tcPr>
          <w:p w14:paraId="7690F03C">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92" w:type="pct"/>
            <w:noWrap w:val="0"/>
            <w:vAlign w:val="center"/>
          </w:tcPr>
          <w:p w14:paraId="4159455F">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583" w:type="pct"/>
            <w:noWrap w:val="0"/>
            <w:vAlign w:val="center"/>
          </w:tcPr>
          <w:p w14:paraId="0AF876B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mg/L</w:t>
            </w:r>
          </w:p>
        </w:tc>
      </w:tr>
      <w:tr w14:paraId="2A99D7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8" w:type="pct"/>
            <w:vMerge w:val="continue"/>
            <w:noWrap w:val="0"/>
            <w:vAlign w:val="center"/>
          </w:tcPr>
          <w:p w14:paraId="77FF4EB4">
            <w:pPr>
              <w:pStyle w:val="20"/>
              <w:ind w:firstLine="0" w:firstLineChars="0"/>
              <w:jc w:val="center"/>
              <w:rPr>
                <w:rFonts w:hint="default" w:ascii="Times New Roman" w:hAnsi="Times New Roman" w:eastAsia="宋体" w:cs="Times New Roman"/>
                <w:color w:val="auto"/>
                <w:sz w:val="21"/>
                <w:szCs w:val="21"/>
                <w:highlight w:val="none"/>
                <w:lang w:val="en-US" w:eastAsia="zh-CN"/>
              </w:rPr>
            </w:pPr>
          </w:p>
        </w:tc>
        <w:tc>
          <w:tcPr>
            <w:tcW w:w="829" w:type="pct"/>
            <w:noWrap w:val="0"/>
            <w:vAlign w:val="center"/>
          </w:tcPr>
          <w:p w14:paraId="766A4AD8">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挥发酚</w:t>
            </w:r>
          </w:p>
        </w:tc>
        <w:tc>
          <w:tcPr>
            <w:tcW w:w="605" w:type="pct"/>
            <w:noWrap w:val="0"/>
            <w:vAlign w:val="center"/>
          </w:tcPr>
          <w:p w14:paraId="35291EA0">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0.002</w:t>
            </w:r>
          </w:p>
        </w:tc>
        <w:tc>
          <w:tcPr>
            <w:tcW w:w="421" w:type="pct"/>
            <w:noWrap w:val="0"/>
            <w:vAlign w:val="center"/>
          </w:tcPr>
          <w:p w14:paraId="527AFE27">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57" w:type="pct"/>
            <w:noWrap w:val="0"/>
            <w:vAlign w:val="center"/>
          </w:tcPr>
          <w:p w14:paraId="73D25ED4">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36" w:type="pct"/>
            <w:noWrap w:val="0"/>
            <w:vAlign w:val="center"/>
          </w:tcPr>
          <w:p w14:paraId="78B89DF6">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458" w:type="pct"/>
            <w:noWrap w:val="0"/>
            <w:vAlign w:val="center"/>
          </w:tcPr>
          <w:p w14:paraId="636EDE55">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57" w:type="pct"/>
            <w:noWrap w:val="0"/>
            <w:vAlign w:val="center"/>
          </w:tcPr>
          <w:p w14:paraId="25B324CB">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92" w:type="pct"/>
            <w:noWrap w:val="0"/>
            <w:vAlign w:val="center"/>
          </w:tcPr>
          <w:p w14:paraId="781A43AD">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583" w:type="pct"/>
            <w:noWrap w:val="0"/>
            <w:vAlign w:val="center"/>
          </w:tcPr>
          <w:p w14:paraId="7B8153C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mg/L</w:t>
            </w:r>
          </w:p>
        </w:tc>
      </w:tr>
      <w:tr w14:paraId="3B6B4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8" w:type="pct"/>
            <w:vMerge w:val="continue"/>
            <w:noWrap w:val="0"/>
            <w:vAlign w:val="center"/>
          </w:tcPr>
          <w:p w14:paraId="6611A389">
            <w:pPr>
              <w:pStyle w:val="20"/>
              <w:ind w:firstLine="0" w:firstLineChars="0"/>
              <w:jc w:val="center"/>
              <w:rPr>
                <w:rFonts w:hint="default" w:ascii="Times New Roman" w:hAnsi="Times New Roman" w:eastAsia="宋体" w:cs="Times New Roman"/>
                <w:color w:val="auto"/>
                <w:sz w:val="21"/>
                <w:szCs w:val="21"/>
                <w:highlight w:val="none"/>
                <w:lang w:val="en-US" w:eastAsia="zh-CN"/>
              </w:rPr>
            </w:pPr>
          </w:p>
        </w:tc>
        <w:tc>
          <w:tcPr>
            <w:tcW w:w="829" w:type="pct"/>
            <w:noWrap w:val="0"/>
            <w:vAlign w:val="center"/>
          </w:tcPr>
          <w:p w14:paraId="22A3897B">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硝酸盐</w:t>
            </w:r>
          </w:p>
        </w:tc>
        <w:tc>
          <w:tcPr>
            <w:tcW w:w="605" w:type="pct"/>
            <w:noWrap w:val="0"/>
            <w:vAlign w:val="center"/>
          </w:tcPr>
          <w:p w14:paraId="36B09B92">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20.0</w:t>
            </w:r>
          </w:p>
        </w:tc>
        <w:tc>
          <w:tcPr>
            <w:tcW w:w="421" w:type="pct"/>
            <w:noWrap w:val="0"/>
            <w:vAlign w:val="center"/>
          </w:tcPr>
          <w:p w14:paraId="5781DC45">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57" w:type="pct"/>
            <w:noWrap w:val="0"/>
            <w:vAlign w:val="center"/>
          </w:tcPr>
          <w:p w14:paraId="1921E819">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36" w:type="pct"/>
            <w:noWrap w:val="0"/>
            <w:vAlign w:val="center"/>
          </w:tcPr>
          <w:p w14:paraId="3B74741B">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458" w:type="pct"/>
            <w:noWrap w:val="0"/>
            <w:vAlign w:val="center"/>
          </w:tcPr>
          <w:p w14:paraId="733864C4">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57" w:type="pct"/>
            <w:noWrap w:val="0"/>
            <w:vAlign w:val="center"/>
          </w:tcPr>
          <w:p w14:paraId="6796DAD7">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92" w:type="pct"/>
            <w:noWrap w:val="0"/>
            <w:vAlign w:val="center"/>
          </w:tcPr>
          <w:p w14:paraId="0FD27641">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583" w:type="pct"/>
            <w:noWrap w:val="0"/>
            <w:vAlign w:val="center"/>
          </w:tcPr>
          <w:p w14:paraId="3A22F6F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mg/L</w:t>
            </w:r>
          </w:p>
        </w:tc>
      </w:tr>
      <w:tr w14:paraId="6654E4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8" w:type="pct"/>
            <w:vMerge w:val="continue"/>
            <w:noWrap w:val="0"/>
            <w:vAlign w:val="center"/>
          </w:tcPr>
          <w:p w14:paraId="108D37D2">
            <w:pPr>
              <w:pStyle w:val="20"/>
              <w:ind w:firstLine="0" w:firstLineChars="0"/>
              <w:jc w:val="center"/>
              <w:rPr>
                <w:rFonts w:hint="default" w:ascii="Times New Roman" w:hAnsi="Times New Roman" w:eastAsia="宋体" w:cs="Times New Roman"/>
                <w:color w:val="auto"/>
                <w:sz w:val="21"/>
                <w:szCs w:val="21"/>
                <w:highlight w:val="none"/>
                <w:lang w:val="en-US" w:eastAsia="zh-CN"/>
              </w:rPr>
            </w:pPr>
          </w:p>
        </w:tc>
        <w:tc>
          <w:tcPr>
            <w:tcW w:w="829" w:type="pct"/>
            <w:noWrap w:val="0"/>
            <w:vAlign w:val="center"/>
          </w:tcPr>
          <w:p w14:paraId="7D06E9D4">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亚硝酸盐</w:t>
            </w:r>
          </w:p>
        </w:tc>
        <w:tc>
          <w:tcPr>
            <w:tcW w:w="605" w:type="pct"/>
            <w:noWrap w:val="0"/>
            <w:vAlign w:val="center"/>
          </w:tcPr>
          <w:p w14:paraId="7242AB4A">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w:t>
            </w:r>
          </w:p>
        </w:tc>
        <w:tc>
          <w:tcPr>
            <w:tcW w:w="421" w:type="pct"/>
            <w:noWrap w:val="0"/>
            <w:vAlign w:val="center"/>
          </w:tcPr>
          <w:p w14:paraId="2CD01E5A">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57" w:type="pct"/>
            <w:noWrap w:val="0"/>
            <w:vAlign w:val="center"/>
          </w:tcPr>
          <w:p w14:paraId="483FFC60">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36" w:type="pct"/>
            <w:noWrap w:val="0"/>
            <w:vAlign w:val="center"/>
          </w:tcPr>
          <w:p w14:paraId="2A95E569">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458" w:type="pct"/>
            <w:noWrap w:val="0"/>
            <w:vAlign w:val="center"/>
          </w:tcPr>
          <w:p w14:paraId="1E5D13F7">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57" w:type="pct"/>
            <w:noWrap w:val="0"/>
            <w:vAlign w:val="center"/>
          </w:tcPr>
          <w:p w14:paraId="73BE5096">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92" w:type="pct"/>
            <w:noWrap w:val="0"/>
            <w:vAlign w:val="center"/>
          </w:tcPr>
          <w:p w14:paraId="3AB5818F">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583" w:type="pct"/>
            <w:noWrap w:val="0"/>
            <w:vAlign w:val="center"/>
          </w:tcPr>
          <w:p w14:paraId="3F49771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mg/L</w:t>
            </w:r>
          </w:p>
        </w:tc>
      </w:tr>
      <w:tr w14:paraId="29C971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8" w:type="pct"/>
            <w:vMerge w:val="continue"/>
            <w:noWrap w:val="0"/>
            <w:vAlign w:val="center"/>
          </w:tcPr>
          <w:p w14:paraId="48F8312C">
            <w:pPr>
              <w:pStyle w:val="20"/>
              <w:ind w:firstLine="0" w:firstLineChars="0"/>
              <w:jc w:val="center"/>
              <w:rPr>
                <w:rFonts w:hint="default" w:ascii="Times New Roman" w:hAnsi="Times New Roman" w:eastAsia="宋体" w:cs="Times New Roman"/>
                <w:color w:val="auto"/>
                <w:sz w:val="21"/>
                <w:szCs w:val="21"/>
                <w:highlight w:val="none"/>
                <w:lang w:val="en-US" w:eastAsia="zh-CN"/>
              </w:rPr>
            </w:pPr>
          </w:p>
        </w:tc>
        <w:tc>
          <w:tcPr>
            <w:tcW w:w="829" w:type="pct"/>
            <w:noWrap w:val="0"/>
            <w:vAlign w:val="center"/>
          </w:tcPr>
          <w:p w14:paraId="72603FA6">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溶解性总固体</w:t>
            </w:r>
          </w:p>
        </w:tc>
        <w:tc>
          <w:tcPr>
            <w:tcW w:w="605" w:type="pct"/>
            <w:noWrap w:val="0"/>
            <w:vAlign w:val="center"/>
          </w:tcPr>
          <w:p w14:paraId="4A7546D0">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1000</w:t>
            </w:r>
          </w:p>
        </w:tc>
        <w:tc>
          <w:tcPr>
            <w:tcW w:w="421" w:type="pct"/>
            <w:noWrap w:val="0"/>
            <w:vAlign w:val="center"/>
          </w:tcPr>
          <w:p w14:paraId="3DAF1A60">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57" w:type="pct"/>
            <w:noWrap w:val="0"/>
            <w:vAlign w:val="center"/>
          </w:tcPr>
          <w:p w14:paraId="36BFAB2E">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36" w:type="pct"/>
            <w:noWrap w:val="0"/>
            <w:vAlign w:val="center"/>
          </w:tcPr>
          <w:p w14:paraId="567DA7E7">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458" w:type="pct"/>
            <w:noWrap w:val="0"/>
            <w:vAlign w:val="center"/>
          </w:tcPr>
          <w:p w14:paraId="2390975D">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57" w:type="pct"/>
            <w:noWrap w:val="0"/>
            <w:vAlign w:val="center"/>
          </w:tcPr>
          <w:p w14:paraId="586BDAF6">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92" w:type="pct"/>
            <w:noWrap w:val="0"/>
            <w:vAlign w:val="center"/>
          </w:tcPr>
          <w:p w14:paraId="3EA691C0">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583" w:type="pct"/>
            <w:noWrap w:val="0"/>
            <w:vAlign w:val="center"/>
          </w:tcPr>
          <w:p w14:paraId="70725D2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mg/L</w:t>
            </w:r>
          </w:p>
        </w:tc>
      </w:tr>
      <w:tr w14:paraId="4B479B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8" w:type="pct"/>
            <w:vMerge w:val="continue"/>
            <w:noWrap w:val="0"/>
            <w:vAlign w:val="center"/>
          </w:tcPr>
          <w:p w14:paraId="668A6347">
            <w:pPr>
              <w:pStyle w:val="20"/>
              <w:ind w:firstLine="0" w:firstLineChars="0"/>
              <w:jc w:val="center"/>
              <w:rPr>
                <w:rFonts w:hint="default" w:ascii="Times New Roman" w:hAnsi="Times New Roman" w:eastAsia="宋体" w:cs="Times New Roman"/>
                <w:color w:val="auto"/>
                <w:sz w:val="21"/>
                <w:szCs w:val="21"/>
                <w:highlight w:val="none"/>
                <w:lang w:val="en-US" w:eastAsia="zh-CN"/>
              </w:rPr>
            </w:pPr>
          </w:p>
        </w:tc>
        <w:tc>
          <w:tcPr>
            <w:tcW w:w="829" w:type="pct"/>
            <w:noWrap w:val="0"/>
            <w:vAlign w:val="center"/>
          </w:tcPr>
          <w:p w14:paraId="465CFB65">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汞</w:t>
            </w:r>
          </w:p>
        </w:tc>
        <w:tc>
          <w:tcPr>
            <w:tcW w:w="605" w:type="pct"/>
            <w:noWrap w:val="0"/>
            <w:vAlign w:val="center"/>
          </w:tcPr>
          <w:p w14:paraId="03AE5170">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0.001</w:t>
            </w:r>
          </w:p>
        </w:tc>
        <w:tc>
          <w:tcPr>
            <w:tcW w:w="421" w:type="pct"/>
            <w:noWrap w:val="0"/>
            <w:vAlign w:val="center"/>
          </w:tcPr>
          <w:p w14:paraId="42BF49B9">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57" w:type="pct"/>
            <w:noWrap w:val="0"/>
            <w:vAlign w:val="center"/>
          </w:tcPr>
          <w:p w14:paraId="472D4612">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36" w:type="pct"/>
            <w:noWrap w:val="0"/>
            <w:vAlign w:val="center"/>
          </w:tcPr>
          <w:p w14:paraId="3C314AAC">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458" w:type="pct"/>
            <w:noWrap w:val="0"/>
            <w:vAlign w:val="center"/>
          </w:tcPr>
          <w:p w14:paraId="6CE01C8C">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57" w:type="pct"/>
            <w:noWrap w:val="0"/>
            <w:vAlign w:val="center"/>
          </w:tcPr>
          <w:p w14:paraId="00D01F80">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92" w:type="pct"/>
            <w:noWrap w:val="0"/>
            <w:vAlign w:val="center"/>
          </w:tcPr>
          <w:p w14:paraId="4DB5C930">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583" w:type="pct"/>
            <w:noWrap w:val="0"/>
            <w:vAlign w:val="center"/>
          </w:tcPr>
          <w:p w14:paraId="7B7176C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mg/L</w:t>
            </w:r>
          </w:p>
        </w:tc>
      </w:tr>
      <w:tr w14:paraId="6D303B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8" w:type="pct"/>
            <w:vMerge w:val="continue"/>
            <w:noWrap w:val="0"/>
            <w:vAlign w:val="center"/>
          </w:tcPr>
          <w:p w14:paraId="17095016">
            <w:pPr>
              <w:pStyle w:val="20"/>
              <w:ind w:firstLine="0" w:firstLineChars="0"/>
              <w:jc w:val="center"/>
              <w:rPr>
                <w:rFonts w:hint="default" w:ascii="Times New Roman" w:hAnsi="Times New Roman" w:eastAsia="宋体" w:cs="Times New Roman"/>
                <w:color w:val="auto"/>
                <w:sz w:val="21"/>
                <w:szCs w:val="21"/>
                <w:highlight w:val="none"/>
                <w:lang w:val="en-US" w:eastAsia="zh-CN"/>
              </w:rPr>
            </w:pPr>
          </w:p>
        </w:tc>
        <w:tc>
          <w:tcPr>
            <w:tcW w:w="829" w:type="pct"/>
            <w:noWrap w:val="0"/>
            <w:vAlign w:val="center"/>
          </w:tcPr>
          <w:p w14:paraId="230CDB92">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砷</w:t>
            </w:r>
          </w:p>
        </w:tc>
        <w:tc>
          <w:tcPr>
            <w:tcW w:w="605" w:type="pct"/>
            <w:noWrap w:val="0"/>
            <w:vAlign w:val="center"/>
          </w:tcPr>
          <w:p w14:paraId="586F2627">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w:t>
            </w:r>
          </w:p>
        </w:tc>
        <w:tc>
          <w:tcPr>
            <w:tcW w:w="421" w:type="pct"/>
            <w:noWrap w:val="0"/>
            <w:vAlign w:val="center"/>
          </w:tcPr>
          <w:p w14:paraId="4E33EE28">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57" w:type="pct"/>
            <w:noWrap w:val="0"/>
            <w:vAlign w:val="center"/>
          </w:tcPr>
          <w:p w14:paraId="1957D534">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36" w:type="pct"/>
            <w:noWrap w:val="0"/>
            <w:vAlign w:val="center"/>
          </w:tcPr>
          <w:p w14:paraId="34F9070B">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458" w:type="pct"/>
            <w:noWrap w:val="0"/>
            <w:vAlign w:val="center"/>
          </w:tcPr>
          <w:p w14:paraId="083ED26C">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57" w:type="pct"/>
            <w:noWrap w:val="0"/>
            <w:vAlign w:val="center"/>
          </w:tcPr>
          <w:p w14:paraId="1CEFF899">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92" w:type="pct"/>
            <w:noWrap w:val="0"/>
            <w:vAlign w:val="center"/>
          </w:tcPr>
          <w:p w14:paraId="6C5E2C1D">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583" w:type="pct"/>
            <w:noWrap w:val="0"/>
            <w:vAlign w:val="center"/>
          </w:tcPr>
          <w:p w14:paraId="4C976C6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mg/L</w:t>
            </w:r>
          </w:p>
        </w:tc>
      </w:tr>
      <w:tr w14:paraId="7874FA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8" w:type="pct"/>
            <w:vMerge w:val="continue"/>
            <w:noWrap w:val="0"/>
            <w:vAlign w:val="center"/>
          </w:tcPr>
          <w:p w14:paraId="76A32CCA">
            <w:pPr>
              <w:pStyle w:val="20"/>
              <w:ind w:firstLine="0" w:firstLineChars="0"/>
              <w:jc w:val="center"/>
              <w:rPr>
                <w:rFonts w:hint="default" w:ascii="Times New Roman" w:hAnsi="Times New Roman" w:eastAsia="宋体" w:cs="Times New Roman"/>
                <w:color w:val="auto"/>
                <w:sz w:val="21"/>
                <w:szCs w:val="21"/>
                <w:highlight w:val="none"/>
                <w:lang w:val="en-US" w:eastAsia="zh-CN"/>
              </w:rPr>
            </w:pPr>
          </w:p>
        </w:tc>
        <w:tc>
          <w:tcPr>
            <w:tcW w:w="829" w:type="pct"/>
            <w:noWrap w:val="0"/>
            <w:vAlign w:val="center"/>
          </w:tcPr>
          <w:p w14:paraId="409495A1">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六价铬</w:t>
            </w:r>
          </w:p>
        </w:tc>
        <w:tc>
          <w:tcPr>
            <w:tcW w:w="605" w:type="pct"/>
            <w:noWrap w:val="0"/>
            <w:vAlign w:val="center"/>
          </w:tcPr>
          <w:p w14:paraId="08461C15">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0.05</w:t>
            </w:r>
          </w:p>
        </w:tc>
        <w:tc>
          <w:tcPr>
            <w:tcW w:w="421" w:type="pct"/>
            <w:noWrap w:val="0"/>
            <w:vAlign w:val="center"/>
          </w:tcPr>
          <w:p w14:paraId="130AEB1F">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57" w:type="pct"/>
            <w:noWrap w:val="0"/>
            <w:vAlign w:val="center"/>
          </w:tcPr>
          <w:p w14:paraId="0682A792">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36" w:type="pct"/>
            <w:noWrap w:val="0"/>
            <w:vAlign w:val="center"/>
          </w:tcPr>
          <w:p w14:paraId="0EBEB4D9">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458" w:type="pct"/>
            <w:noWrap w:val="0"/>
            <w:vAlign w:val="center"/>
          </w:tcPr>
          <w:p w14:paraId="79E71C35">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57" w:type="pct"/>
            <w:noWrap w:val="0"/>
            <w:vAlign w:val="center"/>
          </w:tcPr>
          <w:p w14:paraId="7A05FEA5">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92" w:type="pct"/>
            <w:noWrap w:val="0"/>
            <w:vAlign w:val="center"/>
          </w:tcPr>
          <w:p w14:paraId="624B4AB9">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583" w:type="pct"/>
            <w:noWrap w:val="0"/>
            <w:vAlign w:val="center"/>
          </w:tcPr>
          <w:p w14:paraId="0B7107D0">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mg/L</w:t>
            </w:r>
          </w:p>
        </w:tc>
      </w:tr>
      <w:tr w14:paraId="2144B8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8" w:type="pct"/>
            <w:vMerge w:val="continue"/>
            <w:noWrap w:val="0"/>
            <w:vAlign w:val="center"/>
          </w:tcPr>
          <w:p w14:paraId="4B3AB963">
            <w:pPr>
              <w:pStyle w:val="20"/>
              <w:ind w:firstLine="0" w:firstLineChars="0"/>
              <w:jc w:val="center"/>
              <w:rPr>
                <w:rFonts w:hint="default" w:ascii="Times New Roman" w:hAnsi="Times New Roman" w:eastAsia="宋体" w:cs="Times New Roman"/>
                <w:color w:val="auto"/>
                <w:sz w:val="21"/>
                <w:szCs w:val="21"/>
                <w:highlight w:val="none"/>
                <w:lang w:val="en-US" w:eastAsia="zh-CN"/>
              </w:rPr>
            </w:pPr>
          </w:p>
        </w:tc>
        <w:tc>
          <w:tcPr>
            <w:tcW w:w="829" w:type="pct"/>
            <w:noWrap w:val="0"/>
            <w:vAlign w:val="center"/>
          </w:tcPr>
          <w:p w14:paraId="203BCE06">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总硬度</w:t>
            </w:r>
          </w:p>
        </w:tc>
        <w:tc>
          <w:tcPr>
            <w:tcW w:w="605" w:type="pct"/>
            <w:noWrap w:val="0"/>
            <w:vAlign w:val="center"/>
          </w:tcPr>
          <w:p w14:paraId="3F789958">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450</w:t>
            </w:r>
          </w:p>
        </w:tc>
        <w:tc>
          <w:tcPr>
            <w:tcW w:w="421" w:type="pct"/>
            <w:noWrap w:val="0"/>
            <w:vAlign w:val="center"/>
          </w:tcPr>
          <w:p w14:paraId="12D8F364">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57" w:type="pct"/>
            <w:noWrap w:val="0"/>
            <w:vAlign w:val="center"/>
          </w:tcPr>
          <w:p w14:paraId="33A0878D">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36" w:type="pct"/>
            <w:noWrap w:val="0"/>
            <w:vAlign w:val="center"/>
          </w:tcPr>
          <w:p w14:paraId="73CA5BC5">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458" w:type="pct"/>
            <w:noWrap w:val="0"/>
            <w:vAlign w:val="center"/>
          </w:tcPr>
          <w:p w14:paraId="7F851FFE">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57" w:type="pct"/>
            <w:noWrap w:val="0"/>
            <w:vAlign w:val="center"/>
          </w:tcPr>
          <w:p w14:paraId="69033A92">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92" w:type="pct"/>
            <w:noWrap w:val="0"/>
            <w:vAlign w:val="center"/>
          </w:tcPr>
          <w:p w14:paraId="2C379552">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583" w:type="pct"/>
            <w:noWrap w:val="0"/>
            <w:vAlign w:val="center"/>
          </w:tcPr>
          <w:p w14:paraId="1C21DD20">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mg/L</w:t>
            </w:r>
          </w:p>
        </w:tc>
      </w:tr>
      <w:tr w14:paraId="160F73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8" w:type="pct"/>
            <w:vMerge w:val="continue"/>
            <w:noWrap w:val="0"/>
            <w:vAlign w:val="center"/>
          </w:tcPr>
          <w:p w14:paraId="5F8F24D7">
            <w:pPr>
              <w:pStyle w:val="20"/>
              <w:ind w:firstLine="0" w:firstLineChars="0"/>
              <w:jc w:val="center"/>
              <w:rPr>
                <w:rFonts w:hint="default" w:ascii="Times New Roman" w:hAnsi="Times New Roman" w:eastAsia="宋体" w:cs="Times New Roman"/>
                <w:color w:val="auto"/>
                <w:sz w:val="21"/>
                <w:szCs w:val="21"/>
                <w:highlight w:val="none"/>
                <w:lang w:val="en-US" w:eastAsia="zh-CN"/>
              </w:rPr>
            </w:pPr>
          </w:p>
        </w:tc>
        <w:tc>
          <w:tcPr>
            <w:tcW w:w="829" w:type="pct"/>
            <w:noWrap w:val="0"/>
            <w:vAlign w:val="center"/>
          </w:tcPr>
          <w:p w14:paraId="59942C8A">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总大肠菌群</w:t>
            </w:r>
          </w:p>
        </w:tc>
        <w:tc>
          <w:tcPr>
            <w:tcW w:w="605" w:type="pct"/>
            <w:noWrap w:val="0"/>
            <w:vAlign w:val="center"/>
          </w:tcPr>
          <w:p w14:paraId="0D8E8265">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w:t>
            </w:r>
          </w:p>
        </w:tc>
        <w:tc>
          <w:tcPr>
            <w:tcW w:w="421" w:type="pct"/>
            <w:noWrap w:val="0"/>
            <w:vAlign w:val="center"/>
          </w:tcPr>
          <w:p w14:paraId="3121DE6E">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57" w:type="pct"/>
            <w:noWrap w:val="0"/>
            <w:vAlign w:val="center"/>
          </w:tcPr>
          <w:p w14:paraId="1251C773">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36" w:type="pct"/>
            <w:noWrap w:val="0"/>
            <w:vAlign w:val="center"/>
          </w:tcPr>
          <w:p w14:paraId="406C0E86">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458" w:type="pct"/>
            <w:noWrap w:val="0"/>
            <w:vAlign w:val="center"/>
          </w:tcPr>
          <w:p w14:paraId="2F86DF9D">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57" w:type="pct"/>
            <w:noWrap w:val="0"/>
            <w:vAlign w:val="center"/>
          </w:tcPr>
          <w:p w14:paraId="2135BDA9">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92" w:type="pct"/>
            <w:noWrap w:val="0"/>
            <w:vAlign w:val="center"/>
          </w:tcPr>
          <w:p w14:paraId="6277430E">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583" w:type="pct"/>
            <w:noWrap w:val="0"/>
            <w:vAlign w:val="center"/>
          </w:tcPr>
          <w:p w14:paraId="01473AF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MPN</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100m</w:t>
            </w:r>
            <w:r>
              <w:rPr>
                <w:rFonts w:hint="default" w:ascii="Times New Roman" w:hAnsi="Times New Roman" w:cs="Times New Roman"/>
                <w:color w:val="auto"/>
                <w:sz w:val="21"/>
                <w:szCs w:val="21"/>
                <w:highlight w:val="none"/>
              </w:rPr>
              <w:t>L</w:t>
            </w:r>
          </w:p>
        </w:tc>
      </w:tr>
      <w:tr w14:paraId="6FB9AC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10"/>
            <w:noWrap w:val="0"/>
            <w:vAlign w:val="center"/>
          </w:tcPr>
          <w:p w14:paraId="06D38FB0">
            <w:pPr>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注：</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ND</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表示检测结果低于方法检出限</w:t>
            </w:r>
            <w:r>
              <w:rPr>
                <w:rFonts w:hint="default" w:ascii="Times New Roman" w:hAnsi="Times New Roman" w:cs="Times New Roman"/>
                <w:color w:val="auto"/>
                <w:sz w:val="21"/>
                <w:szCs w:val="21"/>
                <w:highlight w:val="none"/>
                <w:lang w:eastAsia="zh-CN"/>
              </w:rPr>
              <w:t>。</w:t>
            </w:r>
          </w:p>
        </w:tc>
      </w:tr>
    </w:tbl>
    <w:p w14:paraId="6AB78F1E">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color w:val="auto"/>
          <w:highlight w:val="none"/>
          <w:u w:val="none"/>
          <w:lang w:val="en-US" w:eastAsia="zh-CN"/>
        </w:rPr>
      </w:pPr>
      <w:bookmarkStart w:id="89" w:name="_Ref20313"/>
      <w:r>
        <w:rPr>
          <w:rFonts w:hint="eastAsia" w:ascii="Times New Roman" w:hAnsi="Times New Roman" w:eastAsia="宋体" w:cs="Times New Roman"/>
          <w:color w:val="auto"/>
          <w:highlight w:val="none"/>
          <w:u w:val="none"/>
          <w:lang w:val="en-US" w:eastAsia="zh-CN"/>
        </w:rPr>
        <w:t>监测点位G2监测结果</w:t>
      </w:r>
      <w:bookmarkEnd w:id="89"/>
    </w:p>
    <w:tbl>
      <w:tblPr>
        <w:tblStyle w:val="8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2415"/>
        <w:gridCol w:w="1050"/>
        <w:gridCol w:w="1387"/>
        <w:gridCol w:w="767"/>
        <w:gridCol w:w="771"/>
        <w:gridCol w:w="1274"/>
      </w:tblGrid>
      <w:tr w14:paraId="21A0ED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656" w:type="pct"/>
            <w:vMerge w:val="restart"/>
            <w:noWrap w:val="0"/>
            <w:vAlign w:val="center"/>
          </w:tcPr>
          <w:p w14:paraId="2B22CB12">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采样日期</w:t>
            </w:r>
          </w:p>
        </w:tc>
        <w:tc>
          <w:tcPr>
            <w:tcW w:w="1368" w:type="pct"/>
            <w:vMerge w:val="restart"/>
            <w:noWrap w:val="0"/>
            <w:vAlign w:val="center"/>
          </w:tcPr>
          <w:p w14:paraId="74381A37">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检测项目</w:t>
            </w:r>
          </w:p>
        </w:tc>
        <w:tc>
          <w:tcPr>
            <w:tcW w:w="595" w:type="pct"/>
            <w:vMerge w:val="restart"/>
            <w:noWrap w:val="0"/>
            <w:vAlign w:val="center"/>
          </w:tcPr>
          <w:p w14:paraId="4DB25AB3">
            <w:pPr>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标准值</w:t>
            </w:r>
          </w:p>
        </w:tc>
        <w:tc>
          <w:tcPr>
            <w:tcW w:w="1657" w:type="pct"/>
            <w:gridSpan w:val="3"/>
            <w:noWrap w:val="0"/>
            <w:vAlign w:val="center"/>
          </w:tcPr>
          <w:p w14:paraId="4B15B65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检测点位及检测结果</w:t>
            </w:r>
          </w:p>
        </w:tc>
        <w:tc>
          <w:tcPr>
            <w:tcW w:w="721" w:type="pct"/>
            <w:vMerge w:val="restart"/>
            <w:noWrap w:val="0"/>
            <w:vAlign w:val="center"/>
          </w:tcPr>
          <w:p w14:paraId="6624513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r>
      <w:tr w14:paraId="37707E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656" w:type="pct"/>
            <w:vMerge w:val="continue"/>
            <w:noWrap w:val="0"/>
            <w:vAlign w:val="center"/>
          </w:tcPr>
          <w:p w14:paraId="3A47803D">
            <w:pPr>
              <w:jc w:val="center"/>
              <w:rPr>
                <w:rFonts w:hint="default" w:ascii="Times New Roman" w:hAnsi="Times New Roman" w:cs="Times New Roman"/>
                <w:color w:val="auto"/>
                <w:sz w:val="21"/>
                <w:szCs w:val="21"/>
                <w:highlight w:val="none"/>
              </w:rPr>
            </w:pPr>
          </w:p>
        </w:tc>
        <w:tc>
          <w:tcPr>
            <w:tcW w:w="1368" w:type="pct"/>
            <w:vMerge w:val="continue"/>
            <w:noWrap w:val="0"/>
            <w:vAlign w:val="center"/>
          </w:tcPr>
          <w:p w14:paraId="62E77B79">
            <w:pPr>
              <w:jc w:val="center"/>
              <w:rPr>
                <w:rFonts w:hint="default" w:ascii="Times New Roman" w:hAnsi="Times New Roman" w:cs="Times New Roman"/>
                <w:color w:val="auto"/>
                <w:sz w:val="21"/>
                <w:szCs w:val="21"/>
                <w:highlight w:val="none"/>
              </w:rPr>
            </w:pPr>
          </w:p>
        </w:tc>
        <w:tc>
          <w:tcPr>
            <w:tcW w:w="595" w:type="pct"/>
            <w:vMerge w:val="continue"/>
            <w:noWrap w:val="0"/>
            <w:vAlign w:val="center"/>
          </w:tcPr>
          <w:p w14:paraId="39BD8BBA">
            <w:pPr>
              <w:ind w:firstLine="0" w:firstLineChars="0"/>
              <w:jc w:val="center"/>
              <w:rPr>
                <w:rFonts w:hint="default" w:ascii="Times New Roman" w:hAnsi="Times New Roman" w:eastAsia="宋体" w:cs="Times New Roman"/>
                <w:color w:val="auto"/>
                <w:sz w:val="21"/>
                <w:szCs w:val="21"/>
                <w:highlight w:val="none"/>
                <w:vertAlign w:val="baseline"/>
                <w:lang w:val="en-US" w:eastAsia="zh-CN"/>
              </w:rPr>
            </w:pPr>
          </w:p>
        </w:tc>
        <w:tc>
          <w:tcPr>
            <w:tcW w:w="786" w:type="pct"/>
            <w:noWrap w:val="0"/>
            <w:vAlign w:val="center"/>
          </w:tcPr>
          <w:p w14:paraId="0E129BC7">
            <w:pPr>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G2大岭脚村</w:t>
            </w:r>
          </w:p>
        </w:tc>
        <w:tc>
          <w:tcPr>
            <w:tcW w:w="434" w:type="pct"/>
            <w:noWrap w:val="0"/>
            <w:vAlign w:val="center"/>
          </w:tcPr>
          <w:p w14:paraId="3D9F434D">
            <w:pPr>
              <w:pStyle w:val="20"/>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Pi</w:t>
            </w:r>
          </w:p>
        </w:tc>
        <w:tc>
          <w:tcPr>
            <w:tcW w:w="436" w:type="pct"/>
            <w:noWrap w:val="0"/>
            <w:vAlign w:val="center"/>
          </w:tcPr>
          <w:p w14:paraId="7374F56D">
            <w:pPr>
              <w:pStyle w:val="20"/>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达标情况</w:t>
            </w:r>
          </w:p>
        </w:tc>
        <w:tc>
          <w:tcPr>
            <w:tcW w:w="721" w:type="pct"/>
            <w:vMerge w:val="continue"/>
            <w:noWrap w:val="0"/>
            <w:vAlign w:val="center"/>
          </w:tcPr>
          <w:p w14:paraId="55242A51">
            <w:pPr>
              <w:jc w:val="center"/>
              <w:rPr>
                <w:rFonts w:hint="default" w:ascii="Times New Roman" w:hAnsi="Times New Roman" w:cs="Times New Roman"/>
                <w:color w:val="auto"/>
                <w:sz w:val="21"/>
                <w:szCs w:val="21"/>
                <w:highlight w:val="none"/>
              </w:rPr>
            </w:pPr>
          </w:p>
        </w:tc>
      </w:tr>
      <w:tr w14:paraId="215CE3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6" w:type="pct"/>
            <w:vMerge w:val="restart"/>
            <w:noWrap w:val="0"/>
            <w:vAlign w:val="center"/>
          </w:tcPr>
          <w:p w14:paraId="0E4EDEC4">
            <w:pPr>
              <w:pStyle w:val="2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2025.04.25</w:t>
            </w:r>
          </w:p>
        </w:tc>
        <w:tc>
          <w:tcPr>
            <w:tcW w:w="1368" w:type="pct"/>
            <w:noWrap w:val="0"/>
            <w:vAlign w:val="center"/>
          </w:tcPr>
          <w:p w14:paraId="7B871C2D">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pH值</w:t>
            </w:r>
          </w:p>
        </w:tc>
        <w:tc>
          <w:tcPr>
            <w:tcW w:w="595" w:type="pct"/>
            <w:noWrap w:val="0"/>
            <w:vAlign w:val="center"/>
          </w:tcPr>
          <w:p w14:paraId="4B17A7E1">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6.5≤pH≤8.5</w:t>
            </w:r>
          </w:p>
        </w:tc>
        <w:tc>
          <w:tcPr>
            <w:tcW w:w="786" w:type="pct"/>
            <w:noWrap w:val="0"/>
            <w:vAlign w:val="center"/>
          </w:tcPr>
          <w:p w14:paraId="3202B316">
            <w:pPr>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434" w:type="pct"/>
            <w:noWrap w:val="0"/>
            <w:vAlign w:val="center"/>
          </w:tcPr>
          <w:p w14:paraId="23F89C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cs="Times New Roman"/>
                <w:color w:val="auto"/>
                <w:highlight w:val="none"/>
                <w:u w:val="single"/>
                <w:lang w:val="en-US" w:eastAsia="zh-CN"/>
              </w:rPr>
              <w:t>****</w:t>
            </w:r>
          </w:p>
        </w:tc>
        <w:tc>
          <w:tcPr>
            <w:tcW w:w="771" w:type="dxa"/>
            <w:noWrap w:val="0"/>
            <w:vAlign w:val="center"/>
          </w:tcPr>
          <w:p w14:paraId="675CD71B">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color w:val="auto"/>
                <w:sz w:val="21"/>
                <w:szCs w:val="21"/>
                <w:highlight w:val="none"/>
                <w:lang w:val="en-US" w:eastAsia="zh-CN"/>
              </w:rPr>
              <w:t>/</w:t>
            </w:r>
          </w:p>
        </w:tc>
        <w:tc>
          <w:tcPr>
            <w:tcW w:w="721" w:type="pct"/>
            <w:noWrap w:val="0"/>
            <w:vAlign w:val="center"/>
          </w:tcPr>
          <w:p w14:paraId="57D13CEA">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无量纲</w:t>
            </w:r>
          </w:p>
        </w:tc>
      </w:tr>
      <w:tr w14:paraId="76A351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6" w:type="pct"/>
            <w:vMerge w:val="continue"/>
            <w:noWrap w:val="0"/>
            <w:vAlign w:val="center"/>
          </w:tcPr>
          <w:p w14:paraId="08326C22">
            <w:pPr>
              <w:pStyle w:val="20"/>
              <w:ind w:firstLine="0" w:firstLineChars="0"/>
              <w:jc w:val="center"/>
              <w:rPr>
                <w:rFonts w:hint="default" w:ascii="Times New Roman" w:hAnsi="Times New Roman" w:eastAsia="宋体" w:cs="Times New Roman"/>
                <w:color w:val="auto"/>
                <w:sz w:val="21"/>
                <w:szCs w:val="21"/>
                <w:highlight w:val="none"/>
                <w:lang w:val="en-US" w:eastAsia="zh-CN"/>
              </w:rPr>
            </w:pPr>
          </w:p>
        </w:tc>
        <w:tc>
          <w:tcPr>
            <w:tcW w:w="1368" w:type="pct"/>
            <w:noWrap w:val="0"/>
            <w:vAlign w:val="center"/>
          </w:tcPr>
          <w:p w14:paraId="2CABF11F">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镉</w:t>
            </w:r>
          </w:p>
        </w:tc>
        <w:tc>
          <w:tcPr>
            <w:tcW w:w="595" w:type="pct"/>
            <w:noWrap w:val="0"/>
            <w:vAlign w:val="center"/>
          </w:tcPr>
          <w:p w14:paraId="15A5E804">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0.005</w:t>
            </w:r>
          </w:p>
        </w:tc>
        <w:tc>
          <w:tcPr>
            <w:tcW w:w="786" w:type="pct"/>
            <w:noWrap w:val="0"/>
            <w:vAlign w:val="center"/>
          </w:tcPr>
          <w:p w14:paraId="59A132B1">
            <w:pPr>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434" w:type="pct"/>
            <w:noWrap w:val="0"/>
            <w:vAlign w:val="center"/>
          </w:tcPr>
          <w:p w14:paraId="4ED27FBE">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771" w:type="dxa"/>
            <w:noWrap w:val="0"/>
            <w:vAlign w:val="center"/>
          </w:tcPr>
          <w:p w14:paraId="0AE75388">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达标</w:t>
            </w:r>
          </w:p>
        </w:tc>
        <w:tc>
          <w:tcPr>
            <w:tcW w:w="721" w:type="pct"/>
            <w:noWrap w:val="0"/>
            <w:vAlign w:val="center"/>
          </w:tcPr>
          <w:p w14:paraId="394C233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mg/L</w:t>
            </w:r>
          </w:p>
        </w:tc>
      </w:tr>
      <w:tr w14:paraId="39A3CE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56" w:type="pct"/>
            <w:vMerge w:val="continue"/>
            <w:noWrap w:val="0"/>
            <w:vAlign w:val="center"/>
          </w:tcPr>
          <w:p w14:paraId="21D144C4">
            <w:pPr>
              <w:pStyle w:val="20"/>
              <w:ind w:firstLine="0" w:firstLineChars="0"/>
              <w:jc w:val="center"/>
              <w:rPr>
                <w:rFonts w:hint="default" w:ascii="Times New Roman" w:hAnsi="Times New Roman" w:eastAsia="宋体" w:cs="Times New Roman"/>
                <w:color w:val="auto"/>
                <w:sz w:val="21"/>
                <w:szCs w:val="21"/>
                <w:highlight w:val="none"/>
                <w:lang w:val="en-US" w:eastAsia="zh-CN"/>
              </w:rPr>
            </w:pPr>
          </w:p>
        </w:tc>
        <w:tc>
          <w:tcPr>
            <w:tcW w:w="1368" w:type="pct"/>
            <w:noWrap w:val="0"/>
            <w:vAlign w:val="center"/>
          </w:tcPr>
          <w:p w14:paraId="27344ADF">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铅</w:t>
            </w:r>
          </w:p>
        </w:tc>
        <w:tc>
          <w:tcPr>
            <w:tcW w:w="595" w:type="pct"/>
            <w:noWrap w:val="0"/>
            <w:vAlign w:val="center"/>
          </w:tcPr>
          <w:p w14:paraId="2C612BE3">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w:t>
            </w:r>
          </w:p>
        </w:tc>
        <w:tc>
          <w:tcPr>
            <w:tcW w:w="786" w:type="pct"/>
            <w:noWrap w:val="0"/>
            <w:vAlign w:val="center"/>
          </w:tcPr>
          <w:p w14:paraId="3A0FD108">
            <w:pPr>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434" w:type="pct"/>
            <w:noWrap w:val="0"/>
            <w:vAlign w:val="center"/>
          </w:tcPr>
          <w:p w14:paraId="3FA157FE">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771" w:type="dxa"/>
            <w:noWrap w:val="0"/>
            <w:vAlign w:val="center"/>
          </w:tcPr>
          <w:p w14:paraId="71EF4315">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达标</w:t>
            </w:r>
          </w:p>
        </w:tc>
        <w:tc>
          <w:tcPr>
            <w:tcW w:w="721" w:type="pct"/>
            <w:noWrap w:val="0"/>
            <w:vAlign w:val="center"/>
          </w:tcPr>
          <w:p w14:paraId="394D1A5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mg/L</w:t>
            </w:r>
          </w:p>
        </w:tc>
      </w:tr>
      <w:tr w14:paraId="57723B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6" w:type="pct"/>
            <w:vMerge w:val="continue"/>
            <w:noWrap w:val="0"/>
            <w:vAlign w:val="center"/>
          </w:tcPr>
          <w:p w14:paraId="0797DA29">
            <w:pPr>
              <w:pStyle w:val="20"/>
              <w:ind w:firstLine="0" w:firstLineChars="0"/>
              <w:jc w:val="center"/>
              <w:rPr>
                <w:rFonts w:hint="default" w:ascii="Times New Roman" w:hAnsi="Times New Roman" w:eastAsia="宋体" w:cs="Times New Roman"/>
                <w:color w:val="auto"/>
                <w:sz w:val="21"/>
                <w:szCs w:val="21"/>
                <w:highlight w:val="none"/>
                <w:lang w:val="en-US" w:eastAsia="zh-CN"/>
              </w:rPr>
            </w:pPr>
          </w:p>
        </w:tc>
        <w:tc>
          <w:tcPr>
            <w:tcW w:w="1368" w:type="pct"/>
            <w:noWrap w:val="0"/>
            <w:vAlign w:val="center"/>
          </w:tcPr>
          <w:p w14:paraId="67F56237">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铁</w:t>
            </w:r>
          </w:p>
        </w:tc>
        <w:tc>
          <w:tcPr>
            <w:tcW w:w="595" w:type="pct"/>
            <w:noWrap w:val="0"/>
            <w:vAlign w:val="center"/>
          </w:tcPr>
          <w:p w14:paraId="0F64FE1E">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w:t>
            </w:r>
          </w:p>
        </w:tc>
        <w:tc>
          <w:tcPr>
            <w:tcW w:w="786" w:type="pct"/>
            <w:noWrap w:val="0"/>
            <w:vAlign w:val="center"/>
          </w:tcPr>
          <w:p w14:paraId="75A8CD7C">
            <w:pPr>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434" w:type="pct"/>
            <w:noWrap w:val="0"/>
            <w:vAlign w:val="center"/>
          </w:tcPr>
          <w:p w14:paraId="00A97A29">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771" w:type="dxa"/>
            <w:noWrap w:val="0"/>
            <w:vAlign w:val="center"/>
          </w:tcPr>
          <w:p w14:paraId="604E5C50">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达标</w:t>
            </w:r>
          </w:p>
        </w:tc>
        <w:tc>
          <w:tcPr>
            <w:tcW w:w="721" w:type="pct"/>
            <w:noWrap w:val="0"/>
            <w:vAlign w:val="center"/>
          </w:tcPr>
          <w:p w14:paraId="0657FB52">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mg/L</w:t>
            </w:r>
          </w:p>
        </w:tc>
      </w:tr>
      <w:tr w14:paraId="2A166C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6" w:type="pct"/>
            <w:vMerge w:val="continue"/>
            <w:noWrap w:val="0"/>
            <w:vAlign w:val="center"/>
          </w:tcPr>
          <w:p w14:paraId="323A4CFD">
            <w:pPr>
              <w:pStyle w:val="20"/>
              <w:ind w:firstLine="0" w:firstLineChars="0"/>
              <w:jc w:val="center"/>
              <w:rPr>
                <w:rFonts w:hint="default" w:ascii="Times New Roman" w:hAnsi="Times New Roman" w:eastAsia="宋体" w:cs="Times New Roman"/>
                <w:color w:val="auto"/>
                <w:sz w:val="21"/>
                <w:szCs w:val="21"/>
                <w:highlight w:val="none"/>
                <w:lang w:val="en-US" w:eastAsia="zh-CN"/>
              </w:rPr>
            </w:pPr>
          </w:p>
        </w:tc>
        <w:tc>
          <w:tcPr>
            <w:tcW w:w="1368" w:type="pct"/>
            <w:noWrap w:val="0"/>
            <w:vAlign w:val="center"/>
          </w:tcPr>
          <w:p w14:paraId="45A44207">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锰</w:t>
            </w:r>
          </w:p>
        </w:tc>
        <w:tc>
          <w:tcPr>
            <w:tcW w:w="595" w:type="pct"/>
            <w:noWrap w:val="0"/>
            <w:vAlign w:val="center"/>
          </w:tcPr>
          <w:p w14:paraId="44327A5A">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0.10</w:t>
            </w:r>
          </w:p>
        </w:tc>
        <w:tc>
          <w:tcPr>
            <w:tcW w:w="786" w:type="pct"/>
            <w:noWrap w:val="0"/>
            <w:vAlign w:val="center"/>
          </w:tcPr>
          <w:p w14:paraId="0CA69002">
            <w:pPr>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434" w:type="pct"/>
            <w:noWrap w:val="0"/>
            <w:vAlign w:val="center"/>
          </w:tcPr>
          <w:p w14:paraId="1487065A">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c>
          <w:tcPr>
            <w:tcW w:w="771" w:type="dxa"/>
            <w:noWrap w:val="0"/>
            <w:vAlign w:val="center"/>
          </w:tcPr>
          <w:p w14:paraId="3E5DB2EF">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达标</w:t>
            </w:r>
          </w:p>
        </w:tc>
        <w:tc>
          <w:tcPr>
            <w:tcW w:w="721" w:type="pct"/>
            <w:noWrap w:val="0"/>
            <w:vAlign w:val="center"/>
          </w:tcPr>
          <w:p w14:paraId="1CD93032">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mg/L</w:t>
            </w:r>
          </w:p>
        </w:tc>
      </w:tr>
      <w:tr w14:paraId="08C824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6" w:type="pct"/>
            <w:vMerge w:val="continue"/>
            <w:noWrap w:val="0"/>
            <w:vAlign w:val="center"/>
          </w:tcPr>
          <w:p w14:paraId="6A97DCDA">
            <w:pPr>
              <w:pStyle w:val="20"/>
              <w:ind w:firstLine="0" w:firstLineChars="0"/>
              <w:jc w:val="center"/>
              <w:rPr>
                <w:rFonts w:hint="default" w:ascii="Times New Roman" w:hAnsi="Times New Roman" w:eastAsia="宋体" w:cs="Times New Roman"/>
                <w:color w:val="auto"/>
                <w:sz w:val="21"/>
                <w:szCs w:val="21"/>
                <w:highlight w:val="none"/>
                <w:lang w:val="en-US" w:eastAsia="zh-CN"/>
              </w:rPr>
            </w:pPr>
          </w:p>
        </w:tc>
        <w:tc>
          <w:tcPr>
            <w:tcW w:w="1368" w:type="pct"/>
            <w:noWrap w:val="0"/>
            <w:vAlign w:val="center"/>
          </w:tcPr>
          <w:p w14:paraId="2D268DFB">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氨氮</w:t>
            </w:r>
          </w:p>
        </w:tc>
        <w:tc>
          <w:tcPr>
            <w:tcW w:w="595" w:type="pct"/>
            <w:noWrap w:val="0"/>
            <w:vAlign w:val="center"/>
          </w:tcPr>
          <w:p w14:paraId="2111FC85">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0.50</w:t>
            </w:r>
          </w:p>
        </w:tc>
        <w:tc>
          <w:tcPr>
            <w:tcW w:w="786" w:type="pct"/>
            <w:noWrap w:val="0"/>
            <w:vAlign w:val="center"/>
          </w:tcPr>
          <w:p w14:paraId="02375642">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34" w:type="pct"/>
            <w:noWrap w:val="0"/>
            <w:vAlign w:val="center"/>
          </w:tcPr>
          <w:p w14:paraId="3F1EAAFE">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771" w:type="dxa"/>
            <w:noWrap w:val="0"/>
            <w:vAlign w:val="center"/>
          </w:tcPr>
          <w:p w14:paraId="64C3BA52">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721" w:type="pct"/>
            <w:noWrap w:val="0"/>
            <w:vAlign w:val="center"/>
          </w:tcPr>
          <w:p w14:paraId="6D20BA6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mg/L</w:t>
            </w:r>
          </w:p>
        </w:tc>
      </w:tr>
      <w:tr w14:paraId="49140F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6" w:type="pct"/>
            <w:vMerge w:val="continue"/>
            <w:noWrap w:val="0"/>
            <w:vAlign w:val="center"/>
          </w:tcPr>
          <w:p w14:paraId="028C802C">
            <w:pPr>
              <w:pStyle w:val="20"/>
              <w:ind w:firstLine="0" w:firstLineChars="0"/>
              <w:jc w:val="center"/>
              <w:rPr>
                <w:rFonts w:hint="default" w:ascii="Times New Roman" w:hAnsi="Times New Roman" w:eastAsia="宋体" w:cs="Times New Roman"/>
                <w:color w:val="auto"/>
                <w:sz w:val="21"/>
                <w:szCs w:val="21"/>
                <w:highlight w:val="none"/>
                <w:lang w:val="en-US" w:eastAsia="zh-CN"/>
              </w:rPr>
            </w:pPr>
          </w:p>
        </w:tc>
        <w:tc>
          <w:tcPr>
            <w:tcW w:w="1368" w:type="pct"/>
            <w:noWrap w:val="0"/>
            <w:vAlign w:val="center"/>
          </w:tcPr>
          <w:p w14:paraId="54453018">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u w:val="none"/>
                <w:lang w:val="en-US" w:eastAsia="zh-CN" w:bidi="ar-SA"/>
              </w:rPr>
              <w:t>高锰酸盐指数（以O</w:t>
            </w:r>
            <w:r>
              <w:rPr>
                <w:rFonts w:hint="default" w:ascii="Times New Roman" w:hAnsi="Times New Roman" w:eastAsia="宋体" w:cs="Times New Roman"/>
                <w:b w:val="0"/>
                <w:bCs/>
                <w:color w:val="auto"/>
                <w:kern w:val="2"/>
                <w:sz w:val="21"/>
                <w:szCs w:val="21"/>
                <w:highlight w:val="none"/>
                <w:u w:val="none"/>
                <w:vertAlign w:val="subscript"/>
                <w:lang w:val="en-US" w:eastAsia="zh-CN" w:bidi="ar-SA"/>
              </w:rPr>
              <w:t>2</w:t>
            </w:r>
            <w:r>
              <w:rPr>
                <w:rFonts w:hint="default" w:ascii="Times New Roman" w:hAnsi="Times New Roman" w:eastAsia="宋体" w:cs="Times New Roman"/>
                <w:b w:val="0"/>
                <w:bCs/>
                <w:color w:val="auto"/>
                <w:kern w:val="2"/>
                <w:sz w:val="21"/>
                <w:szCs w:val="21"/>
                <w:highlight w:val="none"/>
                <w:u w:val="none"/>
                <w:lang w:val="en-US" w:eastAsia="zh-CN" w:bidi="ar-SA"/>
              </w:rPr>
              <w:t>计）</w:t>
            </w:r>
          </w:p>
        </w:tc>
        <w:tc>
          <w:tcPr>
            <w:tcW w:w="595" w:type="pct"/>
            <w:noWrap w:val="0"/>
            <w:vAlign w:val="center"/>
          </w:tcPr>
          <w:p w14:paraId="054B3BB1">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u w:val="none"/>
                <w:lang w:val="en-US" w:eastAsia="zh-CN" w:bidi="ar-SA"/>
              </w:rPr>
              <w:t>3.0</w:t>
            </w:r>
          </w:p>
        </w:tc>
        <w:tc>
          <w:tcPr>
            <w:tcW w:w="786" w:type="pct"/>
            <w:noWrap w:val="0"/>
            <w:vAlign w:val="center"/>
          </w:tcPr>
          <w:p w14:paraId="17C5AC3D">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34" w:type="pct"/>
            <w:noWrap w:val="0"/>
            <w:vAlign w:val="center"/>
          </w:tcPr>
          <w:p w14:paraId="2E15374E">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771" w:type="dxa"/>
            <w:noWrap w:val="0"/>
            <w:vAlign w:val="center"/>
          </w:tcPr>
          <w:p w14:paraId="43CA1C37">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721" w:type="pct"/>
            <w:noWrap w:val="0"/>
            <w:vAlign w:val="center"/>
          </w:tcPr>
          <w:p w14:paraId="0CC1BE6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mg/L</w:t>
            </w:r>
          </w:p>
        </w:tc>
      </w:tr>
      <w:tr w14:paraId="2C7B2E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6" w:type="pct"/>
            <w:vMerge w:val="continue"/>
            <w:noWrap w:val="0"/>
            <w:vAlign w:val="center"/>
          </w:tcPr>
          <w:p w14:paraId="0283E4C0">
            <w:pPr>
              <w:pStyle w:val="20"/>
              <w:ind w:firstLine="0" w:firstLineChars="0"/>
              <w:jc w:val="center"/>
              <w:rPr>
                <w:rFonts w:hint="default" w:ascii="Times New Roman" w:hAnsi="Times New Roman" w:eastAsia="宋体" w:cs="Times New Roman"/>
                <w:color w:val="auto"/>
                <w:sz w:val="21"/>
                <w:szCs w:val="21"/>
                <w:highlight w:val="none"/>
                <w:lang w:val="en-US" w:eastAsia="zh-CN"/>
              </w:rPr>
            </w:pPr>
          </w:p>
        </w:tc>
        <w:tc>
          <w:tcPr>
            <w:tcW w:w="1368" w:type="pct"/>
            <w:noWrap w:val="0"/>
            <w:vAlign w:val="center"/>
          </w:tcPr>
          <w:p w14:paraId="36CFBD5F">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挥发酚</w:t>
            </w:r>
          </w:p>
        </w:tc>
        <w:tc>
          <w:tcPr>
            <w:tcW w:w="595" w:type="pct"/>
            <w:noWrap w:val="0"/>
            <w:vAlign w:val="center"/>
          </w:tcPr>
          <w:p w14:paraId="590E68AC">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0.002</w:t>
            </w:r>
          </w:p>
        </w:tc>
        <w:tc>
          <w:tcPr>
            <w:tcW w:w="786" w:type="pct"/>
            <w:noWrap w:val="0"/>
            <w:vAlign w:val="center"/>
          </w:tcPr>
          <w:p w14:paraId="5CDE5F45">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34" w:type="pct"/>
            <w:noWrap w:val="0"/>
            <w:vAlign w:val="center"/>
          </w:tcPr>
          <w:p w14:paraId="01D6EC34">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771" w:type="dxa"/>
            <w:noWrap w:val="0"/>
            <w:vAlign w:val="center"/>
          </w:tcPr>
          <w:p w14:paraId="38729204">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721" w:type="pct"/>
            <w:noWrap w:val="0"/>
            <w:vAlign w:val="center"/>
          </w:tcPr>
          <w:p w14:paraId="41901AA7">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mg/L</w:t>
            </w:r>
          </w:p>
        </w:tc>
      </w:tr>
      <w:tr w14:paraId="2E7918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6" w:type="pct"/>
            <w:vMerge w:val="continue"/>
            <w:noWrap w:val="0"/>
            <w:vAlign w:val="center"/>
          </w:tcPr>
          <w:p w14:paraId="0861C0B9">
            <w:pPr>
              <w:pStyle w:val="20"/>
              <w:ind w:firstLine="0" w:firstLineChars="0"/>
              <w:jc w:val="center"/>
              <w:rPr>
                <w:rFonts w:hint="default" w:ascii="Times New Roman" w:hAnsi="Times New Roman" w:eastAsia="宋体" w:cs="Times New Roman"/>
                <w:color w:val="auto"/>
                <w:sz w:val="21"/>
                <w:szCs w:val="21"/>
                <w:highlight w:val="none"/>
                <w:lang w:val="en-US" w:eastAsia="zh-CN"/>
              </w:rPr>
            </w:pPr>
          </w:p>
        </w:tc>
        <w:tc>
          <w:tcPr>
            <w:tcW w:w="1368" w:type="pct"/>
            <w:noWrap w:val="0"/>
            <w:vAlign w:val="center"/>
          </w:tcPr>
          <w:p w14:paraId="1174ACFD">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硝酸盐</w:t>
            </w:r>
          </w:p>
        </w:tc>
        <w:tc>
          <w:tcPr>
            <w:tcW w:w="595" w:type="pct"/>
            <w:noWrap w:val="0"/>
            <w:vAlign w:val="center"/>
          </w:tcPr>
          <w:p w14:paraId="7EDCE5FC">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20.0</w:t>
            </w:r>
          </w:p>
        </w:tc>
        <w:tc>
          <w:tcPr>
            <w:tcW w:w="786" w:type="pct"/>
            <w:noWrap w:val="0"/>
            <w:vAlign w:val="center"/>
          </w:tcPr>
          <w:p w14:paraId="37B550DB">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34" w:type="pct"/>
            <w:noWrap w:val="0"/>
            <w:vAlign w:val="center"/>
          </w:tcPr>
          <w:p w14:paraId="4DB63503">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771" w:type="dxa"/>
            <w:noWrap w:val="0"/>
            <w:vAlign w:val="center"/>
          </w:tcPr>
          <w:p w14:paraId="74012E11">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721" w:type="pct"/>
            <w:noWrap w:val="0"/>
            <w:vAlign w:val="center"/>
          </w:tcPr>
          <w:p w14:paraId="553F2A50">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mg/L</w:t>
            </w:r>
          </w:p>
        </w:tc>
      </w:tr>
      <w:tr w14:paraId="03BAFD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6" w:type="pct"/>
            <w:vMerge w:val="continue"/>
            <w:noWrap w:val="0"/>
            <w:vAlign w:val="center"/>
          </w:tcPr>
          <w:p w14:paraId="1E6DDB72">
            <w:pPr>
              <w:pStyle w:val="20"/>
              <w:ind w:firstLine="0" w:firstLineChars="0"/>
              <w:jc w:val="center"/>
              <w:rPr>
                <w:rFonts w:hint="default" w:ascii="Times New Roman" w:hAnsi="Times New Roman" w:eastAsia="宋体" w:cs="Times New Roman"/>
                <w:color w:val="auto"/>
                <w:sz w:val="21"/>
                <w:szCs w:val="21"/>
                <w:highlight w:val="none"/>
                <w:lang w:val="en-US" w:eastAsia="zh-CN"/>
              </w:rPr>
            </w:pPr>
          </w:p>
        </w:tc>
        <w:tc>
          <w:tcPr>
            <w:tcW w:w="1368" w:type="pct"/>
            <w:noWrap w:val="0"/>
            <w:vAlign w:val="center"/>
          </w:tcPr>
          <w:p w14:paraId="77D58DEC">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亚硝酸盐</w:t>
            </w:r>
          </w:p>
        </w:tc>
        <w:tc>
          <w:tcPr>
            <w:tcW w:w="595" w:type="pct"/>
            <w:noWrap w:val="0"/>
            <w:vAlign w:val="center"/>
          </w:tcPr>
          <w:p w14:paraId="50F4E971">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1.00</w:t>
            </w:r>
          </w:p>
        </w:tc>
        <w:tc>
          <w:tcPr>
            <w:tcW w:w="786" w:type="pct"/>
            <w:noWrap w:val="0"/>
            <w:vAlign w:val="center"/>
          </w:tcPr>
          <w:p w14:paraId="6768B13A">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34" w:type="pct"/>
            <w:noWrap w:val="0"/>
            <w:vAlign w:val="center"/>
          </w:tcPr>
          <w:p w14:paraId="5448EBCA">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771" w:type="dxa"/>
            <w:noWrap w:val="0"/>
            <w:vAlign w:val="center"/>
          </w:tcPr>
          <w:p w14:paraId="2CB23C5F">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721" w:type="pct"/>
            <w:noWrap w:val="0"/>
            <w:vAlign w:val="center"/>
          </w:tcPr>
          <w:p w14:paraId="526D987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mg/L</w:t>
            </w:r>
          </w:p>
        </w:tc>
      </w:tr>
      <w:tr w14:paraId="16FAA8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6" w:type="pct"/>
            <w:vMerge w:val="continue"/>
            <w:noWrap w:val="0"/>
            <w:vAlign w:val="center"/>
          </w:tcPr>
          <w:p w14:paraId="4928CA3B">
            <w:pPr>
              <w:pStyle w:val="20"/>
              <w:ind w:firstLine="0" w:firstLineChars="0"/>
              <w:jc w:val="center"/>
              <w:rPr>
                <w:rFonts w:hint="default" w:ascii="Times New Roman" w:hAnsi="Times New Roman" w:eastAsia="宋体" w:cs="Times New Roman"/>
                <w:color w:val="auto"/>
                <w:sz w:val="21"/>
                <w:szCs w:val="21"/>
                <w:highlight w:val="none"/>
                <w:lang w:val="en-US" w:eastAsia="zh-CN"/>
              </w:rPr>
            </w:pPr>
          </w:p>
        </w:tc>
        <w:tc>
          <w:tcPr>
            <w:tcW w:w="1368" w:type="pct"/>
            <w:noWrap w:val="0"/>
            <w:vAlign w:val="center"/>
          </w:tcPr>
          <w:p w14:paraId="08DC284B">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溶解性总固体</w:t>
            </w:r>
          </w:p>
        </w:tc>
        <w:tc>
          <w:tcPr>
            <w:tcW w:w="595" w:type="pct"/>
            <w:noWrap w:val="0"/>
            <w:vAlign w:val="center"/>
          </w:tcPr>
          <w:p w14:paraId="3AF5106F">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1000</w:t>
            </w:r>
          </w:p>
        </w:tc>
        <w:tc>
          <w:tcPr>
            <w:tcW w:w="786" w:type="pct"/>
            <w:noWrap w:val="0"/>
            <w:vAlign w:val="center"/>
          </w:tcPr>
          <w:p w14:paraId="2E167271">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34" w:type="pct"/>
            <w:noWrap w:val="0"/>
            <w:vAlign w:val="center"/>
          </w:tcPr>
          <w:p w14:paraId="6E325979">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771" w:type="dxa"/>
            <w:noWrap w:val="0"/>
            <w:vAlign w:val="center"/>
          </w:tcPr>
          <w:p w14:paraId="28136A07">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721" w:type="pct"/>
            <w:noWrap w:val="0"/>
            <w:vAlign w:val="center"/>
          </w:tcPr>
          <w:p w14:paraId="3521E114">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mg/L</w:t>
            </w:r>
          </w:p>
        </w:tc>
      </w:tr>
      <w:tr w14:paraId="047E5A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6" w:type="pct"/>
            <w:vMerge w:val="continue"/>
            <w:noWrap w:val="0"/>
            <w:vAlign w:val="center"/>
          </w:tcPr>
          <w:p w14:paraId="26B6A4C8">
            <w:pPr>
              <w:pStyle w:val="20"/>
              <w:ind w:firstLine="0" w:firstLineChars="0"/>
              <w:jc w:val="center"/>
              <w:rPr>
                <w:rFonts w:hint="default" w:ascii="Times New Roman" w:hAnsi="Times New Roman" w:eastAsia="宋体" w:cs="Times New Roman"/>
                <w:color w:val="auto"/>
                <w:sz w:val="21"/>
                <w:szCs w:val="21"/>
                <w:highlight w:val="none"/>
                <w:lang w:val="en-US" w:eastAsia="zh-CN"/>
              </w:rPr>
            </w:pPr>
          </w:p>
        </w:tc>
        <w:tc>
          <w:tcPr>
            <w:tcW w:w="1368" w:type="pct"/>
            <w:noWrap w:val="0"/>
            <w:vAlign w:val="center"/>
          </w:tcPr>
          <w:p w14:paraId="1B52ABC7">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汞</w:t>
            </w:r>
          </w:p>
        </w:tc>
        <w:tc>
          <w:tcPr>
            <w:tcW w:w="595" w:type="pct"/>
            <w:noWrap w:val="0"/>
            <w:vAlign w:val="center"/>
          </w:tcPr>
          <w:p w14:paraId="0D044BC8">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0.001</w:t>
            </w:r>
          </w:p>
        </w:tc>
        <w:tc>
          <w:tcPr>
            <w:tcW w:w="786" w:type="pct"/>
            <w:noWrap w:val="0"/>
            <w:vAlign w:val="center"/>
          </w:tcPr>
          <w:p w14:paraId="38C802BD">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34" w:type="pct"/>
            <w:noWrap w:val="0"/>
            <w:vAlign w:val="center"/>
          </w:tcPr>
          <w:p w14:paraId="21AEA7A2">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771" w:type="dxa"/>
            <w:noWrap w:val="0"/>
            <w:vAlign w:val="center"/>
          </w:tcPr>
          <w:p w14:paraId="08FB7655">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721" w:type="pct"/>
            <w:noWrap w:val="0"/>
            <w:vAlign w:val="center"/>
          </w:tcPr>
          <w:p w14:paraId="4196B0B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mg/L</w:t>
            </w:r>
          </w:p>
        </w:tc>
      </w:tr>
      <w:tr w14:paraId="2C11BE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6" w:type="pct"/>
            <w:vMerge w:val="continue"/>
            <w:noWrap w:val="0"/>
            <w:vAlign w:val="center"/>
          </w:tcPr>
          <w:p w14:paraId="30E75D32">
            <w:pPr>
              <w:pStyle w:val="20"/>
              <w:ind w:firstLine="0" w:firstLineChars="0"/>
              <w:jc w:val="center"/>
              <w:rPr>
                <w:rFonts w:hint="default" w:ascii="Times New Roman" w:hAnsi="Times New Roman" w:eastAsia="宋体" w:cs="Times New Roman"/>
                <w:color w:val="auto"/>
                <w:sz w:val="21"/>
                <w:szCs w:val="21"/>
                <w:highlight w:val="none"/>
                <w:lang w:val="en-US" w:eastAsia="zh-CN"/>
              </w:rPr>
            </w:pPr>
          </w:p>
        </w:tc>
        <w:tc>
          <w:tcPr>
            <w:tcW w:w="1368" w:type="pct"/>
            <w:noWrap w:val="0"/>
            <w:vAlign w:val="center"/>
          </w:tcPr>
          <w:p w14:paraId="392F69E6">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砷</w:t>
            </w:r>
          </w:p>
        </w:tc>
        <w:tc>
          <w:tcPr>
            <w:tcW w:w="595" w:type="pct"/>
            <w:noWrap w:val="0"/>
            <w:vAlign w:val="center"/>
          </w:tcPr>
          <w:p w14:paraId="090C0CFB">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0.01</w:t>
            </w:r>
          </w:p>
        </w:tc>
        <w:tc>
          <w:tcPr>
            <w:tcW w:w="786" w:type="pct"/>
            <w:noWrap w:val="0"/>
            <w:vAlign w:val="center"/>
          </w:tcPr>
          <w:p w14:paraId="0409629F">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34" w:type="pct"/>
            <w:noWrap w:val="0"/>
            <w:vAlign w:val="center"/>
          </w:tcPr>
          <w:p w14:paraId="099D2C26">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771" w:type="dxa"/>
            <w:noWrap w:val="0"/>
            <w:vAlign w:val="center"/>
          </w:tcPr>
          <w:p w14:paraId="1324DBAE">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721" w:type="pct"/>
            <w:noWrap w:val="0"/>
            <w:vAlign w:val="center"/>
          </w:tcPr>
          <w:p w14:paraId="5943068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mg/L</w:t>
            </w:r>
          </w:p>
        </w:tc>
      </w:tr>
      <w:tr w14:paraId="3A0BFE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6" w:type="pct"/>
            <w:vMerge w:val="continue"/>
            <w:noWrap w:val="0"/>
            <w:vAlign w:val="center"/>
          </w:tcPr>
          <w:p w14:paraId="54581149">
            <w:pPr>
              <w:pStyle w:val="20"/>
              <w:ind w:firstLine="0" w:firstLineChars="0"/>
              <w:jc w:val="center"/>
              <w:rPr>
                <w:rFonts w:hint="default" w:ascii="Times New Roman" w:hAnsi="Times New Roman" w:eastAsia="宋体" w:cs="Times New Roman"/>
                <w:color w:val="auto"/>
                <w:sz w:val="21"/>
                <w:szCs w:val="21"/>
                <w:highlight w:val="none"/>
                <w:lang w:val="en-US" w:eastAsia="zh-CN"/>
              </w:rPr>
            </w:pPr>
          </w:p>
        </w:tc>
        <w:tc>
          <w:tcPr>
            <w:tcW w:w="1368" w:type="pct"/>
            <w:noWrap w:val="0"/>
            <w:vAlign w:val="center"/>
          </w:tcPr>
          <w:p w14:paraId="3BE58FA2">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六价铬</w:t>
            </w:r>
          </w:p>
        </w:tc>
        <w:tc>
          <w:tcPr>
            <w:tcW w:w="595" w:type="pct"/>
            <w:noWrap w:val="0"/>
            <w:vAlign w:val="center"/>
          </w:tcPr>
          <w:p w14:paraId="06FFD5BC">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0.05</w:t>
            </w:r>
          </w:p>
        </w:tc>
        <w:tc>
          <w:tcPr>
            <w:tcW w:w="786" w:type="pct"/>
            <w:noWrap w:val="0"/>
            <w:vAlign w:val="center"/>
          </w:tcPr>
          <w:p w14:paraId="3807B62A">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34" w:type="pct"/>
            <w:noWrap w:val="0"/>
            <w:vAlign w:val="center"/>
          </w:tcPr>
          <w:p w14:paraId="1E09D174">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771" w:type="dxa"/>
            <w:noWrap w:val="0"/>
            <w:vAlign w:val="center"/>
          </w:tcPr>
          <w:p w14:paraId="5DC87E33">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721" w:type="pct"/>
            <w:noWrap w:val="0"/>
            <w:vAlign w:val="center"/>
          </w:tcPr>
          <w:p w14:paraId="006DA11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mg/L</w:t>
            </w:r>
          </w:p>
        </w:tc>
      </w:tr>
      <w:tr w14:paraId="5F2E0B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6" w:type="pct"/>
            <w:vMerge w:val="continue"/>
            <w:noWrap w:val="0"/>
            <w:vAlign w:val="center"/>
          </w:tcPr>
          <w:p w14:paraId="57820BC3">
            <w:pPr>
              <w:pStyle w:val="20"/>
              <w:ind w:firstLine="0" w:firstLineChars="0"/>
              <w:jc w:val="center"/>
              <w:rPr>
                <w:rFonts w:hint="default" w:ascii="Times New Roman" w:hAnsi="Times New Roman" w:eastAsia="宋体" w:cs="Times New Roman"/>
                <w:color w:val="auto"/>
                <w:sz w:val="21"/>
                <w:szCs w:val="21"/>
                <w:highlight w:val="none"/>
                <w:lang w:val="en-US" w:eastAsia="zh-CN"/>
              </w:rPr>
            </w:pPr>
          </w:p>
        </w:tc>
        <w:tc>
          <w:tcPr>
            <w:tcW w:w="1368" w:type="pct"/>
            <w:noWrap w:val="0"/>
            <w:vAlign w:val="center"/>
          </w:tcPr>
          <w:p w14:paraId="3C0A8CA2">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总硬度</w:t>
            </w:r>
          </w:p>
        </w:tc>
        <w:tc>
          <w:tcPr>
            <w:tcW w:w="595" w:type="pct"/>
            <w:noWrap w:val="0"/>
            <w:vAlign w:val="center"/>
          </w:tcPr>
          <w:p w14:paraId="3498EF09">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450</w:t>
            </w:r>
          </w:p>
        </w:tc>
        <w:tc>
          <w:tcPr>
            <w:tcW w:w="786" w:type="pct"/>
            <w:noWrap w:val="0"/>
            <w:vAlign w:val="center"/>
          </w:tcPr>
          <w:p w14:paraId="04803513">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34" w:type="pct"/>
            <w:noWrap w:val="0"/>
            <w:vAlign w:val="center"/>
          </w:tcPr>
          <w:p w14:paraId="4F76A803">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771" w:type="dxa"/>
            <w:noWrap w:val="0"/>
            <w:vAlign w:val="center"/>
          </w:tcPr>
          <w:p w14:paraId="00D692E6">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721" w:type="pct"/>
            <w:noWrap w:val="0"/>
            <w:vAlign w:val="center"/>
          </w:tcPr>
          <w:p w14:paraId="30082F47">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mg/L</w:t>
            </w:r>
          </w:p>
        </w:tc>
      </w:tr>
      <w:tr w14:paraId="5E1B1A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6" w:type="pct"/>
            <w:vMerge w:val="continue"/>
            <w:noWrap w:val="0"/>
            <w:vAlign w:val="center"/>
          </w:tcPr>
          <w:p w14:paraId="29867FF1">
            <w:pPr>
              <w:pStyle w:val="20"/>
              <w:ind w:firstLine="0" w:firstLineChars="0"/>
              <w:jc w:val="center"/>
              <w:rPr>
                <w:rFonts w:hint="default" w:ascii="Times New Roman" w:hAnsi="Times New Roman" w:eastAsia="宋体" w:cs="Times New Roman"/>
                <w:color w:val="auto"/>
                <w:sz w:val="21"/>
                <w:szCs w:val="21"/>
                <w:highlight w:val="none"/>
                <w:lang w:val="en-US" w:eastAsia="zh-CN"/>
              </w:rPr>
            </w:pPr>
          </w:p>
        </w:tc>
        <w:tc>
          <w:tcPr>
            <w:tcW w:w="1368" w:type="pct"/>
            <w:noWrap w:val="0"/>
            <w:vAlign w:val="center"/>
          </w:tcPr>
          <w:p w14:paraId="391EF9EB">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总大肠菌群</w:t>
            </w:r>
          </w:p>
        </w:tc>
        <w:tc>
          <w:tcPr>
            <w:tcW w:w="595" w:type="pct"/>
            <w:noWrap w:val="0"/>
            <w:vAlign w:val="center"/>
          </w:tcPr>
          <w:p w14:paraId="03CAA701">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3.0</w:t>
            </w:r>
          </w:p>
        </w:tc>
        <w:tc>
          <w:tcPr>
            <w:tcW w:w="786" w:type="pct"/>
            <w:noWrap w:val="0"/>
            <w:vAlign w:val="center"/>
          </w:tcPr>
          <w:p w14:paraId="1868B3CC">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34" w:type="pct"/>
            <w:noWrap w:val="0"/>
            <w:vAlign w:val="center"/>
          </w:tcPr>
          <w:p w14:paraId="57257AB3">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771" w:type="dxa"/>
            <w:noWrap w:val="0"/>
            <w:vAlign w:val="center"/>
          </w:tcPr>
          <w:p w14:paraId="5AACA7B8">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c>
          <w:tcPr>
            <w:tcW w:w="721" w:type="pct"/>
            <w:noWrap w:val="0"/>
            <w:vAlign w:val="center"/>
          </w:tcPr>
          <w:p w14:paraId="00DC387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MPN</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100m</w:t>
            </w:r>
            <w:r>
              <w:rPr>
                <w:rFonts w:hint="default" w:ascii="Times New Roman" w:hAnsi="Times New Roman" w:cs="Times New Roman"/>
                <w:color w:val="auto"/>
                <w:sz w:val="21"/>
                <w:szCs w:val="21"/>
                <w:highlight w:val="none"/>
              </w:rPr>
              <w:t>L</w:t>
            </w:r>
          </w:p>
        </w:tc>
      </w:tr>
      <w:tr w14:paraId="7389F6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7"/>
            <w:noWrap w:val="0"/>
            <w:vAlign w:val="center"/>
          </w:tcPr>
          <w:p w14:paraId="418C2A03">
            <w:pPr>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注：</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ND</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表示检测结果低于方法检出限</w:t>
            </w:r>
            <w:r>
              <w:rPr>
                <w:rFonts w:hint="default" w:ascii="Times New Roman" w:hAnsi="Times New Roman" w:cs="Times New Roman"/>
                <w:color w:val="auto"/>
                <w:sz w:val="21"/>
                <w:szCs w:val="21"/>
                <w:highlight w:val="none"/>
                <w:lang w:eastAsia="zh-CN"/>
              </w:rPr>
              <w:t>。</w:t>
            </w:r>
          </w:p>
        </w:tc>
      </w:tr>
    </w:tbl>
    <w:p w14:paraId="0CDA37CA">
      <w:pPr>
        <w:pStyle w:val="410"/>
        <w:rPr>
          <w:rFonts w:hint="default" w:ascii="Times New Roman" w:hAnsi="Times New Roman" w:eastAsia="宋体" w:cs="Times New Roman"/>
          <w:color w:val="auto"/>
          <w:highlight w:val="none"/>
          <w:u w:val="none"/>
          <w:lang w:val="en-US" w:eastAsia="zh-CN"/>
        </w:rPr>
      </w:pPr>
      <w:r>
        <w:rPr>
          <w:rFonts w:hint="eastAsia" w:ascii="Times New Roman" w:cs="Times New Roman"/>
          <w:color w:val="auto"/>
          <w:highlight w:val="none"/>
          <w:lang w:val="en-US" w:eastAsia="zh-CN"/>
        </w:rPr>
        <w:t>根据监测结果，G1</w:t>
      </w:r>
      <w:r>
        <w:rPr>
          <w:rFonts w:hint="eastAsia" w:ascii="Times New Roman" w:cs="Times New Roman"/>
          <w:color w:val="auto"/>
          <w:highlight w:val="none"/>
          <w:lang w:val="en-US" w:eastAsia="zh-CN"/>
        </w:rPr>
        <w:tab/>
      </w:r>
      <w:r>
        <w:rPr>
          <w:rFonts w:hint="eastAsia" w:ascii="Times New Roman" w:cs="Times New Roman"/>
          <w:color w:val="auto"/>
          <w:highlight w:val="none"/>
          <w:lang w:val="en-US" w:eastAsia="zh-CN"/>
        </w:rPr>
        <w:t>~G3</w:t>
      </w:r>
      <w:r>
        <w:rPr>
          <w:rFonts w:hint="eastAsia" w:ascii="Times New Roman" w:cs="Times New Roman"/>
          <w:color w:val="auto"/>
          <w:highlight w:val="none"/>
          <w:lang w:val="en-US" w:eastAsia="zh-CN"/>
        </w:rPr>
        <w:tab/>
      </w:r>
      <w:r>
        <w:rPr>
          <w:rFonts w:hint="eastAsia" w:ascii="Times New Roman" w:cs="Times New Roman"/>
          <w:color w:val="auto"/>
          <w:highlight w:val="none"/>
          <w:lang w:val="en-US" w:eastAsia="zh-CN"/>
        </w:rPr>
        <w:t>监测点位中监测因子pH值、氨氮、硝酸盐、亚硝酸盐、挥发酚、砷、汞、六价铬、总硬度、铅、镉、铁、锰、溶解性总固体、高锰酸盐指数（以O</w:t>
      </w:r>
      <w:r>
        <w:rPr>
          <w:rFonts w:hint="eastAsia" w:ascii="Times New Roman" w:cs="Times New Roman"/>
          <w:color w:val="auto"/>
          <w:highlight w:val="none"/>
          <w:vertAlign w:val="subscript"/>
          <w:lang w:val="en-US" w:eastAsia="zh-CN"/>
        </w:rPr>
        <w:t>2</w:t>
      </w:r>
      <w:r>
        <w:rPr>
          <w:rFonts w:hint="eastAsia" w:ascii="Times New Roman" w:cs="Times New Roman"/>
          <w:color w:val="auto"/>
          <w:highlight w:val="none"/>
          <w:lang w:val="en-US" w:eastAsia="zh-CN"/>
        </w:rPr>
        <w:t>计）、总大肠菌群均满足《地下水质量标准》（GB/T14848-2017）Ⅲ类标准，地下水环境质量良好。</w:t>
      </w:r>
    </w:p>
    <w:p w14:paraId="7DD6BD6A">
      <w:pPr>
        <w:pStyle w:val="4"/>
        <w:numPr>
          <w:ilvl w:val="1"/>
          <w:numId w:val="40"/>
        </w:numPr>
        <w:bidi w:val="0"/>
        <w:ind w:left="678" w:leftChars="0" w:firstLine="0" w:firstLineChars="0"/>
        <w:rPr>
          <w:rFonts w:hint="default"/>
          <w:color w:val="auto"/>
          <w:highlight w:val="none"/>
        </w:rPr>
      </w:pPr>
      <w:bookmarkStart w:id="90" w:name="_Toc10162"/>
      <w:r>
        <w:rPr>
          <w:rFonts w:hint="default"/>
          <w:color w:val="auto"/>
          <w:highlight w:val="none"/>
          <w:lang w:val="en-US" w:eastAsia="zh-CN"/>
        </w:rPr>
        <w:t>土壤环境质量现状调查与评价</w:t>
      </w:r>
      <w:bookmarkEnd w:id="90"/>
    </w:p>
    <w:p w14:paraId="1AA2A647">
      <w:pPr>
        <w:pStyle w:val="410"/>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为了了解项目所在区域的土壤环境质量现状，</w:t>
      </w:r>
      <w:bookmarkStart w:id="91" w:name="_Hlk175351939"/>
      <w:r>
        <w:rPr>
          <w:rFonts w:hint="eastAsia" w:ascii="Times New Roman" w:hAnsi="Times New Roman" w:eastAsia="宋体" w:cs="Times New Roman"/>
          <w:color w:val="auto"/>
          <w:highlight w:val="none"/>
          <w:u w:val="none"/>
          <w:lang w:val="en-US" w:eastAsia="zh-CN"/>
        </w:rPr>
        <w:t>项目委托广西恒沁检测科技有限公司于2025年4月21日对项目所在区域土壤环境质量现状进行了检测。</w:t>
      </w:r>
      <w:bookmarkEnd w:id="91"/>
    </w:p>
    <w:p w14:paraId="6FDF3FE4">
      <w:pPr>
        <w:pStyle w:val="5"/>
        <w:numPr>
          <w:ilvl w:val="2"/>
          <w:numId w:val="40"/>
        </w:numPr>
        <w:bidi w:val="0"/>
        <w:ind w:left="452" w:leftChars="0" w:firstLine="0" w:firstLineChars="0"/>
        <w:rPr>
          <w:rFonts w:hint="default" w:ascii="Times New Roman" w:hAnsi="Times New Roman" w:cs="Times New Roman"/>
          <w:color w:val="auto"/>
          <w:highlight w:val="none"/>
        </w:rPr>
      </w:pPr>
      <w:r>
        <w:rPr>
          <w:rFonts w:hint="eastAsia" w:cs="Times New Roman"/>
          <w:color w:val="auto"/>
          <w:highlight w:val="none"/>
          <w:lang w:val="en-US" w:eastAsia="zh-CN"/>
        </w:rPr>
        <w:t>监测布点及监测因子</w:t>
      </w:r>
    </w:p>
    <w:p w14:paraId="78359C57">
      <w:pPr>
        <w:pStyle w:val="41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本次土壤环境现状调查共设置3个监测点位，</w:t>
      </w:r>
      <w:r>
        <w:rPr>
          <w:rFonts w:hint="eastAsia" w:ascii="Times New Roman" w:cs="Times New Roman"/>
          <w:color w:val="auto"/>
          <w:highlight w:val="none"/>
          <w:lang w:val="en-US" w:eastAsia="zh-CN"/>
        </w:rPr>
        <w:t>监测点</w:t>
      </w:r>
      <w:r>
        <w:rPr>
          <w:rFonts w:hint="eastAsia" w:ascii="Times New Roman" w:hAnsi="Times New Roman" w:cs="Times New Roman"/>
          <w:color w:val="auto"/>
          <w:highlight w:val="none"/>
          <w:lang w:val="en-US" w:eastAsia="zh-CN"/>
        </w:rPr>
        <w:t>位见下表</w:t>
      </w:r>
      <w:r>
        <w:rPr>
          <w:rFonts w:hint="default" w:ascii="Times New Roman" w:hAnsi="Times New Roman" w:cs="Times New Roman"/>
          <w:color w:val="auto"/>
          <w:highlight w:val="none"/>
        </w:rPr>
        <w:t>。</w:t>
      </w:r>
    </w:p>
    <w:p w14:paraId="0CB60C51">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土壤环境现状监测点位表</w:t>
      </w:r>
    </w:p>
    <w:tbl>
      <w:tblPr>
        <w:tblStyle w:val="87"/>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2118"/>
        <w:gridCol w:w="3701"/>
        <w:gridCol w:w="2388"/>
      </w:tblGrid>
      <w:tr w14:paraId="100B4A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349" w:type="pct"/>
            <w:tcBorders>
              <w:tl2br w:val="nil"/>
              <w:tr2bl w:val="nil"/>
            </w:tcBorders>
            <w:noWrap w:val="0"/>
            <w:vAlign w:val="center"/>
          </w:tcPr>
          <w:p w14:paraId="24228132">
            <w:pPr>
              <w:spacing w:line="340" w:lineRule="exact"/>
              <w:jc w:val="center"/>
              <w:rPr>
                <w:rFonts w:hint="default" w:ascii="Times New Roman" w:hAnsi="Times New Roman" w:cs="Times New Roman"/>
                <w:bCs/>
                <w:color w:val="auto"/>
                <w:sz w:val="21"/>
                <w:szCs w:val="21"/>
                <w:highlight w:val="none"/>
              </w:rPr>
            </w:pPr>
            <w:bookmarkStart w:id="92" w:name="_Toc22318"/>
            <w:bookmarkStart w:id="93" w:name="_Toc10423"/>
            <w:r>
              <w:rPr>
                <w:rFonts w:hint="default" w:ascii="Times New Roman" w:hAnsi="Times New Roman" w:cs="Times New Roman"/>
                <w:bCs/>
                <w:color w:val="auto"/>
                <w:sz w:val="21"/>
                <w:szCs w:val="21"/>
                <w:highlight w:val="none"/>
              </w:rPr>
              <w:t>编号</w:t>
            </w:r>
            <w:bookmarkEnd w:id="92"/>
            <w:bookmarkEnd w:id="93"/>
          </w:p>
        </w:tc>
        <w:tc>
          <w:tcPr>
            <w:tcW w:w="1200" w:type="pct"/>
            <w:tcBorders>
              <w:tl2br w:val="nil"/>
              <w:tr2bl w:val="nil"/>
            </w:tcBorders>
            <w:noWrap w:val="0"/>
            <w:vAlign w:val="center"/>
          </w:tcPr>
          <w:p w14:paraId="70722B48">
            <w:pPr>
              <w:spacing w:line="340" w:lineRule="exact"/>
              <w:jc w:val="center"/>
              <w:rPr>
                <w:rFonts w:hint="default" w:ascii="Times New Roman" w:hAnsi="Times New Roman" w:cs="Times New Roman"/>
                <w:bCs/>
                <w:color w:val="auto"/>
                <w:sz w:val="21"/>
                <w:szCs w:val="21"/>
                <w:highlight w:val="none"/>
              </w:rPr>
            </w:pPr>
            <w:bookmarkStart w:id="94" w:name="_Toc17467"/>
            <w:bookmarkStart w:id="95" w:name="_Toc24505"/>
            <w:r>
              <w:rPr>
                <w:rFonts w:hint="default" w:ascii="Times New Roman" w:hAnsi="Times New Roman" w:cs="Times New Roman"/>
                <w:bCs/>
                <w:color w:val="auto"/>
                <w:sz w:val="21"/>
                <w:szCs w:val="21"/>
                <w:highlight w:val="none"/>
              </w:rPr>
              <w:t>监测点位名称</w:t>
            </w:r>
            <w:bookmarkEnd w:id="94"/>
            <w:bookmarkEnd w:id="95"/>
          </w:p>
        </w:tc>
        <w:tc>
          <w:tcPr>
            <w:tcW w:w="2097" w:type="pct"/>
            <w:tcBorders>
              <w:tl2br w:val="nil"/>
              <w:tr2bl w:val="nil"/>
            </w:tcBorders>
            <w:noWrap w:val="0"/>
            <w:vAlign w:val="center"/>
          </w:tcPr>
          <w:p w14:paraId="3854D2FE">
            <w:pPr>
              <w:spacing w:line="340" w:lineRule="exact"/>
              <w:jc w:val="center"/>
              <w:rPr>
                <w:rFonts w:hint="default" w:ascii="Times New Roman" w:hAnsi="Times New Roman" w:cs="Times New Roman"/>
                <w:bCs/>
                <w:color w:val="auto"/>
                <w:sz w:val="21"/>
                <w:szCs w:val="21"/>
                <w:highlight w:val="none"/>
              </w:rPr>
            </w:pPr>
            <w:bookmarkStart w:id="96" w:name="_Toc15794"/>
            <w:bookmarkStart w:id="97" w:name="_Toc1186"/>
            <w:r>
              <w:rPr>
                <w:rFonts w:hint="default" w:ascii="Times New Roman" w:hAnsi="Times New Roman" w:cs="Times New Roman"/>
                <w:bCs/>
                <w:color w:val="auto"/>
                <w:sz w:val="21"/>
                <w:szCs w:val="21"/>
                <w:highlight w:val="none"/>
              </w:rPr>
              <w:t>监测因子</w:t>
            </w:r>
            <w:bookmarkEnd w:id="96"/>
            <w:bookmarkEnd w:id="97"/>
          </w:p>
        </w:tc>
        <w:tc>
          <w:tcPr>
            <w:tcW w:w="1353" w:type="pct"/>
            <w:tcBorders>
              <w:tl2br w:val="nil"/>
              <w:tr2bl w:val="nil"/>
            </w:tcBorders>
            <w:noWrap w:val="0"/>
            <w:vAlign w:val="center"/>
          </w:tcPr>
          <w:p w14:paraId="47E82B12">
            <w:pPr>
              <w:spacing w:line="340" w:lineRule="exact"/>
              <w:jc w:val="center"/>
              <w:rPr>
                <w:rFonts w:hint="default" w:ascii="Times New Roman" w:hAnsi="Times New Roman" w:cs="Times New Roman"/>
                <w:bCs/>
                <w:color w:val="auto"/>
                <w:sz w:val="21"/>
                <w:szCs w:val="21"/>
                <w:highlight w:val="none"/>
              </w:rPr>
            </w:pPr>
            <w:bookmarkStart w:id="98" w:name="_Toc28844"/>
            <w:bookmarkStart w:id="99" w:name="_Toc32520"/>
            <w:r>
              <w:rPr>
                <w:rFonts w:hint="default" w:ascii="Times New Roman" w:hAnsi="Times New Roman" w:cs="Times New Roman"/>
                <w:bCs/>
                <w:color w:val="auto"/>
                <w:sz w:val="21"/>
                <w:szCs w:val="21"/>
                <w:highlight w:val="none"/>
              </w:rPr>
              <w:t>备注</w:t>
            </w:r>
            <w:bookmarkEnd w:id="98"/>
            <w:bookmarkEnd w:id="99"/>
          </w:p>
        </w:tc>
      </w:tr>
      <w:tr w14:paraId="6AD69C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49" w:type="pct"/>
            <w:tcBorders>
              <w:tl2br w:val="nil"/>
              <w:tr2bl w:val="nil"/>
            </w:tcBorders>
            <w:noWrap w:val="0"/>
            <w:vAlign w:val="center"/>
          </w:tcPr>
          <w:p w14:paraId="21A44CEC">
            <w:pPr>
              <w:spacing w:line="340" w:lineRule="exac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S1</w:t>
            </w:r>
          </w:p>
        </w:tc>
        <w:tc>
          <w:tcPr>
            <w:tcW w:w="1200" w:type="pct"/>
            <w:tcBorders>
              <w:tl2br w:val="nil"/>
              <w:tr2bl w:val="nil"/>
            </w:tcBorders>
            <w:noWrap w:val="0"/>
            <w:vAlign w:val="center"/>
          </w:tcPr>
          <w:p w14:paraId="69DD5D77">
            <w:pPr>
              <w:pStyle w:val="20"/>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color w:val="auto"/>
                <w:sz w:val="21"/>
                <w:szCs w:val="21"/>
                <w:highlight w:val="none"/>
                <w:lang w:val="en-US" w:eastAsia="zh-CN"/>
              </w:rPr>
              <w:t>钦州港路北侧</w:t>
            </w:r>
          </w:p>
        </w:tc>
        <w:tc>
          <w:tcPr>
            <w:tcW w:w="2097" w:type="pct"/>
            <w:vMerge w:val="restart"/>
            <w:tcBorders>
              <w:tl2br w:val="nil"/>
              <w:tr2bl w:val="nil"/>
            </w:tcBorders>
            <w:noWrap w:val="0"/>
            <w:vAlign w:val="center"/>
          </w:tcPr>
          <w:p w14:paraId="4976B81A">
            <w:pPr>
              <w:jc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color w:val="auto"/>
                <w:sz w:val="21"/>
                <w:szCs w:val="21"/>
                <w:highlight w:val="none"/>
                <w:lang w:val="en-US" w:eastAsia="zh-CN"/>
              </w:rPr>
              <w:t>pH、水溶性盐总量、镉、汞、砷、铅、铬、铜、镍、锌、</w:t>
            </w:r>
            <w:r>
              <w:rPr>
                <w:rFonts w:hint="default" w:ascii="Times New Roman" w:hAnsi="Times New Roman" w:cs="Times New Roman"/>
                <w:color w:val="auto"/>
                <w:sz w:val="21"/>
                <w:szCs w:val="21"/>
                <w:highlight w:val="none"/>
              </w:rPr>
              <w:t>阳离子交换量、氧化还原电位、饱和导水率、土壤容重、孔隙度，同时记录颜色、结构、质地、砂砾含量、其他异物</w:t>
            </w:r>
          </w:p>
        </w:tc>
        <w:tc>
          <w:tcPr>
            <w:tcW w:w="1353" w:type="pct"/>
            <w:tcBorders>
              <w:tl2br w:val="nil"/>
              <w:tr2bl w:val="nil"/>
            </w:tcBorders>
            <w:noWrap w:val="0"/>
            <w:vAlign w:val="center"/>
          </w:tcPr>
          <w:p w14:paraId="499EBE71">
            <w:pPr>
              <w:spacing w:line="340" w:lineRule="exact"/>
              <w:jc w:val="center"/>
              <w:rPr>
                <w:rFonts w:hint="default" w:ascii="Times New Roman" w:hAnsi="Times New Roman" w:cs="Times New Roman"/>
                <w:color w:val="auto"/>
                <w:sz w:val="21"/>
                <w:szCs w:val="21"/>
                <w:highlight w:val="none"/>
              </w:rPr>
            </w:pPr>
            <w:bookmarkStart w:id="100" w:name="_Toc19040"/>
            <w:bookmarkStart w:id="101" w:name="_Toc9478"/>
            <w:r>
              <w:rPr>
                <w:rFonts w:hint="default" w:ascii="Times New Roman" w:hAnsi="Times New Roman" w:cs="Times New Roman"/>
                <w:color w:val="auto"/>
                <w:sz w:val="21"/>
                <w:szCs w:val="21"/>
                <w:highlight w:val="none"/>
              </w:rPr>
              <w:t>表层样，在0~0.2m取样</w:t>
            </w:r>
            <w:bookmarkEnd w:id="100"/>
            <w:bookmarkEnd w:id="101"/>
          </w:p>
        </w:tc>
      </w:tr>
      <w:tr w14:paraId="6A3202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49" w:type="pct"/>
            <w:tcBorders>
              <w:tl2br w:val="nil"/>
              <w:tr2bl w:val="nil"/>
            </w:tcBorders>
            <w:noWrap w:val="0"/>
            <w:vAlign w:val="center"/>
          </w:tcPr>
          <w:p w14:paraId="6B019770">
            <w:pPr>
              <w:spacing w:line="340" w:lineRule="exac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S2</w:t>
            </w:r>
          </w:p>
        </w:tc>
        <w:tc>
          <w:tcPr>
            <w:tcW w:w="1200" w:type="pct"/>
            <w:tcBorders>
              <w:tl2br w:val="nil"/>
              <w:tr2bl w:val="nil"/>
            </w:tcBorders>
            <w:noWrap w:val="0"/>
            <w:vAlign w:val="center"/>
          </w:tcPr>
          <w:p w14:paraId="0453CB58">
            <w:pPr>
              <w:pStyle w:val="20"/>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项目钦州港路和水系改造交汇处</w:t>
            </w:r>
          </w:p>
        </w:tc>
        <w:tc>
          <w:tcPr>
            <w:tcW w:w="2097" w:type="pct"/>
            <w:vMerge w:val="continue"/>
            <w:tcBorders>
              <w:tl2br w:val="nil"/>
              <w:tr2bl w:val="nil"/>
            </w:tcBorders>
            <w:noWrap w:val="0"/>
            <w:vAlign w:val="center"/>
          </w:tcPr>
          <w:p w14:paraId="2AC3F954">
            <w:pPr>
              <w:spacing w:line="340" w:lineRule="exact"/>
              <w:jc w:val="center"/>
              <w:rPr>
                <w:rFonts w:hint="default" w:ascii="Times New Roman" w:hAnsi="Times New Roman" w:cs="Times New Roman"/>
                <w:bCs/>
                <w:color w:val="auto"/>
                <w:sz w:val="21"/>
                <w:szCs w:val="21"/>
                <w:highlight w:val="none"/>
              </w:rPr>
            </w:pPr>
          </w:p>
        </w:tc>
        <w:tc>
          <w:tcPr>
            <w:tcW w:w="1353" w:type="pct"/>
            <w:tcBorders>
              <w:tl2br w:val="nil"/>
              <w:tr2bl w:val="nil"/>
            </w:tcBorders>
            <w:noWrap w:val="0"/>
            <w:vAlign w:val="center"/>
          </w:tcPr>
          <w:p w14:paraId="2DAA4681">
            <w:pPr>
              <w:spacing w:line="340" w:lineRule="exact"/>
              <w:jc w:val="center"/>
              <w:rPr>
                <w:rFonts w:hint="default" w:ascii="Times New Roman" w:hAnsi="Times New Roman" w:cs="Times New Roman"/>
                <w:bCs/>
                <w:color w:val="auto"/>
                <w:sz w:val="21"/>
                <w:szCs w:val="21"/>
                <w:highlight w:val="none"/>
              </w:rPr>
            </w:pPr>
            <w:bookmarkStart w:id="102" w:name="_Toc2493"/>
            <w:bookmarkStart w:id="103" w:name="_Toc2699"/>
            <w:r>
              <w:rPr>
                <w:rFonts w:hint="default" w:ascii="Times New Roman" w:hAnsi="Times New Roman" w:cs="Times New Roman"/>
                <w:bCs/>
                <w:color w:val="auto"/>
                <w:sz w:val="21"/>
                <w:szCs w:val="21"/>
                <w:highlight w:val="none"/>
              </w:rPr>
              <w:t>表层样，在0~0.2m取样</w:t>
            </w:r>
            <w:bookmarkEnd w:id="102"/>
            <w:bookmarkEnd w:id="103"/>
          </w:p>
        </w:tc>
      </w:tr>
      <w:tr w14:paraId="047C59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49" w:type="pct"/>
            <w:tcBorders>
              <w:tl2br w:val="nil"/>
              <w:tr2bl w:val="nil"/>
            </w:tcBorders>
            <w:noWrap w:val="0"/>
            <w:vAlign w:val="center"/>
          </w:tcPr>
          <w:p w14:paraId="517609C3">
            <w:pPr>
              <w:spacing w:line="340" w:lineRule="exac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S3</w:t>
            </w:r>
          </w:p>
        </w:tc>
        <w:tc>
          <w:tcPr>
            <w:tcW w:w="1200" w:type="pct"/>
            <w:tcBorders>
              <w:tl2br w:val="nil"/>
              <w:tr2bl w:val="nil"/>
            </w:tcBorders>
            <w:noWrap w:val="0"/>
            <w:vAlign w:val="center"/>
          </w:tcPr>
          <w:p w14:paraId="20247220">
            <w:pPr>
              <w:pStyle w:val="20"/>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项目东北侧350米处</w:t>
            </w:r>
          </w:p>
        </w:tc>
        <w:tc>
          <w:tcPr>
            <w:tcW w:w="2097" w:type="pct"/>
            <w:vMerge w:val="continue"/>
            <w:tcBorders>
              <w:tl2br w:val="nil"/>
              <w:tr2bl w:val="nil"/>
            </w:tcBorders>
            <w:noWrap w:val="0"/>
            <w:vAlign w:val="center"/>
          </w:tcPr>
          <w:p w14:paraId="4ABC54C1">
            <w:pPr>
              <w:spacing w:line="340" w:lineRule="exact"/>
              <w:jc w:val="center"/>
              <w:rPr>
                <w:rFonts w:hint="default" w:ascii="Times New Roman" w:hAnsi="Times New Roman" w:cs="Times New Roman"/>
                <w:bCs/>
                <w:color w:val="auto"/>
                <w:sz w:val="21"/>
                <w:szCs w:val="21"/>
                <w:highlight w:val="none"/>
              </w:rPr>
            </w:pPr>
          </w:p>
        </w:tc>
        <w:tc>
          <w:tcPr>
            <w:tcW w:w="1353" w:type="pct"/>
            <w:tcBorders>
              <w:tl2br w:val="nil"/>
              <w:tr2bl w:val="nil"/>
            </w:tcBorders>
            <w:noWrap w:val="0"/>
            <w:vAlign w:val="center"/>
          </w:tcPr>
          <w:p w14:paraId="11951BDE">
            <w:pPr>
              <w:spacing w:line="340" w:lineRule="exact"/>
              <w:jc w:val="center"/>
              <w:rPr>
                <w:rFonts w:hint="default" w:ascii="Times New Roman" w:hAnsi="Times New Roman" w:cs="Times New Roman"/>
                <w:bCs/>
                <w:color w:val="auto"/>
                <w:sz w:val="21"/>
                <w:szCs w:val="21"/>
                <w:highlight w:val="none"/>
              </w:rPr>
            </w:pPr>
            <w:bookmarkStart w:id="104" w:name="_Toc19691"/>
            <w:bookmarkStart w:id="105" w:name="_Toc24612"/>
            <w:r>
              <w:rPr>
                <w:rFonts w:hint="default" w:ascii="Times New Roman" w:hAnsi="Times New Roman" w:cs="Times New Roman"/>
                <w:bCs/>
                <w:color w:val="auto"/>
                <w:sz w:val="21"/>
                <w:szCs w:val="21"/>
                <w:highlight w:val="none"/>
              </w:rPr>
              <w:t>表层样，在0~0.2m取样</w:t>
            </w:r>
            <w:bookmarkEnd w:id="104"/>
            <w:bookmarkEnd w:id="105"/>
          </w:p>
        </w:tc>
      </w:tr>
    </w:tbl>
    <w:p w14:paraId="5ED59110">
      <w:pPr>
        <w:pStyle w:val="5"/>
        <w:numPr>
          <w:ilvl w:val="2"/>
          <w:numId w:val="40"/>
        </w:numPr>
        <w:bidi w:val="0"/>
        <w:ind w:left="452" w:lef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监测时间及频率</w:t>
      </w:r>
    </w:p>
    <w:p w14:paraId="2C94233B">
      <w:pPr>
        <w:pStyle w:val="410"/>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监测时间：</w:t>
      </w:r>
      <w:r>
        <w:rPr>
          <w:rFonts w:hint="eastAsia" w:ascii="Times New Roman" w:hAnsi="Times New Roman" w:eastAsia="宋体" w:cs="Times New Roman"/>
          <w:color w:val="auto"/>
          <w:highlight w:val="none"/>
          <w:u w:val="none"/>
          <w:lang w:val="en-US" w:eastAsia="zh-CN"/>
        </w:rPr>
        <w:t>2025</w:t>
      </w:r>
      <w:r>
        <w:rPr>
          <w:rFonts w:hint="default" w:ascii="Times New Roman" w:hAnsi="Times New Roman" w:eastAsia="宋体" w:cs="Times New Roman"/>
          <w:color w:val="auto"/>
          <w:highlight w:val="none"/>
          <w:u w:val="none"/>
          <w:lang w:val="en-US" w:eastAsia="zh-CN"/>
        </w:rPr>
        <w:t>年</w:t>
      </w:r>
      <w:r>
        <w:rPr>
          <w:rFonts w:hint="eastAsia" w:ascii="Times New Roman" w:hAnsi="Times New Roman" w:eastAsia="宋体" w:cs="Times New Roman"/>
          <w:color w:val="auto"/>
          <w:highlight w:val="none"/>
          <w:u w:val="none"/>
          <w:lang w:val="en-US" w:eastAsia="zh-CN"/>
        </w:rPr>
        <w:t>4</w:t>
      </w:r>
      <w:r>
        <w:rPr>
          <w:rFonts w:hint="default" w:ascii="Times New Roman" w:hAnsi="Times New Roman" w:eastAsia="宋体" w:cs="Times New Roman"/>
          <w:color w:val="auto"/>
          <w:highlight w:val="none"/>
          <w:u w:val="none"/>
          <w:lang w:val="en-US" w:eastAsia="zh-CN"/>
        </w:rPr>
        <w:t>月</w:t>
      </w:r>
      <w:r>
        <w:rPr>
          <w:rFonts w:hint="eastAsia" w:ascii="Times New Roman" w:hAnsi="Times New Roman" w:eastAsia="宋体" w:cs="Times New Roman"/>
          <w:color w:val="auto"/>
          <w:highlight w:val="none"/>
          <w:u w:val="none"/>
          <w:lang w:val="en-US" w:eastAsia="zh-CN"/>
        </w:rPr>
        <w:t>21</w:t>
      </w:r>
      <w:r>
        <w:rPr>
          <w:rFonts w:hint="default" w:ascii="Times New Roman" w:hAnsi="Times New Roman" w:eastAsia="宋体" w:cs="Times New Roman"/>
          <w:color w:val="auto"/>
          <w:highlight w:val="none"/>
          <w:u w:val="none"/>
          <w:lang w:val="en-US" w:eastAsia="zh-CN"/>
        </w:rPr>
        <w:t>日，</w:t>
      </w:r>
      <w:r>
        <w:rPr>
          <w:rFonts w:hint="eastAsia" w:ascii="Times New Roman" w:hAnsi="Times New Roman" w:eastAsia="宋体" w:cs="Times New Roman"/>
          <w:color w:val="auto"/>
          <w:highlight w:val="none"/>
          <w:u w:val="none"/>
          <w:lang w:val="en-US" w:eastAsia="zh-CN"/>
        </w:rPr>
        <w:t>监测1天，每天采样1次</w:t>
      </w:r>
      <w:r>
        <w:rPr>
          <w:rFonts w:hint="default" w:ascii="Times New Roman" w:hAnsi="Times New Roman" w:eastAsia="宋体" w:cs="Times New Roman"/>
          <w:color w:val="auto"/>
          <w:highlight w:val="none"/>
          <w:u w:val="none"/>
          <w:lang w:val="en-US" w:eastAsia="zh-CN"/>
        </w:rPr>
        <w:t>。</w:t>
      </w:r>
    </w:p>
    <w:p w14:paraId="4183C420">
      <w:pPr>
        <w:pStyle w:val="5"/>
        <w:numPr>
          <w:ilvl w:val="2"/>
          <w:numId w:val="40"/>
        </w:numPr>
        <w:bidi w:val="0"/>
        <w:ind w:left="452" w:leftChars="0"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采样及分析方法</w:t>
      </w:r>
    </w:p>
    <w:p w14:paraId="33BEA034">
      <w:pPr>
        <w:pStyle w:val="410"/>
        <w:rPr>
          <w:rFonts w:hint="default" w:ascii="Times New Roman" w:hAnsi="Times New Roman" w:eastAsia="宋体" w:cs="Times New Roman"/>
          <w:color w:val="auto"/>
          <w:highlight w:val="none"/>
          <w:u w:val="none"/>
        </w:rPr>
      </w:pPr>
      <w:r>
        <w:rPr>
          <w:rFonts w:hint="eastAsia" w:ascii="Times New Roman" w:hAnsi="Times New Roman" w:eastAsia="宋体" w:cs="Times New Roman"/>
          <w:color w:val="auto"/>
          <w:highlight w:val="none"/>
          <w:u w:val="none"/>
          <w:lang w:val="en-US" w:eastAsia="zh-CN"/>
        </w:rPr>
        <w:t>本次土壤采样及分析方法</w:t>
      </w:r>
      <w:r>
        <w:rPr>
          <w:rFonts w:hint="default" w:ascii="Times New Roman" w:hAnsi="Times New Roman" w:eastAsia="宋体" w:cs="Times New Roman"/>
          <w:color w:val="auto"/>
          <w:highlight w:val="none"/>
          <w:u w:val="none"/>
        </w:rPr>
        <w:t>按《土壤环境监测技术规范》（HJ/T 166-2004）中的有关规定执行。</w:t>
      </w:r>
    </w:p>
    <w:p w14:paraId="01D9BFCB">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color w:val="auto"/>
          <w:highlight w:val="none"/>
          <w:u w:val="none"/>
        </w:rPr>
      </w:pPr>
      <w:r>
        <w:rPr>
          <w:rFonts w:hint="eastAsia" w:ascii="Times New Roman" w:hAnsi="Times New Roman" w:eastAsia="宋体" w:cs="Times New Roman"/>
          <w:color w:val="auto"/>
          <w:highlight w:val="none"/>
          <w:u w:val="none"/>
          <w:lang w:val="en-US" w:eastAsia="zh-CN"/>
        </w:rPr>
        <w:t>项目土壤检测方法及仪器一览表</w:t>
      </w:r>
    </w:p>
    <w:tbl>
      <w:tblPr>
        <w:tblStyle w:val="8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1497"/>
        <w:gridCol w:w="5318"/>
        <w:gridCol w:w="1244"/>
      </w:tblGrid>
      <w:tr w14:paraId="3B5798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43" w:type="pct"/>
            <w:noWrap w:val="0"/>
            <w:vAlign w:val="center"/>
          </w:tcPr>
          <w:p w14:paraId="66C12564">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检测要素</w:t>
            </w:r>
          </w:p>
        </w:tc>
        <w:tc>
          <w:tcPr>
            <w:tcW w:w="857" w:type="pct"/>
            <w:noWrap w:val="0"/>
            <w:vAlign w:val="center"/>
          </w:tcPr>
          <w:p w14:paraId="3DA4A323">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检测项目</w:t>
            </w:r>
          </w:p>
        </w:tc>
        <w:tc>
          <w:tcPr>
            <w:tcW w:w="3022" w:type="pct"/>
            <w:noWrap w:val="0"/>
            <w:vAlign w:val="center"/>
          </w:tcPr>
          <w:p w14:paraId="469E5C9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方法名称及标准号</w:t>
            </w:r>
          </w:p>
        </w:tc>
        <w:tc>
          <w:tcPr>
            <w:tcW w:w="675" w:type="pct"/>
            <w:noWrap w:val="0"/>
            <w:vAlign w:val="center"/>
          </w:tcPr>
          <w:p w14:paraId="1A5627D7">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检出限或最低检出浓度</w:t>
            </w:r>
          </w:p>
        </w:tc>
      </w:tr>
      <w:tr w14:paraId="17C982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43" w:type="pct"/>
            <w:vMerge w:val="restart"/>
            <w:noWrap w:val="0"/>
            <w:vAlign w:val="center"/>
          </w:tcPr>
          <w:p w14:paraId="793B7BB8">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w:t>
            </w:r>
          </w:p>
        </w:tc>
        <w:tc>
          <w:tcPr>
            <w:tcW w:w="857" w:type="pct"/>
            <w:noWrap w:val="0"/>
            <w:vAlign w:val="center"/>
          </w:tcPr>
          <w:p w14:paraId="2E031D91">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pH</w:t>
            </w:r>
            <w:r>
              <w:rPr>
                <w:rFonts w:hint="default" w:ascii="Times New Roman" w:hAnsi="Times New Roman" w:eastAsia="宋体" w:cs="Times New Roman"/>
                <w:color w:val="auto"/>
                <w:sz w:val="21"/>
                <w:szCs w:val="21"/>
                <w:highlight w:val="none"/>
                <w:lang w:eastAsia="zh-CN"/>
              </w:rPr>
              <w:t>值</w:t>
            </w:r>
          </w:p>
        </w:tc>
        <w:tc>
          <w:tcPr>
            <w:tcW w:w="3022" w:type="pct"/>
            <w:noWrap w:val="0"/>
            <w:vAlign w:val="center"/>
          </w:tcPr>
          <w:p w14:paraId="1A4672F7">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土壤检测 第2部分：土壤pH的测定（NY/T 1121.2-2006)</w:t>
            </w:r>
          </w:p>
        </w:tc>
        <w:tc>
          <w:tcPr>
            <w:tcW w:w="675" w:type="pct"/>
            <w:noWrap w:val="0"/>
            <w:vAlign w:val="center"/>
          </w:tcPr>
          <w:p w14:paraId="6FEA2D90">
            <w:pPr>
              <w:widowControl/>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w:t>
            </w:r>
          </w:p>
        </w:tc>
      </w:tr>
      <w:tr w14:paraId="07034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43" w:type="pct"/>
            <w:vMerge w:val="continue"/>
            <w:noWrap w:val="0"/>
            <w:vAlign w:val="center"/>
          </w:tcPr>
          <w:p w14:paraId="1EB58E35">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857" w:type="pct"/>
            <w:noWrap w:val="0"/>
            <w:vAlign w:val="center"/>
          </w:tcPr>
          <w:p w14:paraId="6207039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水溶性盐总量</w:t>
            </w:r>
          </w:p>
        </w:tc>
        <w:tc>
          <w:tcPr>
            <w:tcW w:w="3022" w:type="pct"/>
            <w:noWrap w:val="0"/>
            <w:vAlign w:val="center"/>
          </w:tcPr>
          <w:p w14:paraId="24C65E5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土壤检测 第16部分：土壤水溶性盐总量的测定（NY/T 1121.16-2006）</w:t>
            </w:r>
          </w:p>
        </w:tc>
        <w:tc>
          <w:tcPr>
            <w:tcW w:w="675" w:type="pct"/>
            <w:noWrap w:val="0"/>
            <w:vAlign w:val="center"/>
          </w:tcPr>
          <w:p w14:paraId="5A74C1EC">
            <w:pPr>
              <w:widowControl/>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w:t>
            </w:r>
          </w:p>
        </w:tc>
      </w:tr>
      <w:tr w14:paraId="49D8FD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43" w:type="pct"/>
            <w:vMerge w:val="continue"/>
            <w:noWrap w:val="0"/>
            <w:vAlign w:val="center"/>
          </w:tcPr>
          <w:p w14:paraId="7A13F738">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857" w:type="pct"/>
            <w:noWrap w:val="0"/>
            <w:vAlign w:val="center"/>
          </w:tcPr>
          <w:p w14:paraId="358C33F2">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镉</w:t>
            </w:r>
          </w:p>
        </w:tc>
        <w:tc>
          <w:tcPr>
            <w:tcW w:w="3022" w:type="pct"/>
            <w:noWrap w:val="0"/>
            <w:vAlign w:val="center"/>
          </w:tcPr>
          <w:p w14:paraId="4F53194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土壤质量 铅、镉的测定 石墨炉原子吸收分光光度法</w:t>
            </w:r>
          </w:p>
          <w:p w14:paraId="79DB24B2">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（GB/T 17141-1997）</w:t>
            </w:r>
          </w:p>
        </w:tc>
        <w:tc>
          <w:tcPr>
            <w:tcW w:w="675" w:type="pct"/>
            <w:noWrap w:val="0"/>
            <w:vAlign w:val="center"/>
          </w:tcPr>
          <w:p w14:paraId="76293329">
            <w:pPr>
              <w:widowControl/>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0.01mg/kg</w:t>
            </w:r>
          </w:p>
        </w:tc>
      </w:tr>
      <w:tr w14:paraId="276BBE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43" w:type="pct"/>
            <w:vMerge w:val="continue"/>
            <w:noWrap w:val="0"/>
            <w:vAlign w:val="center"/>
          </w:tcPr>
          <w:p w14:paraId="0818678B">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857" w:type="pct"/>
            <w:noWrap w:val="0"/>
            <w:vAlign w:val="center"/>
          </w:tcPr>
          <w:p w14:paraId="6A344F09">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汞</w:t>
            </w:r>
          </w:p>
        </w:tc>
        <w:tc>
          <w:tcPr>
            <w:tcW w:w="3022" w:type="pct"/>
            <w:vMerge w:val="restart"/>
            <w:noWrap w:val="0"/>
            <w:vAlign w:val="center"/>
          </w:tcPr>
          <w:p w14:paraId="1AD03E24">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土壤和沉积物 汞、砷、硒、铋、锑的测定 微波消解/原子荧光法（HJ 680-2013）</w:t>
            </w:r>
          </w:p>
        </w:tc>
        <w:tc>
          <w:tcPr>
            <w:tcW w:w="675" w:type="pct"/>
            <w:noWrap w:val="0"/>
            <w:vAlign w:val="center"/>
          </w:tcPr>
          <w:p w14:paraId="5B549C45">
            <w:pPr>
              <w:widowControl/>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0.002mg/kg</w:t>
            </w:r>
          </w:p>
        </w:tc>
      </w:tr>
      <w:tr w14:paraId="4EE1EE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43" w:type="pct"/>
            <w:vMerge w:val="continue"/>
            <w:noWrap w:val="0"/>
            <w:vAlign w:val="center"/>
          </w:tcPr>
          <w:p w14:paraId="5626FD69">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857" w:type="pct"/>
            <w:noWrap w:val="0"/>
            <w:vAlign w:val="center"/>
          </w:tcPr>
          <w:p w14:paraId="77F7F553">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砷</w:t>
            </w:r>
          </w:p>
        </w:tc>
        <w:tc>
          <w:tcPr>
            <w:tcW w:w="3022" w:type="pct"/>
            <w:vMerge w:val="continue"/>
            <w:noWrap w:val="0"/>
            <w:vAlign w:val="center"/>
          </w:tcPr>
          <w:p w14:paraId="7BF9AB9E">
            <w:pPr>
              <w:widowControl/>
              <w:snapToGrid w:val="0"/>
              <w:spacing w:line="240" w:lineRule="auto"/>
              <w:jc w:val="center"/>
              <w:rPr>
                <w:rFonts w:hint="default" w:ascii="Times New Roman" w:hAnsi="Times New Roman" w:eastAsia="宋体" w:cs="Times New Roman"/>
                <w:color w:val="auto"/>
                <w:kern w:val="0"/>
                <w:sz w:val="21"/>
                <w:szCs w:val="21"/>
                <w:highlight w:val="none"/>
              </w:rPr>
            </w:pPr>
          </w:p>
        </w:tc>
        <w:tc>
          <w:tcPr>
            <w:tcW w:w="675" w:type="pct"/>
            <w:noWrap w:val="0"/>
            <w:vAlign w:val="center"/>
          </w:tcPr>
          <w:p w14:paraId="7B799E53">
            <w:pPr>
              <w:widowControl/>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0.01mg/kg</w:t>
            </w:r>
          </w:p>
        </w:tc>
      </w:tr>
      <w:tr w14:paraId="0B2B75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43" w:type="pct"/>
            <w:vMerge w:val="continue"/>
            <w:noWrap w:val="0"/>
            <w:vAlign w:val="center"/>
          </w:tcPr>
          <w:p w14:paraId="70093482">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857" w:type="pct"/>
            <w:noWrap w:val="0"/>
            <w:vAlign w:val="center"/>
          </w:tcPr>
          <w:p w14:paraId="72BB1611">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铅</w:t>
            </w:r>
          </w:p>
        </w:tc>
        <w:tc>
          <w:tcPr>
            <w:tcW w:w="3022" w:type="pct"/>
            <w:vMerge w:val="restart"/>
            <w:noWrap w:val="0"/>
            <w:vAlign w:val="center"/>
          </w:tcPr>
          <w:p w14:paraId="58D02A95">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土壤和沉积物 铜、锌、铅、镍、铬的测定 火焰原子吸收分光光度法（HJ 491-2019）</w:t>
            </w:r>
          </w:p>
        </w:tc>
        <w:tc>
          <w:tcPr>
            <w:tcW w:w="675" w:type="pct"/>
            <w:noWrap w:val="0"/>
            <w:vAlign w:val="center"/>
          </w:tcPr>
          <w:p w14:paraId="3DDD9984">
            <w:pPr>
              <w:widowControl/>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10mg/kg</w:t>
            </w:r>
          </w:p>
        </w:tc>
      </w:tr>
      <w:tr w14:paraId="51B0AB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43" w:type="pct"/>
            <w:vMerge w:val="continue"/>
            <w:noWrap w:val="0"/>
            <w:vAlign w:val="center"/>
          </w:tcPr>
          <w:p w14:paraId="2DFCB776">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857" w:type="pct"/>
            <w:noWrap w:val="0"/>
            <w:vAlign w:val="center"/>
          </w:tcPr>
          <w:p w14:paraId="720873F7">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铬</w:t>
            </w:r>
          </w:p>
        </w:tc>
        <w:tc>
          <w:tcPr>
            <w:tcW w:w="3022" w:type="pct"/>
            <w:vMerge w:val="continue"/>
            <w:noWrap w:val="0"/>
            <w:vAlign w:val="center"/>
          </w:tcPr>
          <w:p w14:paraId="078D7801">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675" w:type="pct"/>
            <w:noWrap w:val="0"/>
            <w:vAlign w:val="center"/>
          </w:tcPr>
          <w:p w14:paraId="43A3740B">
            <w:pPr>
              <w:widowControl/>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mg/kg</w:t>
            </w:r>
          </w:p>
        </w:tc>
      </w:tr>
      <w:tr w14:paraId="453177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43" w:type="pct"/>
            <w:vMerge w:val="continue"/>
            <w:noWrap w:val="0"/>
            <w:vAlign w:val="center"/>
          </w:tcPr>
          <w:p w14:paraId="29B4C308">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857" w:type="pct"/>
            <w:noWrap w:val="0"/>
            <w:vAlign w:val="center"/>
          </w:tcPr>
          <w:p w14:paraId="5F96CBA4">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铜</w:t>
            </w:r>
          </w:p>
        </w:tc>
        <w:tc>
          <w:tcPr>
            <w:tcW w:w="3022" w:type="pct"/>
            <w:vMerge w:val="continue"/>
            <w:noWrap w:val="0"/>
            <w:vAlign w:val="center"/>
          </w:tcPr>
          <w:p w14:paraId="594A52FA">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p>
        </w:tc>
        <w:tc>
          <w:tcPr>
            <w:tcW w:w="675" w:type="pct"/>
            <w:noWrap w:val="0"/>
            <w:vAlign w:val="center"/>
          </w:tcPr>
          <w:p w14:paraId="3537E129">
            <w:pPr>
              <w:widowControl/>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1mg/kg</w:t>
            </w:r>
          </w:p>
        </w:tc>
      </w:tr>
      <w:tr w14:paraId="7C7175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43" w:type="pct"/>
            <w:vMerge w:val="continue"/>
            <w:noWrap w:val="0"/>
            <w:vAlign w:val="center"/>
          </w:tcPr>
          <w:p w14:paraId="78058D01">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857" w:type="pct"/>
            <w:noWrap w:val="0"/>
            <w:vAlign w:val="center"/>
          </w:tcPr>
          <w:p w14:paraId="345C0412">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镍</w:t>
            </w:r>
          </w:p>
        </w:tc>
        <w:tc>
          <w:tcPr>
            <w:tcW w:w="3022" w:type="pct"/>
            <w:vMerge w:val="continue"/>
            <w:noWrap w:val="0"/>
            <w:vAlign w:val="center"/>
          </w:tcPr>
          <w:p w14:paraId="220B6508">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p>
        </w:tc>
        <w:tc>
          <w:tcPr>
            <w:tcW w:w="675" w:type="pct"/>
            <w:noWrap w:val="0"/>
            <w:vAlign w:val="center"/>
          </w:tcPr>
          <w:p w14:paraId="0BD07C48">
            <w:pPr>
              <w:widowControl/>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3mg/kg</w:t>
            </w:r>
          </w:p>
        </w:tc>
      </w:tr>
      <w:tr w14:paraId="3F23E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43" w:type="pct"/>
            <w:vMerge w:val="continue"/>
            <w:noWrap w:val="0"/>
            <w:vAlign w:val="center"/>
          </w:tcPr>
          <w:p w14:paraId="0915E644">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857" w:type="pct"/>
            <w:noWrap w:val="0"/>
            <w:vAlign w:val="center"/>
          </w:tcPr>
          <w:p w14:paraId="39A5049A">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锌</w:t>
            </w:r>
          </w:p>
        </w:tc>
        <w:tc>
          <w:tcPr>
            <w:tcW w:w="3022" w:type="pct"/>
            <w:vMerge w:val="continue"/>
            <w:noWrap w:val="0"/>
            <w:vAlign w:val="center"/>
          </w:tcPr>
          <w:p w14:paraId="0BACFC6F">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p>
        </w:tc>
        <w:tc>
          <w:tcPr>
            <w:tcW w:w="675" w:type="pct"/>
            <w:noWrap w:val="0"/>
            <w:vAlign w:val="center"/>
          </w:tcPr>
          <w:p w14:paraId="51B30C3A">
            <w:pPr>
              <w:widowControl/>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1mg/kg</w:t>
            </w:r>
          </w:p>
        </w:tc>
      </w:tr>
      <w:tr w14:paraId="091158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43" w:type="pct"/>
            <w:vMerge w:val="continue"/>
            <w:noWrap w:val="0"/>
            <w:vAlign w:val="center"/>
          </w:tcPr>
          <w:p w14:paraId="0D60470B">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857" w:type="pct"/>
            <w:noWrap w:val="0"/>
            <w:vAlign w:val="center"/>
          </w:tcPr>
          <w:p w14:paraId="3F3F15E3">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阳离子交换量</w:t>
            </w:r>
          </w:p>
        </w:tc>
        <w:tc>
          <w:tcPr>
            <w:tcW w:w="3022" w:type="pct"/>
            <w:noWrap w:val="0"/>
            <w:vAlign w:val="center"/>
          </w:tcPr>
          <w:p w14:paraId="3C0F379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 阳离子交换量的测定 三氯化六氨合钴浸提-分光光度法</w:t>
            </w:r>
          </w:p>
          <w:p w14:paraId="30C6FA47">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（HJ 889-2017）</w:t>
            </w:r>
          </w:p>
        </w:tc>
        <w:tc>
          <w:tcPr>
            <w:tcW w:w="675" w:type="pct"/>
            <w:noWrap w:val="0"/>
            <w:vAlign w:val="center"/>
          </w:tcPr>
          <w:p w14:paraId="3A91F9F0">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0.8cmol</w:t>
            </w:r>
            <w:r>
              <w:rPr>
                <w:rFonts w:hint="default" w:ascii="Times New Roman" w:hAnsi="Times New Roman" w:eastAsia="宋体" w:cs="Times New Roman"/>
                <w:color w:val="auto"/>
                <w:kern w:val="0"/>
                <w:sz w:val="21"/>
                <w:szCs w:val="21"/>
                <w:highlight w:val="none"/>
                <w:vertAlign w:val="superscript"/>
              </w:rPr>
              <w:t>+</w:t>
            </w:r>
            <w:r>
              <w:rPr>
                <w:rFonts w:hint="default" w:ascii="Times New Roman" w:hAnsi="Times New Roman" w:eastAsia="宋体" w:cs="Times New Roman"/>
                <w:color w:val="auto"/>
                <w:kern w:val="0"/>
                <w:sz w:val="21"/>
                <w:szCs w:val="21"/>
                <w:highlight w:val="none"/>
              </w:rPr>
              <w:t>/kg</w:t>
            </w:r>
          </w:p>
        </w:tc>
      </w:tr>
      <w:tr w14:paraId="0ABFA8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43" w:type="pct"/>
            <w:vMerge w:val="continue"/>
            <w:noWrap w:val="0"/>
            <w:vAlign w:val="center"/>
          </w:tcPr>
          <w:p w14:paraId="47CBD64F">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857" w:type="pct"/>
            <w:noWrap w:val="0"/>
            <w:vAlign w:val="center"/>
          </w:tcPr>
          <w:p w14:paraId="486E03D1">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饱和导水率</w:t>
            </w:r>
          </w:p>
        </w:tc>
        <w:tc>
          <w:tcPr>
            <w:tcW w:w="3022" w:type="pct"/>
            <w:noWrap w:val="0"/>
            <w:vAlign w:val="center"/>
          </w:tcPr>
          <w:p w14:paraId="6833AFE6">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森林土壤渗滤率的测定（LY/T 1218-1999）</w:t>
            </w:r>
          </w:p>
        </w:tc>
        <w:tc>
          <w:tcPr>
            <w:tcW w:w="675" w:type="pct"/>
            <w:noWrap w:val="0"/>
            <w:vAlign w:val="center"/>
          </w:tcPr>
          <w:p w14:paraId="0BCB86E4">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r>
      <w:tr w14:paraId="55E411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43" w:type="pct"/>
            <w:vMerge w:val="continue"/>
            <w:noWrap w:val="0"/>
            <w:vAlign w:val="center"/>
          </w:tcPr>
          <w:p w14:paraId="0DB7F6E9">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857" w:type="pct"/>
            <w:noWrap w:val="0"/>
            <w:vAlign w:val="center"/>
          </w:tcPr>
          <w:p w14:paraId="353E1196">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土壤容重</w:t>
            </w:r>
          </w:p>
        </w:tc>
        <w:tc>
          <w:tcPr>
            <w:tcW w:w="3022" w:type="pct"/>
            <w:noWrap w:val="0"/>
            <w:vAlign w:val="center"/>
          </w:tcPr>
          <w:p w14:paraId="7EE69E1F">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土壤检测 第4部分：土壤容重的测定（NY/T 1121.4-2006）</w:t>
            </w:r>
          </w:p>
        </w:tc>
        <w:tc>
          <w:tcPr>
            <w:tcW w:w="675" w:type="pct"/>
            <w:noWrap w:val="0"/>
            <w:vAlign w:val="center"/>
          </w:tcPr>
          <w:p w14:paraId="2CFCBC95">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r>
      <w:tr w14:paraId="51D96E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43" w:type="pct"/>
            <w:vMerge w:val="continue"/>
            <w:noWrap w:val="0"/>
            <w:vAlign w:val="center"/>
          </w:tcPr>
          <w:p w14:paraId="51504EBC">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857" w:type="pct"/>
            <w:noWrap w:val="0"/>
            <w:vAlign w:val="center"/>
          </w:tcPr>
          <w:p w14:paraId="2454B860">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孔隙度</w:t>
            </w:r>
          </w:p>
        </w:tc>
        <w:tc>
          <w:tcPr>
            <w:tcW w:w="3022" w:type="pct"/>
            <w:noWrap w:val="0"/>
            <w:vAlign w:val="center"/>
          </w:tcPr>
          <w:p w14:paraId="0714A3D5">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森林土壤水分-物理性质的测定（LY/T 1215-1999）</w:t>
            </w:r>
          </w:p>
        </w:tc>
        <w:tc>
          <w:tcPr>
            <w:tcW w:w="675" w:type="pct"/>
            <w:noWrap w:val="0"/>
            <w:vAlign w:val="center"/>
          </w:tcPr>
          <w:p w14:paraId="18A228B5">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r>
      <w:tr w14:paraId="2E5256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43" w:type="pct"/>
            <w:vMerge w:val="continue"/>
            <w:noWrap w:val="0"/>
            <w:vAlign w:val="center"/>
          </w:tcPr>
          <w:p w14:paraId="068B0BDA">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857" w:type="pct"/>
            <w:noWrap w:val="0"/>
            <w:vAlign w:val="center"/>
          </w:tcPr>
          <w:p w14:paraId="0CA52FF3">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氧化还原电位</w:t>
            </w:r>
          </w:p>
        </w:tc>
        <w:tc>
          <w:tcPr>
            <w:tcW w:w="3022" w:type="pct"/>
            <w:noWrap w:val="0"/>
            <w:vAlign w:val="center"/>
          </w:tcPr>
          <w:p w14:paraId="52BBCCA0">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土壤 氧化还原电位的测定 电位法（HJ 746-2015）</w:t>
            </w:r>
          </w:p>
        </w:tc>
        <w:tc>
          <w:tcPr>
            <w:tcW w:w="675" w:type="pct"/>
            <w:noWrap w:val="0"/>
            <w:vAlign w:val="center"/>
          </w:tcPr>
          <w:p w14:paraId="77DFB10B">
            <w:pPr>
              <w:widowControl/>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w:t>
            </w:r>
          </w:p>
        </w:tc>
      </w:tr>
      <w:tr w14:paraId="3F1314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0" w:type="pct"/>
            <w:gridSpan w:val="2"/>
            <w:noWrap w:val="0"/>
            <w:vAlign w:val="center"/>
          </w:tcPr>
          <w:p w14:paraId="0F8D41DD">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采样依据</w:t>
            </w:r>
          </w:p>
        </w:tc>
        <w:tc>
          <w:tcPr>
            <w:tcW w:w="3699" w:type="pct"/>
            <w:gridSpan w:val="2"/>
            <w:noWrap w:val="0"/>
            <w:vAlign w:val="center"/>
          </w:tcPr>
          <w:p w14:paraId="24A5EEEE">
            <w:pPr>
              <w:pStyle w:val="2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土壤环境监测技术规范（HJ/T 166-2004）</w:t>
            </w:r>
          </w:p>
        </w:tc>
      </w:tr>
    </w:tbl>
    <w:p w14:paraId="58908B49">
      <w:pPr>
        <w:pStyle w:val="5"/>
        <w:numPr>
          <w:ilvl w:val="2"/>
          <w:numId w:val="40"/>
        </w:numPr>
        <w:bidi w:val="0"/>
        <w:ind w:left="452" w:lef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评价标准</w:t>
      </w:r>
    </w:p>
    <w:p w14:paraId="38BC8517">
      <w:pPr>
        <w:pStyle w:val="410"/>
        <w:rPr>
          <w:rFonts w:hint="eastAsia"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rPr>
        <w:t>项目土壤执行《土壤环境质量</w:t>
      </w:r>
      <w:r>
        <w:rPr>
          <w:rFonts w:hint="eastAsia" w:ascii="Times New Roman" w:hAnsi="Times New Roman" w:eastAsia="宋体" w:cs="Times New Roman"/>
          <w:color w:val="auto"/>
          <w:highlight w:val="none"/>
          <w:u w:val="none"/>
        </w:rPr>
        <w:t xml:space="preserve"> </w:t>
      </w:r>
      <w:r>
        <w:rPr>
          <w:rFonts w:hint="default" w:ascii="Times New Roman" w:hAnsi="Times New Roman" w:eastAsia="宋体" w:cs="Times New Roman"/>
          <w:color w:val="auto"/>
          <w:highlight w:val="none"/>
          <w:u w:val="none"/>
        </w:rPr>
        <w:t>农用地土壤污染风险管控标准（试行）》（GB15618-2018）</w:t>
      </w:r>
      <w:r>
        <w:rPr>
          <w:rFonts w:hint="eastAsia" w:ascii="Times New Roman" w:hAnsi="Times New Roman" w:eastAsia="宋体" w:cs="Times New Roman"/>
          <w:color w:val="auto"/>
          <w:highlight w:val="none"/>
          <w:u w:val="none"/>
          <w:lang w:eastAsia="zh-CN"/>
        </w:rPr>
        <w:t>。</w:t>
      </w:r>
    </w:p>
    <w:p w14:paraId="5D357851">
      <w:pPr>
        <w:pStyle w:val="5"/>
        <w:numPr>
          <w:ilvl w:val="2"/>
          <w:numId w:val="40"/>
        </w:numPr>
        <w:bidi w:val="0"/>
        <w:ind w:left="452" w:lef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监测结果及评价</w:t>
      </w:r>
    </w:p>
    <w:p w14:paraId="71F7ED2D">
      <w:pPr>
        <w:pStyle w:val="41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土壤理化特性调查结果见</w:t>
      </w:r>
      <w:r>
        <w:rPr>
          <w:rFonts w:hint="eastAsia" w:ascii="Times New Roman" w:hAnsi="Times New Roman" w:cs="Times New Roman"/>
          <w:color w:val="auto"/>
          <w:highlight w:val="none"/>
          <w:lang w:val="en-US" w:eastAsia="zh-CN"/>
        </w:rPr>
        <w:fldChar w:fldCharType="begin"/>
      </w:r>
      <w:r>
        <w:rPr>
          <w:rFonts w:hint="eastAsia" w:ascii="Times New Roman" w:hAnsi="Times New Roman" w:cs="Times New Roman"/>
          <w:color w:val="auto"/>
          <w:highlight w:val="none"/>
          <w:lang w:val="en-US" w:eastAsia="zh-CN"/>
        </w:rPr>
        <w:instrText xml:space="preserve"> REF _Ref12103 \r \h </w:instrText>
      </w:r>
      <w:r>
        <w:rPr>
          <w:rFonts w:hint="eastAsia" w:ascii="Times New Roman" w:hAnsi="Times New Roman" w:cs="Times New Roman"/>
          <w:color w:val="auto"/>
          <w:highlight w:val="none"/>
          <w:lang w:val="en-US" w:eastAsia="zh-CN"/>
        </w:rPr>
        <w:fldChar w:fldCharType="separate"/>
      </w:r>
      <w:r>
        <w:rPr>
          <w:rFonts w:hint="eastAsia" w:ascii="Times New Roman" w:hAnsi="Times New Roman" w:cs="Times New Roman"/>
          <w:color w:val="auto"/>
          <w:highlight w:val="none"/>
          <w:lang w:val="en-US" w:eastAsia="zh-CN"/>
        </w:rPr>
        <w:t>表3.9-3</w:t>
      </w:r>
      <w:r>
        <w:rPr>
          <w:rFonts w:hint="eastAsia" w:ascii="Times New Roman" w:hAnsi="Times New Roman" w:cs="Times New Roman"/>
          <w:color w:val="auto"/>
          <w:highlight w:val="none"/>
          <w:lang w:val="en-US" w:eastAsia="zh-CN"/>
        </w:rPr>
        <w:fldChar w:fldCharType="end"/>
      </w:r>
      <w:r>
        <w:rPr>
          <w:rFonts w:hint="eastAsia"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fldChar w:fldCharType="begin"/>
      </w:r>
      <w:r>
        <w:rPr>
          <w:rFonts w:hint="eastAsia" w:ascii="Times New Roman" w:hAnsi="Times New Roman" w:cs="Times New Roman"/>
          <w:color w:val="auto"/>
          <w:highlight w:val="none"/>
          <w:lang w:val="en-US" w:eastAsia="zh-CN"/>
        </w:rPr>
        <w:instrText xml:space="preserve"> REF _Ref12244 \r \h </w:instrText>
      </w:r>
      <w:r>
        <w:rPr>
          <w:rFonts w:hint="eastAsia" w:ascii="Times New Roman" w:hAnsi="Times New Roman" w:cs="Times New Roman"/>
          <w:color w:val="auto"/>
          <w:highlight w:val="none"/>
          <w:lang w:val="en-US" w:eastAsia="zh-CN"/>
        </w:rPr>
        <w:fldChar w:fldCharType="separate"/>
      </w:r>
      <w:r>
        <w:rPr>
          <w:rFonts w:hint="eastAsia" w:ascii="Times New Roman" w:hAnsi="Times New Roman" w:cs="Times New Roman"/>
          <w:color w:val="auto"/>
          <w:highlight w:val="none"/>
          <w:lang w:val="en-US" w:eastAsia="zh-CN"/>
        </w:rPr>
        <w:t>表3.9-5</w:t>
      </w:r>
      <w:r>
        <w:rPr>
          <w:rFonts w:hint="eastAsia" w:ascii="Times New Roman" w:hAnsi="Times New Roman" w:cs="Times New Roman"/>
          <w:color w:val="auto"/>
          <w:highlight w:val="none"/>
          <w:lang w:val="en-US" w:eastAsia="zh-CN"/>
        </w:rPr>
        <w:fldChar w:fldCharType="end"/>
      </w:r>
      <w:r>
        <w:rPr>
          <w:rFonts w:hint="eastAsia" w:ascii="Times New Roman" w:hAnsi="Times New Roman" w:cs="Times New Roman"/>
          <w:color w:val="auto"/>
          <w:highlight w:val="none"/>
          <w:lang w:val="en-US" w:eastAsia="zh-CN"/>
        </w:rPr>
        <w:t>，土壤环境各点位监测结果</w:t>
      </w:r>
      <w:r>
        <w:rPr>
          <w:rFonts w:hint="default" w:ascii="Times New Roman" w:hAnsi="Times New Roman" w:cs="Times New Roman"/>
          <w:color w:val="auto"/>
          <w:highlight w:val="none"/>
        </w:rPr>
        <w:t>及评价见</w:t>
      </w:r>
      <w:r>
        <w:rPr>
          <w:rFonts w:hint="default" w:ascii="Times New Roman" w:hAnsi="Times New Roman" w:cs="Times New Roman"/>
          <w:color w:val="auto"/>
          <w:highlight w:val="none"/>
          <w:lang w:val="en-US"/>
        </w:rPr>
        <w:fldChar w:fldCharType="begin"/>
      </w:r>
      <w:r>
        <w:rPr>
          <w:rFonts w:hint="default" w:ascii="Times New Roman" w:hAnsi="Times New Roman" w:cs="Times New Roman"/>
          <w:color w:val="auto"/>
          <w:highlight w:val="none"/>
          <w:lang w:val="en-US"/>
        </w:rPr>
        <w:instrText xml:space="preserve"> REF _Ref15441 \r \h </w:instrText>
      </w:r>
      <w:r>
        <w:rPr>
          <w:rFonts w:hint="default" w:ascii="Times New Roman" w:hAnsi="Times New Roman" w:cs="Times New Roman"/>
          <w:color w:val="auto"/>
          <w:highlight w:val="none"/>
          <w:lang w:val="en-US"/>
        </w:rPr>
        <w:fldChar w:fldCharType="separate"/>
      </w:r>
      <w:r>
        <w:rPr>
          <w:rFonts w:hint="default" w:ascii="Times New Roman" w:hAnsi="Times New Roman" w:cs="Times New Roman"/>
          <w:color w:val="auto"/>
          <w:highlight w:val="none"/>
          <w:lang w:val="en-US"/>
        </w:rPr>
        <w:t>表3.9-6</w:t>
      </w:r>
      <w:r>
        <w:rPr>
          <w:rFonts w:hint="default" w:ascii="Times New Roman" w:hAnsi="Times New Roman" w:cs="Times New Roman"/>
          <w:color w:val="auto"/>
          <w:highlight w:val="none"/>
          <w:lang w:val="en-US"/>
        </w:rPr>
        <w:fldChar w:fldCharType="end"/>
      </w:r>
      <w:r>
        <w:rPr>
          <w:rFonts w:hint="default" w:ascii="Times New Roman" w:hAnsi="Times New Roman" w:cs="Times New Roman"/>
          <w:color w:val="auto"/>
          <w:highlight w:val="none"/>
        </w:rPr>
        <w:t>。</w:t>
      </w:r>
    </w:p>
    <w:p w14:paraId="20E94038">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lang w:val="en-US" w:eastAsia="zh-CN"/>
        </w:rPr>
      </w:pPr>
      <w:bookmarkStart w:id="106" w:name="_Ref12103"/>
      <w:r>
        <w:rPr>
          <w:rFonts w:hint="eastAsia"/>
          <w:color w:val="auto"/>
          <w:highlight w:val="none"/>
          <w:lang w:val="en-US" w:eastAsia="zh-CN"/>
        </w:rPr>
        <w:t xml:space="preserve"> 监测点位S1土壤理化特性</w:t>
      </w:r>
      <w:bookmarkEnd w:id="106"/>
    </w:p>
    <w:tbl>
      <w:tblPr>
        <w:tblStyle w:val="88"/>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2944"/>
        <w:gridCol w:w="2130"/>
        <w:gridCol w:w="2478"/>
      </w:tblGrid>
      <w:tr w14:paraId="745819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0" w:type="pct"/>
            <w:noWrap w:val="0"/>
            <w:vAlign w:val="center"/>
          </w:tcPr>
          <w:p w14:paraId="416DCE51">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检测点位</w:t>
            </w:r>
          </w:p>
        </w:tc>
        <w:tc>
          <w:tcPr>
            <w:tcW w:w="1667" w:type="pct"/>
            <w:noWrap w:val="0"/>
            <w:vAlign w:val="center"/>
          </w:tcPr>
          <w:p w14:paraId="2180C8E7">
            <w:pPr>
              <w:pStyle w:val="2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S1钦州港路北侧</w:t>
            </w:r>
          </w:p>
        </w:tc>
        <w:tc>
          <w:tcPr>
            <w:tcW w:w="1207" w:type="pct"/>
            <w:noWrap w:val="0"/>
            <w:vAlign w:val="center"/>
          </w:tcPr>
          <w:p w14:paraId="2F1C5AEF">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采样日期</w:t>
            </w:r>
          </w:p>
        </w:tc>
        <w:tc>
          <w:tcPr>
            <w:tcW w:w="1404" w:type="pct"/>
            <w:noWrap w:val="0"/>
            <w:vAlign w:val="center"/>
          </w:tcPr>
          <w:p w14:paraId="25D87BE4">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年</w:t>
            </w:r>
            <w:r>
              <w:rPr>
                <w:rFonts w:hint="default" w:ascii="Times New Roman" w:hAnsi="Times New Roman" w:cs="Times New Roman"/>
                <w:color w:val="auto"/>
                <w:sz w:val="21"/>
                <w:szCs w:val="21"/>
                <w:highlight w:val="none"/>
                <w:lang w:val="en-US" w:eastAsia="zh-CN"/>
              </w:rPr>
              <w:t>04</w:t>
            </w:r>
            <w:r>
              <w:rPr>
                <w:rFonts w:hint="default" w:ascii="Times New Roman" w:hAnsi="Times New Roman" w:cs="Times New Roman"/>
                <w:color w:val="auto"/>
                <w:sz w:val="21"/>
                <w:szCs w:val="21"/>
                <w:highlight w:val="none"/>
              </w:rPr>
              <w:t>月</w:t>
            </w:r>
            <w:r>
              <w:rPr>
                <w:rFonts w:hint="default" w:ascii="Times New Roman" w:hAnsi="Times New Roman" w:cs="Times New Roman"/>
                <w:color w:val="auto"/>
                <w:sz w:val="21"/>
                <w:szCs w:val="21"/>
                <w:highlight w:val="none"/>
                <w:lang w:val="en-US" w:eastAsia="zh-CN"/>
              </w:rPr>
              <w:t>21</w:t>
            </w:r>
            <w:r>
              <w:rPr>
                <w:rFonts w:hint="default" w:ascii="Times New Roman" w:hAnsi="Times New Roman" w:cs="Times New Roman"/>
                <w:color w:val="auto"/>
                <w:sz w:val="21"/>
                <w:szCs w:val="21"/>
                <w:highlight w:val="none"/>
              </w:rPr>
              <w:t>日</w:t>
            </w:r>
          </w:p>
        </w:tc>
      </w:tr>
      <w:tr w14:paraId="3EA719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0" w:type="pct"/>
            <w:noWrap w:val="0"/>
            <w:vAlign w:val="center"/>
          </w:tcPr>
          <w:p w14:paraId="5DB32338">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经度</w:t>
            </w:r>
          </w:p>
        </w:tc>
        <w:tc>
          <w:tcPr>
            <w:tcW w:w="1667" w:type="pct"/>
            <w:noWrap w:val="0"/>
            <w:vAlign w:val="center"/>
          </w:tcPr>
          <w:p w14:paraId="67354571">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E </w:t>
            </w:r>
            <w:r>
              <w:rPr>
                <w:rFonts w:hint="default" w:ascii="Times New Roman" w:hAnsi="Times New Roman" w:cs="Times New Roman"/>
                <w:color w:val="auto"/>
                <w:sz w:val="21"/>
                <w:szCs w:val="21"/>
                <w:highlight w:val="none"/>
                <w:lang w:val="en-US" w:eastAsia="zh-CN"/>
              </w:rPr>
              <w:t>108.672168</w:t>
            </w:r>
            <w:r>
              <w:rPr>
                <w:rFonts w:hint="default" w:ascii="Times New Roman" w:hAnsi="Times New Roman" w:cs="Times New Roman"/>
                <w:color w:val="auto"/>
                <w:sz w:val="21"/>
                <w:szCs w:val="21"/>
                <w:highlight w:val="none"/>
              </w:rPr>
              <w:t>°</w:t>
            </w:r>
          </w:p>
        </w:tc>
        <w:tc>
          <w:tcPr>
            <w:tcW w:w="1207" w:type="pct"/>
            <w:noWrap w:val="0"/>
            <w:vAlign w:val="center"/>
          </w:tcPr>
          <w:p w14:paraId="178E80BA">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纬度</w:t>
            </w:r>
          </w:p>
        </w:tc>
        <w:tc>
          <w:tcPr>
            <w:tcW w:w="1404" w:type="pct"/>
            <w:noWrap w:val="0"/>
            <w:vAlign w:val="center"/>
          </w:tcPr>
          <w:p w14:paraId="6BD8B4B5">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N </w:t>
            </w:r>
            <w:r>
              <w:rPr>
                <w:rFonts w:hint="default" w:ascii="Times New Roman" w:hAnsi="Times New Roman" w:cs="Times New Roman"/>
                <w:color w:val="auto"/>
                <w:sz w:val="21"/>
                <w:szCs w:val="21"/>
                <w:highlight w:val="none"/>
                <w:lang w:val="en-US" w:eastAsia="zh-CN"/>
              </w:rPr>
              <w:t>21.740846</w:t>
            </w:r>
            <w:r>
              <w:rPr>
                <w:rFonts w:hint="default" w:ascii="Times New Roman" w:hAnsi="Times New Roman" w:cs="Times New Roman"/>
                <w:color w:val="auto"/>
                <w:sz w:val="21"/>
                <w:szCs w:val="21"/>
                <w:highlight w:val="none"/>
              </w:rPr>
              <w:t>°</w:t>
            </w:r>
          </w:p>
        </w:tc>
      </w:tr>
      <w:tr w14:paraId="20C000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88" w:type="pct"/>
            <w:gridSpan w:val="2"/>
            <w:noWrap w:val="0"/>
            <w:vAlign w:val="center"/>
          </w:tcPr>
          <w:p w14:paraId="234560C5">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层次</w:t>
            </w:r>
          </w:p>
        </w:tc>
        <w:tc>
          <w:tcPr>
            <w:tcW w:w="2611" w:type="pct"/>
            <w:gridSpan w:val="2"/>
            <w:noWrap w:val="0"/>
            <w:vAlign w:val="center"/>
          </w:tcPr>
          <w:p w14:paraId="1C7EA9A5">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bCs/>
                <w:color w:val="auto"/>
                <w:sz w:val="21"/>
                <w:szCs w:val="21"/>
                <w:highlight w:val="none"/>
              </w:rPr>
              <w:t>m</w:t>
            </w:r>
          </w:p>
        </w:tc>
      </w:tr>
      <w:tr w14:paraId="52F2B5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0" w:type="pct"/>
            <w:vMerge w:val="restart"/>
            <w:noWrap w:val="0"/>
            <w:vAlign w:val="center"/>
          </w:tcPr>
          <w:p w14:paraId="14655697">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现场记录</w:t>
            </w:r>
          </w:p>
        </w:tc>
        <w:tc>
          <w:tcPr>
            <w:tcW w:w="1667" w:type="pct"/>
            <w:noWrap w:val="0"/>
            <w:vAlign w:val="center"/>
          </w:tcPr>
          <w:p w14:paraId="01F085DC">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颜色</w:t>
            </w:r>
          </w:p>
        </w:tc>
        <w:tc>
          <w:tcPr>
            <w:tcW w:w="2611" w:type="pct"/>
            <w:gridSpan w:val="2"/>
            <w:noWrap w:val="0"/>
            <w:vAlign w:val="center"/>
          </w:tcPr>
          <w:p w14:paraId="5900A20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棕黄色</w:t>
            </w:r>
          </w:p>
        </w:tc>
      </w:tr>
      <w:tr w14:paraId="65C8A3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0" w:type="pct"/>
            <w:vMerge w:val="continue"/>
            <w:noWrap w:val="0"/>
            <w:vAlign w:val="center"/>
          </w:tcPr>
          <w:p w14:paraId="0C9B8C41">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p>
        </w:tc>
        <w:tc>
          <w:tcPr>
            <w:tcW w:w="1667" w:type="pct"/>
            <w:noWrap w:val="0"/>
            <w:vAlign w:val="center"/>
          </w:tcPr>
          <w:p w14:paraId="7549046A">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结构</w:t>
            </w:r>
          </w:p>
        </w:tc>
        <w:tc>
          <w:tcPr>
            <w:tcW w:w="2611" w:type="pct"/>
            <w:gridSpan w:val="2"/>
            <w:noWrap w:val="0"/>
            <w:vAlign w:val="center"/>
          </w:tcPr>
          <w:p w14:paraId="75B5D2B5">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团状</w:t>
            </w:r>
          </w:p>
        </w:tc>
      </w:tr>
      <w:tr w14:paraId="0E34FE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0" w:type="pct"/>
            <w:vMerge w:val="continue"/>
            <w:noWrap w:val="0"/>
            <w:vAlign w:val="center"/>
          </w:tcPr>
          <w:p w14:paraId="5D50A921">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p>
        </w:tc>
        <w:tc>
          <w:tcPr>
            <w:tcW w:w="1667" w:type="pct"/>
            <w:noWrap w:val="0"/>
            <w:vAlign w:val="center"/>
          </w:tcPr>
          <w:p w14:paraId="6E626063">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质地</w:t>
            </w:r>
          </w:p>
        </w:tc>
        <w:tc>
          <w:tcPr>
            <w:tcW w:w="2611" w:type="pct"/>
            <w:gridSpan w:val="2"/>
            <w:noWrap w:val="0"/>
            <w:vAlign w:val="center"/>
          </w:tcPr>
          <w:p w14:paraId="3A9EB750">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轻壤土</w:t>
            </w:r>
          </w:p>
        </w:tc>
      </w:tr>
      <w:tr w14:paraId="68D568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0" w:type="pct"/>
            <w:vMerge w:val="continue"/>
            <w:noWrap w:val="0"/>
            <w:vAlign w:val="center"/>
          </w:tcPr>
          <w:p w14:paraId="39ADCD80">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p>
        </w:tc>
        <w:tc>
          <w:tcPr>
            <w:tcW w:w="1667" w:type="pct"/>
            <w:noWrap w:val="0"/>
            <w:vAlign w:val="center"/>
          </w:tcPr>
          <w:p w14:paraId="7A16533A">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砂砾含量</w:t>
            </w:r>
          </w:p>
        </w:tc>
        <w:tc>
          <w:tcPr>
            <w:tcW w:w="2611" w:type="pct"/>
            <w:gridSpan w:val="2"/>
            <w:noWrap w:val="0"/>
            <w:vAlign w:val="center"/>
          </w:tcPr>
          <w:p w14:paraId="08056DA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w:t>
            </w:r>
          </w:p>
        </w:tc>
      </w:tr>
      <w:tr w14:paraId="720FE5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0" w:type="pct"/>
            <w:vMerge w:val="continue"/>
            <w:noWrap w:val="0"/>
            <w:vAlign w:val="center"/>
          </w:tcPr>
          <w:p w14:paraId="21444EA4">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p>
        </w:tc>
        <w:tc>
          <w:tcPr>
            <w:tcW w:w="1667" w:type="pct"/>
            <w:noWrap w:val="0"/>
            <w:vAlign w:val="center"/>
          </w:tcPr>
          <w:p w14:paraId="381AA6D0">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其他异物</w:t>
            </w:r>
          </w:p>
        </w:tc>
        <w:tc>
          <w:tcPr>
            <w:tcW w:w="2611" w:type="pct"/>
            <w:gridSpan w:val="2"/>
            <w:noWrap w:val="0"/>
            <w:vAlign w:val="center"/>
          </w:tcPr>
          <w:p w14:paraId="14394902">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无</w:t>
            </w:r>
          </w:p>
        </w:tc>
      </w:tr>
      <w:tr w14:paraId="3371AB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0" w:type="pct"/>
            <w:vMerge w:val="restart"/>
            <w:noWrap w:val="0"/>
            <w:vAlign w:val="center"/>
          </w:tcPr>
          <w:p w14:paraId="22FBB7F1">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实验室</w:t>
            </w:r>
          </w:p>
          <w:p w14:paraId="3090A5DA">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测定</w:t>
            </w:r>
          </w:p>
        </w:tc>
        <w:tc>
          <w:tcPr>
            <w:tcW w:w="1667" w:type="pct"/>
            <w:noWrap w:val="0"/>
            <w:vAlign w:val="center"/>
          </w:tcPr>
          <w:p w14:paraId="51349E48">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阳离子交换量</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cmol</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rPr>
              <w:t>/kg）</w:t>
            </w:r>
          </w:p>
        </w:tc>
        <w:tc>
          <w:tcPr>
            <w:tcW w:w="2611" w:type="pct"/>
            <w:gridSpan w:val="2"/>
            <w:noWrap w:val="0"/>
            <w:vAlign w:val="center"/>
          </w:tcPr>
          <w:p w14:paraId="5679AD8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r>
      <w:tr w14:paraId="4511E4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0" w:type="pct"/>
            <w:vMerge w:val="continue"/>
            <w:noWrap w:val="0"/>
            <w:vAlign w:val="center"/>
          </w:tcPr>
          <w:p w14:paraId="2F9DE391">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p>
        </w:tc>
        <w:tc>
          <w:tcPr>
            <w:tcW w:w="1667" w:type="pct"/>
            <w:noWrap w:val="0"/>
            <w:vAlign w:val="center"/>
          </w:tcPr>
          <w:p w14:paraId="345BDA65">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氧化还原电位（mV）</w:t>
            </w:r>
          </w:p>
        </w:tc>
        <w:tc>
          <w:tcPr>
            <w:tcW w:w="2611" w:type="pct"/>
            <w:gridSpan w:val="2"/>
            <w:noWrap w:val="0"/>
            <w:vAlign w:val="center"/>
          </w:tcPr>
          <w:p w14:paraId="24224DA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r>
      <w:tr w14:paraId="235815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0" w:type="pct"/>
            <w:vMerge w:val="continue"/>
            <w:noWrap w:val="0"/>
            <w:vAlign w:val="center"/>
          </w:tcPr>
          <w:p w14:paraId="389FB3F0">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p>
        </w:tc>
        <w:tc>
          <w:tcPr>
            <w:tcW w:w="1667" w:type="pct"/>
            <w:noWrap w:val="0"/>
            <w:vAlign w:val="center"/>
          </w:tcPr>
          <w:p w14:paraId="41308B7E">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饱和导水率（mm/min）</w:t>
            </w:r>
          </w:p>
        </w:tc>
        <w:tc>
          <w:tcPr>
            <w:tcW w:w="2611" w:type="pct"/>
            <w:gridSpan w:val="2"/>
            <w:noWrap w:val="0"/>
            <w:vAlign w:val="center"/>
          </w:tcPr>
          <w:p w14:paraId="27CBE49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r>
      <w:tr w14:paraId="66EDE5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0" w:type="pct"/>
            <w:vMerge w:val="continue"/>
            <w:noWrap w:val="0"/>
            <w:vAlign w:val="center"/>
          </w:tcPr>
          <w:p w14:paraId="62AF256E">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p>
        </w:tc>
        <w:tc>
          <w:tcPr>
            <w:tcW w:w="1667" w:type="pct"/>
            <w:noWrap w:val="0"/>
            <w:vAlign w:val="center"/>
          </w:tcPr>
          <w:p w14:paraId="61C794A7">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土壤容重（g/cm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2611" w:type="pct"/>
            <w:gridSpan w:val="2"/>
            <w:noWrap w:val="0"/>
            <w:vAlign w:val="center"/>
          </w:tcPr>
          <w:p w14:paraId="0DE913C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r>
      <w:tr w14:paraId="382B2C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0" w:type="pct"/>
            <w:vMerge w:val="continue"/>
            <w:noWrap w:val="0"/>
            <w:vAlign w:val="center"/>
          </w:tcPr>
          <w:p w14:paraId="25386BB2">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p>
        </w:tc>
        <w:tc>
          <w:tcPr>
            <w:tcW w:w="1667" w:type="pct"/>
            <w:noWrap w:val="0"/>
            <w:vAlign w:val="center"/>
          </w:tcPr>
          <w:p w14:paraId="1D0D9BD9">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孔隙度（%）</w:t>
            </w:r>
          </w:p>
        </w:tc>
        <w:tc>
          <w:tcPr>
            <w:tcW w:w="2611" w:type="pct"/>
            <w:gridSpan w:val="2"/>
            <w:noWrap w:val="0"/>
            <w:vAlign w:val="center"/>
          </w:tcPr>
          <w:p w14:paraId="70DA29F9">
            <w:pPr>
              <w:pStyle w:val="30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cs="Times New Roman"/>
                <w:color w:val="auto"/>
                <w:highlight w:val="none"/>
                <w:u w:val="single"/>
                <w:lang w:val="en-US" w:eastAsia="zh-CN"/>
              </w:rPr>
              <w:t>****</w:t>
            </w:r>
          </w:p>
        </w:tc>
      </w:tr>
    </w:tbl>
    <w:p w14:paraId="720FAE94">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lang w:val="en-US" w:eastAsia="zh-CN"/>
        </w:rPr>
      </w:pPr>
      <w:r>
        <w:rPr>
          <w:rFonts w:hint="eastAsia"/>
          <w:color w:val="auto"/>
          <w:highlight w:val="none"/>
          <w:lang w:val="en-US" w:eastAsia="zh-CN"/>
        </w:rPr>
        <w:t xml:space="preserve"> 监测点位S2土壤理化特性</w:t>
      </w:r>
    </w:p>
    <w:tbl>
      <w:tblPr>
        <w:tblStyle w:val="88"/>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72"/>
        <w:gridCol w:w="2939"/>
        <w:gridCol w:w="2134"/>
        <w:gridCol w:w="2478"/>
      </w:tblGrid>
      <w:tr w14:paraId="1AC4DC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noWrap w:val="0"/>
            <w:vAlign w:val="center"/>
          </w:tcPr>
          <w:p w14:paraId="4E614887">
            <w:pPr>
              <w:pStyle w:val="30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检测点位</w:t>
            </w:r>
          </w:p>
        </w:tc>
        <w:tc>
          <w:tcPr>
            <w:tcW w:w="1664" w:type="pct"/>
            <w:noWrap w:val="0"/>
            <w:vAlign w:val="center"/>
          </w:tcPr>
          <w:p w14:paraId="5725FEB8">
            <w:pPr>
              <w:pStyle w:val="30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S2项目钦州港路和水系改造交汇处</w:t>
            </w:r>
          </w:p>
        </w:tc>
        <w:tc>
          <w:tcPr>
            <w:tcW w:w="1209" w:type="pct"/>
            <w:noWrap w:val="0"/>
            <w:vAlign w:val="center"/>
          </w:tcPr>
          <w:p w14:paraId="7C7EB620">
            <w:pPr>
              <w:pStyle w:val="30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采样日期</w:t>
            </w:r>
          </w:p>
        </w:tc>
        <w:tc>
          <w:tcPr>
            <w:tcW w:w="1404" w:type="pct"/>
            <w:noWrap w:val="0"/>
            <w:vAlign w:val="center"/>
          </w:tcPr>
          <w:p w14:paraId="3F74BF73">
            <w:pPr>
              <w:pStyle w:val="30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年</w:t>
            </w:r>
            <w:r>
              <w:rPr>
                <w:rFonts w:hint="default" w:ascii="Times New Roman" w:hAnsi="Times New Roman" w:eastAsia="宋体" w:cs="Times New Roman"/>
                <w:color w:val="auto"/>
                <w:sz w:val="21"/>
                <w:szCs w:val="21"/>
                <w:highlight w:val="none"/>
                <w:lang w:val="en-US" w:eastAsia="zh-CN"/>
              </w:rPr>
              <w:t>04</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21</w:t>
            </w:r>
            <w:r>
              <w:rPr>
                <w:rFonts w:hint="default" w:ascii="Times New Roman" w:hAnsi="Times New Roman" w:eastAsia="宋体" w:cs="Times New Roman"/>
                <w:color w:val="auto"/>
                <w:sz w:val="21"/>
                <w:szCs w:val="21"/>
                <w:highlight w:val="none"/>
              </w:rPr>
              <w:t>日</w:t>
            </w:r>
          </w:p>
        </w:tc>
      </w:tr>
      <w:tr w14:paraId="66786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noWrap w:val="0"/>
            <w:vAlign w:val="center"/>
          </w:tcPr>
          <w:p w14:paraId="7DC8ED0E">
            <w:pPr>
              <w:pStyle w:val="30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经度</w:t>
            </w:r>
          </w:p>
        </w:tc>
        <w:tc>
          <w:tcPr>
            <w:tcW w:w="1664" w:type="pct"/>
            <w:noWrap w:val="0"/>
            <w:vAlign w:val="center"/>
          </w:tcPr>
          <w:p w14:paraId="47CA460A">
            <w:pPr>
              <w:pStyle w:val="30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E </w:t>
            </w:r>
            <w:r>
              <w:rPr>
                <w:rFonts w:hint="default" w:ascii="Times New Roman" w:hAnsi="Times New Roman" w:eastAsia="宋体" w:cs="Times New Roman"/>
                <w:color w:val="auto"/>
                <w:sz w:val="21"/>
                <w:szCs w:val="21"/>
                <w:highlight w:val="none"/>
                <w:lang w:val="en-US" w:eastAsia="zh-CN"/>
              </w:rPr>
              <w:t>108.672469</w:t>
            </w:r>
            <w:r>
              <w:rPr>
                <w:rFonts w:hint="default" w:ascii="Times New Roman" w:hAnsi="Times New Roman" w:eastAsia="宋体" w:cs="Times New Roman"/>
                <w:color w:val="auto"/>
                <w:sz w:val="21"/>
                <w:szCs w:val="21"/>
                <w:highlight w:val="none"/>
              </w:rPr>
              <w:t>°</w:t>
            </w:r>
          </w:p>
        </w:tc>
        <w:tc>
          <w:tcPr>
            <w:tcW w:w="1209" w:type="pct"/>
            <w:noWrap w:val="0"/>
            <w:vAlign w:val="center"/>
          </w:tcPr>
          <w:p w14:paraId="7D7F764E">
            <w:pPr>
              <w:pStyle w:val="30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纬度</w:t>
            </w:r>
          </w:p>
        </w:tc>
        <w:tc>
          <w:tcPr>
            <w:tcW w:w="1404" w:type="pct"/>
            <w:noWrap w:val="0"/>
            <w:vAlign w:val="center"/>
          </w:tcPr>
          <w:p w14:paraId="6BEA5A58">
            <w:pPr>
              <w:pStyle w:val="30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N </w:t>
            </w:r>
            <w:r>
              <w:rPr>
                <w:rFonts w:hint="default" w:ascii="Times New Roman" w:hAnsi="Times New Roman" w:eastAsia="宋体" w:cs="Times New Roman"/>
                <w:color w:val="auto"/>
                <w:sz w:val="21"/>
                <w:szCs w:val="21"/>
                <w:highlight w:val="none"/>
                <w:lang w:val="en-US" w:eastAsia="zh-CN"/>
              </w:rPr>
              <w:t>21.739532</w:t>
            </w:r>
            <w:r>
              <w:rPr>
                <w:rFonts w:hint="default" w:ascii="Times New Roman" w:hAnsi="Times New Roman" w:eastAsia="宋体" w:cs="Times New Roman"/>
                <w:color w:val="auto"/>
                <w:sz w:val="21"/>
                <w:szCs w:val="21"/>
                <w:highlight w:val="none"/>
              </w:rPr>
              <w:t>°</w:t>
            </w:r>
          </w:p>
        </w:tc>
      </w:tr>
      <w:tr w14:paraId="2E163C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6" w:type="pct"/>
            <w:gridSpan w:val="2"/>
            <w:noWrap w:val="0"/>
            <w:vAlign w:val="center"/>
          </w:tcPr>
          <w:p w14:paraId="1E3EA1B8">
            <w:pPr>
              <w:pStyle w:val="30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层次</w:t>
            </w:r>
          </w:p>
        </w:tc>
        <w:tc>
          <w:tcPr>
            <w:tcW w:w="2613" w:type="pct"/>
            <w:gridSpan w:val="2"/>
            <w:noWrap w:val="0"/>
            <w:vAlign w:val="center"/>
          </w:tcPr>
          <w:p w14:paraId="221782B3">
            <w:pPr>
              <w:pStyle w:val="30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m</w:t>
            </w:r>
          </w:p>
        </w:tc>
      </w:tr>
      <w:tr w14:paraId="6F531E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restart"/>
            <w:noWrap w:val="0"/>
            <w:vAlign w:val="center"/>
          </w:tcPr>
          <w:p w14:paraId="7B4C1C1F">
            <w:pPr>
              <w:pStyle w:val="30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现场记录</w:t>
            </w:r>
          </w:p>
        </w:tc>
        <w:tc>
          <w:tcPr>
            <w:tcW w:w="1664" w:type="pct"/>
            <w:noWrap w:val="0"/>
            <w:vAlign w:val="center"/>
          </w:tcPr>
          <w:p w14:paraId="642BF911">
            <w:pPr>
              <w:pStyle w:val="30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颜色</w:t>
            </w:r>
          </w:p>
        </w:tc>
        <w:tc>
          <w:tcPr>
            <w:tcW w:w="2613" w:type="pct"/>
            <w:gridSpan w:val="2"/>
            <w:noWrap w:val="0"/>
            <w:vAlign w:val="center"/>
          </w:tcPr>
          <w:p w14:paraId="478616A9">
            <w:pPr>
              <w:pStyle w:val="306"/>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棕黄色</w:t>
            </w:r>
          </w:p>
        </w:tc>
      </w:tr>
      <w:tr w14:paraId="1CC704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14:paraId="42368F42">
            <w:pPr>
              <w:pStyle w:val="306"/>
              <w:spacing w:line="240" w:lineRule="auto"/>
              <w:jc w:val="center"/>
              <w:rPr>
                <w:rFonts w:hint="default" w:ascii="Times New Roman" w:hAnsi="Times New Roman" w:eastAsia="宋体" w:cs="Times New Roman"/>
                <w:color w:val="auto"/>
                <w:sz w:val="21"/>
                <w:szCs w:val="21"/>
                <w:highlight w:val="none"/>
              </w:rPr>
            </w:pPr>
          </w:p>
        </w:tc>
        <w:tc>
          <w:tcPr>
            <w:tcW w:w="1664" w:type="pct"/>
            <w:noWrap w:val="0"/>
            <w:vAlign w:val="center"/>
          </w:tcPr>
          <w:p w14:paraId="7FAC36B9">
            <w:pPr>
              <w:pStyle w:val="30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结构</w:t>
            </w:r>
          </w:p>
        </w:tc>
        <w:tc>
          <w:tcPr>
            <w:tcW w:w="2613" w:type="pct"/>
            <w:gridSpan w:val="2"/>
            <w:noWrap w:val="0"/>
            <w:vAlign w:val="center"/>
          </w:tcPr>
          <w:p w14:paraId="62393785">
            <w:pPr>
              <w:pStyle w:val="306"/>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团状</w:t>
            </w:r>
          </w:p>
        </w:tc>
      </w:tr>
      <w:tr w14:paraId="3E2552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14:paraId="696DD730">
            <w:pPr>
              <w:pStyle w:val="306"/>
              <w:spacing w:line="240" w:lineRule="auto"/>
              <w:jc w:val="center"/>
              <w:rPr>
                <w:rFonts w:hint="default" w:ascii="Times New Roman" w:hAnsi="Times New Roman" w:eastAsia="宋体" w:cs="Times New Roman"/>
                <w:color w:val="auto"/>
                <w:sz w:val="21"/>
                <w:szCs w:val="21"/>
                <w:highlight w:val="none"/>
              </w:rPr>
            </w:pPr>
          </w:p>
        </w:tc>
        <w:tc>
          <w:tcPr>
            <w:tcW w:w="1664" w:type="pct"/>
            <w:noWrap w:val="0"/>
            <w:vAlign w:val="center"/>
          </w:tcPr>
          <w:p w14:paraId="6DCDC5D0">
            <w:pPr>
              <w:pStyle w:val="30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质地</w:t>
            </w:r>
          </w:p>
        </w:tc>
        <w:tc>
          <w:tcPr>
            <w:tcW w:w="2613" w:type="pct"/>
            <w:gridSpan w:val="2"/>
            <w:noWrap w:val="0"/>
            <w:vAlign w:val="center"/>
          </w:tcPr>
          <w:p w14:paraId="49D8C72D">
            <w:pPr>
              <w:pStyle w:val="306"/>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轻壤土</w:t>
            </w:r>
          </w:p>
        </w:tc>
      </w:tr>
      <w:tr w14:paraId="2960B6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14:paraId="0D28F93D">
            <w:pPr>
              <w:pStyle w:val="306"/>
              <w:spacing w:line="240" w:lineRule="auto"/>
              <w:jc w:val="center"/>
              <w:rPr>
                <w:rFonts w:hint="default" w:ascii="Times New Roman" w:hAnsi="Times New Roman" w:eastAsia="宋体" w:cs="Times New Roman"/>
                <w:color w:val="auto"/>
                <w:sz w:val="21"/>
                <w:szCs w:val="21"/>
                <w:highlight w:val="none"/>
              </w:rPr>
            </w:pPr>
          </w:p>
        </w:tc>
        <w:tc>
          <w:tcPr>
            <w:tcW w:w="1664" w:type="pct"/>
            <w:noWrap w:val="0"/>
            <w:vAlign w:val="center"/>
          </w:tcPr>
          <w:p w14:paraId="1666CE53">
            <w:pPr>
              <w:pStyle w:val="30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砂砾含量</w:t>
            </w:r>
          </w:p>
        </w:tc>
        <w:tc>
          <w:tcPr>
            <w:tcW w:w="2613" w:type="pct"/>
            <w:gridSpan w:val="2"/>
            <w:noWrap w:val="0"/>
            <w:vAlign w:val="center"/>
          </w:tcPr>
          <w:p w14:paraId="16DF9DDC">
            <w:pPr>
              <w:pStyle w:val="306"/>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r>
      <w:tr w14:paraId="0F527B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14:paraId="5C821C94">
            <w:pPr>
              <w:pStyle w:val="306"/>
              <w:spacing w:line="240" w:lineRule="auto"/>
              <w:jc w:val="center"/>
              <w:rPr>
                <w:rFonts w:hint="default" w:ascii="Times New Roman" w:hAnsi="Times New Roman" w:eastAsia="宋体" w:cs="Times New Roman"/>
                <w:color w:val="auto"/>
                <w:sz w:val="21"/>
                <w:szCs w:val="21"/>
                <w:highlight w:val="none"/>
              </w:rPr>
            </w:pPr>
          </w:p>
        </w:tc>
        <w:tc>
          <w:tcPr>
            <w:tcW w:w="1664" w:type="pct"/>
            <w:noWrap w:val="0"/>
            <w:vAlign w:val="center"/>
          </w:tcPr>
          <w:p w14:paraId="37821BA4">
            <w:pPr>
              <w:pStyle w:val="30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其他异物</w:t>
            </w:r>
          </w:p>
        </w:tc>
        <w:tc>
          <w:tcPr>
            <w:tcW w:w="2613" w:type="pct"/>
            <w:gridSpan w:val="2"/>
            <w:noWrap w:val="0"/>
            <w:vAlign w:val="center"/>
          </w:tcPr>
          <w:p w14:paraId="07B1A6AF">
            <w:pPr>
              <w:pStyle w:val="306"/>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w:t>
            </w:r>
          </w:p>
        </w:tc>
      </w:tr>
      <w:tr w14:paraId="36675A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restart"/>
            <w:noWrap w:val="0"/>
            <w:vAlign w:val="center"/>
          </w:tcPr>
          <w:p w14:paraId="023AA0AE">
            <w:pPr>
              <w:pStyle w:val="30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实验室</w:t>
            </w:r>
          </w:p>
          <w:p w14:paraId="7CA82B6F">
            <w:pPr>
              <w:pStyle w:val="30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测定</w:t>
            </w:r>
          </w:p>
        </w:tc>
        <w:tc>
          <w:tcPr>
            <w:tcW w:w="1664" w:type="pct"/>
            <w:noWrap w:val="0"/>
            <w:vAlign w:val="center"/>
          </w:tcPr>
          <w:p w14:paraId="43FC7AC4">
            <w:pPr>
              <w:pStyle w:val="30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阳离子交换量</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cmol+/kg）</w:t>
            </w:r>
          </w:p>
        </w:tc>
        <w:tc>
          <w:tcPr>
            <w:tcW w:w="2613" w:type="pct"/>
            <w:gridSpan w:val="2"/>
            <w:noWrap w:val="0"/>
            <w:vAlign w:val="center"/>
          </w:tcPr>
          <w:p w14:paraId="39CD5662">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r>
      <w:tr w14:paraId="1194C5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14:paraId="7FEA9536">
            <w:pPr>
              <w:pStyle w:val="306"/>
              <w:spacing w:line="240" w:lineRule="auto"/>
              <w:jc w:val="center"/>
              <w:rPr>
                <w:rFonts w:hint="default" w:ascii="Times New Roman" w:hAnsi="Times New Roman" w:eastAsia="宋体" w:cs="Times New Roman"/>
                <w:color w:val="auto"/>
                <w:sz w:val="21"/>
                <w:szCs w:val="21"/>
                <w:highlight w:val="none"/>
              </w:rPr>
            </w:pPr>
          </w:p>
        </w:tc>
        <w:tc>
          <w:tcPr>
            <w:tcW w:w="1664" w:type="pct"/>
            <w:noWrap w:val="0"/>
            <w:vAlign w:val="center"/>
          </w:tcPr>
          <w:p w14:paraId="23AE7633">
            <w:pPr>
              <w:pStyle w:val="30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氧化还原电位（mV）</w:t>
            </w:r>
          </w:p>
        </w:tc>
        <w:tc>
          <w:tcPr>
            <w:tcW w:w="2613" w:type="pct"/>
            <w:gridSpan w:val="2"/>
            <w:noWrap w:val="0"/>
            <w:vAlign w:val="center"/>
          </w:tcPr>
          <w:p w14:paraId="4A14E1EE">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r>
      <w:tr w14:paraId="3B2506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14:paraId="632C01B6">
            <w:pPr>
              <w:pStyle w:val="306"/>
              <w:spacing w:line="240" w:lineRule="auto"/>
              <w:jc w:val="center"/>
              <w:rPr>
                <w:rFonts w:hint="default" w:ascii="Times New Roman" w:hAnsi="Times New Roman" w:eastAsia="宋体" w:cs="Times New Roman"/>
                <w:color w:val="auto"/>
                <w:sz w:val="21"/>
                <w:szCs w:val="21"/>
                <w:highlight w:val="none"/>
              </w:rPr>
            </w:pPr>
          </w:p>
        </w:tc>
        <w:tc>
          <w:tcPr>
            <w:tcW w:w="1664" w:type="pct"/>
            <w:noWrap w:val="0"/>
            <w:vAlign w:val="center"/>
          </w:tcPr>
          <w:p w14:paraId="65AE8A58">
            <w:pPr>
              <w:pStyle w:val="30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饱和导水率（mm/min）</w:t>
            </w:r>
          </w:p>
        </w:tc>
        <w:tc>
          <w:tcPr>
            <w:tcW w:w="2613" w:type="pct"/>
            <w:gridSpan w:val="2"/>
            <w:noWrap w:val="0"/>
            <w:vAlign w:val="center"/>
          </w:tcPr>
          <w:p w14:paraId="187FF9D3">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r>
      <w:tr w14:paraId="4AC3F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14:paraId="54534B4A">
            <w:pPr>
              <w:pStyle w:val="306"/>
              <w:spacing w:line="240" w:lineRule="auto"/>
              <w:jc w:val="center"/>
              <w:rPr>
                <w:rFonts w:hint="default" w:ascii="Times New Roman" w:hAnsi="Times New Roman" w:eastAsia="宋体" w:cs="Times New Roman"/>
                <w:color w:val="auto"/>
                <w:sz w:val="21"/>
                <w:szCs w:val="21"/>
                <w:highlight w:val="none"/>
              </w:rPr>
            </w:pPr>
          </w:p>
        </w:tc>
        <w:tc>
          <w:tcPr>
            <w:tcW w:w="1664" w:type="pct"/>
            <w:noWrap w:val="0"/>
            <w:vAlign w:val="center"/>
          </w:tcPr>
          <w:p w14:paraId="375A7AFF">
            <w:pPr>
              <w:pStyle w:val="30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土壤容重（g/cm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2613" w:type="pct"/>
            <w:gridSpan w:val="2"/>
            <w:noWrap w:val="0"/>
            <w:vAlign w:val="center"/>
          </w:tcPr>
          <w:p w14:paraId="4995A521">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r>
      <w:tr w14:paraId="3E7C65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14:paraId="3DDA1802">
            <w:pPr>
              <w:pStyle w:val="306"/>
              <w:spacing w:line="240" w:lineRule="auto"/>
              <w:jc w:val="center"/>
              <w:rPr>
                <w:rFonts w:hint="default" w:ascii="Times New Roman" w:hAnsi="Times New Roman" w:eastAsia="宋体" w:cs="Times New Roman"/>
                <w:color w:val="auto"/>
                <w:sz w:val="21"/>
                <w:szCs w:val="21"/>
                <w:highlight w:val="none"/>
              </w:rPr>
            </w:pPr>
          </w:p>
        </w:tc>
        <w:tc>
          <w:tcPr>
            <w:tcW w:w="1664" w:type="pct"/>
            <w:noWrap w:val="0"/>
            <w:vAlign w:val="center"/>
          </w:tcPr>
          <w:p w14:paraId="6CEC99F1">
            <w:pPr>
              <w:pStyle w:val="30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孔隙度（%）</w:t>
            </w:r>
          </w:p>
        </w:tc>
        <w:tc>
          <w:tcPr>
            <w:tcW w:w="2613" w:type="pct"/>
            <w:gridSpan w:val="2"/>
            <w:noWrap w:val="0"/>
            <w:vAlign w:val="center"/>
          </w:tcPr>
          <w:p w14:paraId="3E7C87B4">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r>
    </w:tbl>
    <w:p w14:paraId="06330438">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lang w:val="en-US" w:eastAsia="zh-CN"/>
        </w:rPr>
      </w:pPr>
      <w:bookmarkStart w:id="107" w:name="_Ref12244"/>
      <w:r>
        <w:rPr>
          <w:rFonts w:hint="eastAsia"/>
          <w:color w:val="auto"/>
          <w:highlight w:val="none"/>
          <w:lang w:val="en-US" w:eastAsia="zh-CN"/>
        </w:rPr>
        <w:t xml:space="preserve"> 监测点位S3土壤理化特性</w:t>
      </w:r>
      <w:bookmarkEnd w:id="107"/>
    </w:p>
    <w:tbl>
      <w:tblPr>
        <w:tblStyle w:val="8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72"/>
        <w:gridCol w:w="2851"/>
        <w:gridCol w:w="2221"/>
        <w:gridCol w:w="2480"/>
      </w:tblGrid>
      <w:tr w14:paraId="6D8AB1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noWrap w:val="0"/>
            <w:vAlign w:val="center"/>
          </w:tcPr>
          <w:p w14:paraId="3BDCD619">
            <w:pPr>
              <w:pStyle w:val="306"/>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检测点位</w:t>
            </w:r>
          </w:p>
        </w:tc>
        <w:tc>
          <w:tcPr>
            <w:tcW w:w="1615" w:type="pct"/>
            <w:noWrap w:val="0"/>
            <w:vAlign w:val="center"/>
          </w:tcPr>
          <w:p w14:paraId="0F1BD37C">
            <w:pPr>
              <w:pStyle w:val="2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S3项目东北侧350米处</w:t>
            </w:r>
          </w:p>
        </w:tc>
        <w:tc>
          <w:tcPr>
            <w:tcW w:w="1258" w:type="pct"/>
            <w:noWrap w:val="0"/>
            <w:vAlign w:val="center"/>
          </w:tcPr>
          <w:p w14:paraId="3FEC90E2">
            <w:pPr>
              <w:pStyle w:val="306"/>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采样日期</w:t>
            </w:r>
          </w:p>
        </w:tc>
        <w:tc>
          <w:tcPr>
            <w:tcW w:w="1404" w:type="pct"/>
            <w:noWrap w:val="0"/>
            <w:vAlign w:val="center"/>
          </w:tcPr>
          <w:p w14:paraId="0C9D669A">
            <w:pPr>
              <w:pStyle w:val="306"/>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年</w:t>
            </w:r>
            <w:r>
              <w:rPr>
                <w:rFonts w:hint="default" w:ascii="Times New Roman" w:hAnsi="Times New Roman" w:cs="Times New Roman"/>
                <w:color w:val="auto"/>
                <w:sz w:val="21"/>
                <w:szCs w:val="21"/>
                <w:highlight w:val="none"/>
                <w:lang w:val="en-US" w:eastAsia="zh-CN"/>
              </w:rPr>
              <w:t>04</w:t>
            </w:r>
            <w:r>
              <w:rPr>
                <w:rFonts w:hint="default" w:ascii="Times New Roman" w:hAnsi="Times New Roman" w:cs="Times New Roman"/>
                <w:color w:val="auto"/>
                <w:sz w:val="21"/>
                <w:szCs w:val="21"/>
                <w:highlight w:val="none"/>
              </w:rPr>
              <w:t>月</w:t>
            </w:r>
            <w:r>
              <w:rPr>
                <w:rFonts w:hint="default" w:ascii="Times New Roman" w:hAnsi="Times New Roman" w:cs="Times New Roman"/>
                <w:color w:val="auto"/>
                <w:sz w:val="21"/>
                <w:szCs w:val="21"/>
                <w:highlight w:val="none"/>
                <w:lang w:val="en-US" w:eastAsia="zh-CN"/>
              </w:rPr>
              <w:t>21</w:t>
            </w:r>
            <w:r>
              <w:rPr>
                <w:rFonts w:hint="default" w:ascii="Times New Roman" w:hAnsi="Times New Roman" w:cs="Times New Roman"/>
                <w:color w:val="auto"/>
                <w:sz w:val="21"/>
                <w:szCs w:val="21"/>
                <w:highlight w:val="none"/>
              </w:rPr>
              <w:t>日</w:t>
            </w:r>
          </w:p>
        </w:tc>
      </w:tr>
      <w:tr w14:paraId="0B0E9D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noWrap w:val="0"/>
            <w:vAlign w:val="center"/>
          </w:tcPr>
          <w:p w14:paraId="0775733C">
            <w:pPr>
              <w:pStyle w:val="306"/>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经度</w:t>
            </w:r>
          </w:p>
        </w:tc>
        <w:tc>
          <w:tcPr>
            <w:tcW w:w="1615" w:type="pct"/>
            <w:noWrap w:val="0"/>
            <w:vAlign w:val="center"/>
          </w:tcPr>
          <w:p w14:paraId="04A7A5C2">
            <w:pPr>
              <w:pStyle w:val="306"/>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E </w:t>
            </w:r>
            <w:r>
              <w:rPr>
                <w:rFonts w:hint="default" w:ascii="Times New Roman" w:hAnsi="Times New Roman" w:cs="Times New Roman"/>
                <w:color w:val="auto"/>
                <w:sz w:val="21"/>
                <w:szCs w:val="21"/>
                <w:highlight w:val="none"/>
                <w:lang w:val="en-US" w:eastAsia="zh-CN"/>
              </w:rPr>
              <w:t>108.676856</w:t>
            </w:r>
            <w:r>
              <w:rPr>
                <w:rFonts w:hint="default" w:ascii="Times New Roman" w:hAnsi="Times New Roman" w:cs="Times New Roman"/>
                <w:color w:val="auto"/>
                <w:sz w:val="21"/>
                <w:szCs w:val="21"/>
                <w:highlight w:val="none"/>
              </w:rPr>
              <w:t>°</w:t>
            </w:r>
          </w:p>
        </w:tc>
        <w:tc>
          <w:tcPr>
            <w:tcW w:w="1258" w:type="pct"/>
            <w:noWrap w:val="0"/>
            <w:vAlign w:val="center"/>
          </w:tcPr>
          <w:p w14:paraId="0838D93D">
            <w:pPr>
              <w:pStyle w:val="306"/>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纬度</w:t>
            </w:r>
          </w:p>
        </w:tc>
        <w:tc>
          <w:tcPr>
            <w:tcW w:w="1404" w:type="pct"/>
            <w:noWrap w:val="0"/>
            <w:vAlign w:val="center"/>
          </w:tcPr>
          <w:p w14:paraId="06F316F2">
            <w:pPr>
              <w:pStyle w:val="306"/>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N </w:t>
            </w:r>
            <w:r>
              <w:rPr>
                <w:rFonts w:hint="default" w:ascii="Times New Roman" w:hAnsi="Times New Roman" w:cs="Times New Roman"/>
                <w:color w:val="auto"/>
                <w:sz w:val="21"/>
                <w:szCs w:val="21"/>
                <w:highlight w:val="none"/>
                <w:lang w:val="en-US" w:eastAsia="zh-CN"/>
              </w:rPr>
              <w:t>21.741652</w:t>
            </w:r>
            <w:r>
              <w:rPr>
                <w:rFonts w:hint="default" w:ascii="Times New Roman" w:hAnsi="Times New Roman" w:cs="Times New Roman"/>
                <w:color w:val="auto"/>
                <w:sz w:val="21"/>
                <w:szCs w:val="21"/>
                <w:highlight w:val="none"/>
              </w:rPr>
              <w:t>°</w:t>
            </w:r>
          </w:p>
        </w:tc>
      </w:tr>
      <w:tr w14:paraId="6D442D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6" w:type="pct"/>
            <w:gridSpan w:val="2"/>
            <w:noWrap w:val="0"/>
            <w:vAlign w:val="center"/>
          </w:tcPr>
          <w:p w14:paraId="77CC52F8">
            <w:pPr>
              <w:pStyle w:val="306"/>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层次</w:t>
            </w:r>
          </w:p>
        </w:tc>
        <w:tc>
          <w:tcPr>
            <w:tcW w:w="2663" w:type="pct"/>
            <w:gridSpan w:val="2"/>
            <w:noWrap w:val="0"/>
            <w:vAlign w:val="center"/>
          </w:tcPr>
          <w:p w14:paraId="475A855B">
            <w:pPr>
              <w:pStyle w:val="306"/>
              <w:spacing w:line="24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bCs/>
                <w:color w:val="auto"/>
                <w:sz w:val="21"/>
                <w:szCs w:val="21"/>
                <w:highlight w:val="none"/>
              </w:rPr>
              <w:t>m</w:t>
            </w:r>
          </w:p>
        </w:tc>
      </w:tr>
      <w:tr w14:paraId="743B96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restart"/>
            <w:noWrap w:val="0"/>
            <w:vAlign w:val="center"/>
          </w:tcPr>
          <w:p w14:paraId="0188225E">
            <w:pPr>
              <w:pStyle w:val="306"/>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现场记录</w:t>
            </w:r>
          </w:p>
        </w:tc>
        <w:tc>
          <w:tcPr>
            <w:tcW w:w="1615" w:type="pct"/>
            <w:noWrap w:val="0"/>
            <w:vAlign w:val="center"/>
          </w:tcPr>
          <w:p w14:paraId="6FE1F31F">
            <w:pPr>
              <w:pStyle w:val="306"/>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颜色</w:t>
            </w:r>
          </w:p>
        </w:tc>
        <w:tc>
          <w:tcPr>
            <w:tcW w:w="2663" w:type="pct"/>
            <w:gridSpan w:val="2"/>
            <w:noWrap w:val="0"/>
            <w:vAlign w:val="center"/>
          </w:tcPr>
          <w:p w14:paraId="5E944F49">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棕黄色</w:t>
            </w:r>
          </w:p>
        </w:tc>
      </w:tr>
      <w:tr w14:paraId="04AAA7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14:paraId="594A5170">
            <w:pPr>
              <w:pStyle w:val="306"/>
              <w:spacing w:line="240" w:lineRule="auto"/>
              <w:jc w:val="center"/>
              <w:rPr>
                <w:rFonts w:hint="default" w:ascii="Times New Roman" w:hAnsi="Times New Roman" w:cs="Times New Roman"/>
                <w:color w:val="auto"/>
                <w:sz w:val="21"/>
                <w:szCs w:val="21"/>
                <w:highlight w:val="none"/>
              </w:rPr>
            </w:pPr>
          </w:p>
        </w:tc>
        <w:tc>
          <w:tcPr>
            <w:tcW w:w="1615" w:type="pct"/>
            <w:noWrap w:val="0"/>
            <w:vAlign w:val="center"/>
          </w:tcPr>
          <w:p w14:paraId="176AAEF8">
            <w:pPr>
              <w:pStyle w:val="306"/>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结构</w:t>
            </w:r>
          </w:p>
        </w:tc>
        <w:tc>
          <w:tcPr>
            <w:tcW w:w="2663" w:type="pct"/>
            <w:gridSpan w:val="2"/>
            <w:noWrap w:val="0"/>
            <w:vAlign w:val="center"/>
          </w:tcPr>
          <w:p w14:paraId="5CB5F01F">
            <w:pPr>
              <w:pStyle w:val="306"/>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团状</w:t>
            </w:r>
          </w:p>
        </w:tc>
      </w:tr>
      <w:tr w14:paraId="3F5CC1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14:paraId="1201BE30">
            <w:pPr>
              <w:pStyle w:val="306"/>
              <w:spacing w:line="240" w:lineRule="auto"/>
              <w:jc w:val="center"/>
              <w:rPr>
                <w:rFonts w:hint="default" w:ascii="Times New Roman" w:hAnsi="Times New Roman" w:cs="Times New Roman"/>
                <w:color w:val="auto"/>
                <w:sz w:val="21"/>
                <w:szCs w:val="21"/>
                <w:highlight w:val="none"/>
              </w:rPr>
            </w:pPr>
          </w:p>
        </w:tc>
        <w:tc>
          <w:tcPr>
            <w:tcW w:w="1615" w:type="pct"/>
            <w:noWrap w:val="0"/>
            <w:vAlign w:val="center"/>
          </w:tcPr>
          <w:p w14:paraId="2450E5BA">
            <w:pPr>
              <w:pStyle w:val="306"/>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质地</w:t>
            </w:r>
          </w:p>
        </w:tc>
        <w:tc>
          <w:tcPr>
            <w:tcW w:w="2663" w:type="pct"/>
            <w:gridSpan w:val="2"/>
            <w:noWrap w:val="0"/>
            <w:vAlign w:val="center"/>
          </w:tcPr>
          <w:p w14:paraId="4DB0EC46">
            <w:pPr>
              <w:pStyle w:val="306"/>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轻壤土</w:t>
            </w:r>
          </w:p>
        </w:tc>
      </w:tr>
      <w:tr w14:paraId="79EA2E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14:paraId="12700F0D">
            <w:pPr>
              <w:pStyle w:val="306"/>
              <w:spacing w:line="240" w:lineRule="auto"/>
              <w:jc w:val="center"/>
              <w:rPr>
                <w:rFonts w:hint="default" w:ascii="Times New Roman" w:hAnsi="Times New Roman" w:cs="Times New Roman"/>
                <w:color w:val="auto"/>
                <w:sz w:val="21"/>
                <w:szCs w:val="21"/>
                <w:highlight w:val="none"/>
              </w:rPr>
            </w:pPr>
          </w:p>
        </w:tc>
        <w:tc>
          <w:tcPr>
            <w:tcW w:w="1615" w:type="pct"/>
            <w:noWrap w:val="0"/>
            <w:vAlign w:val="center"/>
          </w:tcPr>
          <w:p w14:paraId="718AEB82">
            <w:pPr>
              <w:pStyle w:val="306"/>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砂砾含量</w:t>
            </w:r>
          </w:p>
        </w:tc>
        <w:tc>
          <w:tcPr>
            <w:tcW w:w="2663" w:type="pct"/>
            <w:gridSpan w:val="2"/>
            <w:noWrap w:val="0"/>
            <w:vAlign w:val="center"/>
          </w:tcPr>
          <w:p w14:paraId="3A7DA37D">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w:t>
            </w:r>
          </w:p>
        </w:tc>
      </w:tr>
      <w:tr w14:paraId="6AAF0F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14:paraId="0231ED5C">
            <w:pPr>
              <w:pStyle w:val="306"/>
              <w:spacing w:line="240" w:lineRule="auto"/>
              <w:jc w:val="center"/>
              <w:rPr>
                <w:rFonts w:hint="default" w:ascii="Times New Roman" w:hAnsi="Times New Roman" w:cs="Times New Roman"/>
                <w:color w:val="auto"/>
                <w:sz w:val="21"/>
                <w:szCs w:val="21"/>
                <w:highlight w:val="none"/>
              </w:rPr>
            </w:pPr>
          </w:p>
        </w:tc>
        <w:tc>
          <w:tcPr>
            <w:tcW w:w="1615" w:type="pct"/>
            <w:noWrap w:val="0"/>
            <w:vAlign w:val="center"/>
          </w:tcPr>
          <w:p w14:paraId="098F98CB">
            <w:pPr>
              <w:pStyle w:val="306"/>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其他异物</w:t>
            </w:r>
          </w:p>
        </w:tc>
        <w:tc>
          <w:tcPr>
            <w:tcW w:w="2663" w:type="pct"/>
            <w:gridSpan w:val="2"/>
            <w:noWrap w:val="0"/>
            <w:vAlign w:val="center"/>
          </w:tcPr>
          <w:p w14:paraId="6BFED7A3">
            <w:pPr>
              <w:pStyle w:val="306"/>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无</w:t>
            </w:r>
          </w:p>
        </w:tc>
      </w:tr>
      <w:tr w14:paraId="3EA5E4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restart"/>
            <w:noWrap w:val="0"/>
            <w:vAlign w:val="center"/>
          </w:tcPr>
          <w:p w14:paraId="359FC610">
            <w:pPr>
              <w:pStyle w:val="306"/>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实验室</w:t>
            </w:r>
          </w:p>
          <w:p w14:paraId="01C80977">
            <w:pPr>
              <w:pStyle w:val="306"/>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测定</w:t>
            </w:r>
          </w:p>
        </w:tc>
        <w:tc>
          <w:tcPr>
            <w:tcW w:w="1615" w:type="pct"/>
            <w:noWrap w:val="0"/>
            <w:vAlign w:val="center"/>
          </w:tcPr>
          <w:p w14:paraId="1E94F2C0">
            <w:pPr>
              <w:pStyle w:val="306"/>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阳离子交换量</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cmol</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rPr>
              <w:t>/kg）</w:t>
            </w:r>
          </w:p>
        </w:tc>
        <w:tc>
          <w:tcPr>
            <w:tcW w:w="2663" w:type="pct"/>
            <w:gridSpan w:val="2"/>
            <w:noWrap w:val="0"/>
            <w:vAlign w:val="center"/>
          </w:tcPr>
          <w:p w14:paraId="65567118">
            <w:pPr>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r>
      <w:tr w14:paraId="218181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14:paraId="17103FC5">
            <w:pPr>
              <w:pStyle w:val="306"/>
              <w:spacing w:line="240" w:lineRule="auto"/>
              <w:jc w:val="center"/>
              <w:rPr>
                <w:rFonts w:hint="default" w:ascii="Times New Roman" w:hAnsi="Times New Roman" w:cs="Times New Roman"/>
                <w:color w:val="auto"/>
                <w:sz w:val="21"/>
                <w:szCs w:val="21"/>
                <w:highlight w:val="none"/>
              </w:rPr>
            </w:pPr>
          </w:p>
        </w:tc>
        <w:tc>
          <w:tcPr>
            <w:tcW w:w="1615" w:type="pct"/>
            <w:noWrap w:val="0"/>
            <w:vAlign w:val="center"/>
          </w:tcPr>
          <w:p w14:paraId="4FF95E84">
            <w:pPr>
              <w:pStyle w:val="306"/>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氧化还原电位（mV）</w:t>
            </w:r>
          </w:p>
        </w:tc>
        <w:tc>
          <w:tcPr>
            <w:tcW w:w="2663" w:type="pct"/>
            <w:gridSpan w:val="2"/>
            <w:noWrap w:val="0"/>
            <w:vAlign w:val="center"/>
          </w:tcPr>
          <w:p w14:paraId="76B9A032">
            <w:pPr>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r>
      <w:tr w14:paraId="59BE5F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14:paraId="652E4B79">
            <w:pPr>
              <w:pStyle w:val="306"/>
              <w:spacing w:line="240" w:lineRule="auto"/>
              <w:jc w:val="center"/>
              <w:rPr>
                <w:rFonts w:hint="default" w:ascii="Times New Roman" w:hAnsi="Times New Roman" w:cs="Times New Roman"/>
                <w:color w:val="auto"/>
                <w:sz w:val="21"/>
                <w:szCs w:val="21"/>
                <w:highlight w:val="none"/>
              </w:rPr>
            </w:pPr>
          </w:p>
        </w:tc>
        <w:tc>
          <w:tcPr>
            <w:tcW w:w="1615" w:type="pct"/>
            <w:noWrap w:val="0"/>
            <w:vAlign w:val="center"/>
          </w:tcPr>
          <w:p w14:paraId="6F3B7C5D">
            <w:pPr>
              <w:pStyle w:val="306"/>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饱和导水率（mm/min）</w:t>
            </w:r>
          </w:p>
        </w:tc>
        <w:tc>
          <w:tcPr>
            <w:tcW w:w="2663" w:type="pct"/>
            <w:gridSpan w:val="2"/>
            <w:noWrap w:val="0"/>
            <w:vAlign w:val="center"/>
          </w:tcPr>
          <w:p w14:paraId="0CA4BF4D">
            <w:pPr>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r>
      <w:tr w14:paraId="41C3DC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14:paraId="0362CD24">
            <w:pPr>
              <w:pStyle w:val="306"/>
              <w:spacing w:line="240" w:lineRule="auto"/>
              <w:jc w:val="center"/>
              <w:rPr>
                <w:rFonts w:hint="default" w:ascii="Times New Roman" w:hAnsi="Times New Roman" w:cs="Times New Roman"/>
                <w:color w:val="auto"/>
                <w:sz w:val="21"/>
                <w:szCs w:val="21"/>
                <w:highlight w:val="none"/>
              </w:rPr>
            </w:pPr>
          </w:p>
        </w:tc>
        <w:tc>
          <w:tcPr>
            <w:tcW w:w="1615" w:type="pct"/>
            <w:noWrap w:val="0"/>
            <w:vAlign w:val="center"/>
          </w:tcPr>
          <w:p w14:paraId="2082DB2A">
            <w:pPr>
              <w:pStyle w:val="306"/>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土壤容重（g/cm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2663" w:type="pct"/>
            <w:gridSpan w:val="2"/>
            <w:noWrap w:val="0"/>
            <w:vAlign w:val="center"/>
          </w:tcPr>
          <w:p w14:paraId="3FA7A256">
            <w:pPr>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r>
      <w:tr w14:paraId="44CD7D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1" w:type="pct"/>
            <w:vMerge w:val="continue"/>
            <w:noWrap w:val="0"/>
            <w:vAlign w:val="center"/>
          </w:tcPr>
          <w:p w14:paraId="7A3EC117">
            <w:pPr>
              <w:pStyle w:val="306"/>
              <w:spacing w:line="240" w:lineRule="auto"/>
              <w:ind w:firstLine="420"/>
              <w:jc w:val="center"/>
              <w:rPr>
                <w:rFonts w:hint="default" w:ascii="Times New Roman" w:hAnsi="Times New Roman" w:cs="Times New Roman"/>
                <w:color w:val="auto"/>
                <w:sz w:val="21"/>
                <w:szCs w:val="21"/>
                <w:highlight w:val="none"/>
              </w:rPr>
            </w:pPr>
          </w:p>
        </w:tc>
        <w:tc>
          <w:tcPr>
            <w:tcW w:w="1615" w:type="pct"/>
            <w:noWrap w:val="0"/>
            <w:vAlign w:val="center"/>
          </w:tcPr>
          <w:p w14:paraId="783FC184">
            <w:pPr>
              <w:pStyle w:val="306"/>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孔隙度（%）</w:t>
            </w:r>
          </w:p>
        </w:tc>
        <w:tc>
          <w:tcPr>
            <w:tcW w:w="2663" w:type="pct"/>
            <w:gridSpan w:val="2"/>
            <w:noWrap w:val="0"/>
            <w:vAlign w:val="center"/>
          </w:tcPr>
          <w:p w14:paraId="2E51D069">
            <w:pPr>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szCs w:val="24"/>
                <w:highlight w:val="none"/>
                <w:u w:val="single"/>
                <w:lang w:val="en-US" w:eastAsia="zh-CN"/>
              </w:rPr>
              <w:t>****</w:t>
            </w:r>
          </w:p>
        </w:tc>
      </w:tr>
    </w:tbl>
    <w:p w14:paraId="0D723358">
      <w:pPr>
        <w:pStyle w:val="268"/>
        <w:keepNext w:val="0"/>
        <w:keepLines w:val="0"/>
        <w:pageBreakBefore w:val="0"/>
        <w:widowControl w:val="0"/>
        <w:numPr>
          <w:ilvl w:val="4"/>
          <w:numId w:val="0"/>
        </w:numPr>
        <w:tabs>
          <w:tab w:val="clear" w:pos="0"/>
          <w:tab w:val="clear" w:pos="2127"/>
        </w:tabs>
        <w:kinsoku/>
        <w:wordWrap/>
        <w:overflowPunct/>
        <w:topLinePunct w:val="0"/>
        <w:autoSpaceDE/>
        <w:autoSpaceDN/>
        <w:bidi w:val="0"/>
        <w:adjustRightInd/>
        <w:snapToGrid/>
        <w:ind w:left="0" w:leftChars="0" w:firstLine="0"/>
        <w:jc w:val="both"/>
        <w:textAlignment w:val="auto"/>
        <w:rPr>
          <w:rFonts w:hint="default" w:ascii="Times New Roman" w:hAnsi="Times New Roman" w:cs="Times New Roman"/>
          <w:color w:val="auto"/>
          <w:highlight w:val="none"/>
        </w:rPr>
        <w:sectPr>
          <w:headerReference r:id="rId12" w:type="default"/>
          <w:pgSz w:w="11906" w:h="16838"/>
          <w:pgMar w:top="1418" w:right="1514" w:bottom="1418" w:left="1780" w:header="1134" w:footer="992" w:gutter="0"/>
          <w:cols w:space="720" w:num="1"/>
          <w:docGrid w:type="linesAndChars" w:linePitch="466" w:charSpace="-3928"/>
        </w:sectPr>
      </w:pPr>
    </w:p>
    <w:p w14:paraId="77D2DA36">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color w:val="auto"/>
          <w:highlight w:val="none"/>
        </w:rPr>
      </w:pPr>
      <w:bookmarkStart w:id="108" w:name="_Ref15441"/>
      <w:r>
        <w:rPr>
          <w:rFonts w:hint="eastAsia" w:cs="Times New Roman"/>
          <w:color w:val="auto"/>
          <w:highlight w:val="none"/>
          <w:lang w:val="en-US" w:eastAsia="zh-CN"/>
        </w:rPr>
        <w:t>土壤环境监测结果</w:t>
      </w:r>
      <w:bookmarkEnd w:id="108"/>
    </w:p>
    <w:tbl>
      <w:tblPr>
        <w:tblStyle w:val="87"/>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1489"/>
        <w:gridCol w:w="1426"/>
        <w:gridCol w:w="958"/>
        <w:gridCol w:w="835"/>
        <w:gridCol w:w="825"/>
        <w:gridCol w:w="1441"/>
        <w:gridCol w:w="1143"/>
        <w:gridCol w:w="1186"/>
        <w:gridCol w:w="1135"/>
        <w:gridCol w:w="638"/>
        <w:gridCol w:w="1092"/>
        <w:gridCol w:w="994"/>
      </w:tblGrid>
      <w:tr w14:paraId="1CA288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7" w:type="pct"/>
            <w:vMerge w:val="restart"/>
            <w:noWrap w:val="0"/>
            <w:vAlign w:val="center"/>
          </w:tcPr>
          <w:p w14:paraId="2F54AD60">
            <w:pPr>
              <w:pStyle w:val="79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采样日期</w:t>
            </w:r>
          </w:p>
        </w:tc>
        <w:tc>
          <w:tcPr>
            <w:tcW w:w="524" w:type="pct"/>
            <w:vMerge w:val="restart"/>
            <w:noWrap w:val="0"/>
            <w:vAlign w:val="center"/>
          </w:tcPr>
          <w:p w14:paraId="100E7F96">
            <w:pPr>
              <w:pStyle w:val="79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检测项目</w:t>
            </w:r>
          </w:p>
        </w:tc>
        <w:tc>
          <w:tcPr>
            <w:tcW w:w="501" w:type="pct"/>
            <w:vMerge w:val="restart"/>
            <w:noWrap w:val="0"/>
            <w:vAlign w:val="center"/>
          </w:tcPr>
          <w:p w14:paraId="18BF6ED0">
            <w:pPr>
              <w:pStyle w:val="79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标准值</w:t>
            </w:r>
          </w:p>
        </w:tc>
        <w:tc>
          <w:tcPr>
            <w:tcW w:w="3256" w:type="pct"/>
            <w:gridSpan w:val="9"/>
            <w:noWrap w:val="0"/>
            <w:vAlign w:val="center"/>
          </w:tcPr>
          <w:p w14:paraId="3EF13016">
            <w:pPr>
              <w:pStyle w:val="79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检测点位及检测结果</w:t>
            </w:r>
          </w:p>
        </w:tc>
        <w:tc>
          <w:tcPr>
            <w:tcW w:w="349" w:type="pct"/>
            <w:vMerge w:val="restart"/>
            <w:noWrap w:val="0"/>
            <w:vAlign w:val="center"/>
          </w:tcPr>
          <w:p w14:paraId="1A1BD268">
            <w:pPr>
              <w:pStyle w:val="79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单位</w:t>
            </w:r>
          </w:p>
        </w:tc>
      </w:tr>
      <w:tr w14:paraId="77D15F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367" w:type="pct"/>
            <w:vMerge w:val="continue"/>
            <w:noWrap w:val="0"/>
            <w:vAlign w:val="center"/>
          </w:tcPr>
          <w:p w14:paraId="3BB24D39">
            <w:pPr>
              <w:pStyle w:val="790"/>
              <w:jc w:val="center"/>
              <w:rPr>
                <w:rFonts w:hint="default" w:ascii="Times New Roman" w:hAnsi="Times New Roman" w:cs="Times New Roman"/>
                <w:color w:val="auto"/>
                <w:sz w:val="21"/>
                <w:szCs w:val="21"/>
                <w:highlight w:val="none"/>
              </w:rPr>
            </w:pPr>
          </w:p>
        </w:tc>
        <w:tc>
          <w:tcPr>
            <w:tcW w:w="524" w:type="pct"/>
            <w:vMerge w:val="continue"/>
            <w:noWrap w:val="0"/>
            <w:vAlign w:val="center"/>
          </w:tcPr>
          <w:p w14:paraId="5D5DDD1A">
            <w:pPr>
              <w:pStyle w:val="790"/>
              <w:jc w:val="center"/>
              <w:rPr>
                <w:rFonts w:hint="default" w:ascii="Times New Roman" w:hAnsi="Times New Roman" w:cs="Times New Roman"/>
                <w:color w:val="auto"/>
                <w:sz w:val="21"/>
                <w:szCs w:val="21"/>
                <w:highlight w:val="none"/>
              </w:rPr>
            </w:pPr>
          </w:p>
        </w:tc>
        <w:tc>
          <w:tcPr>
            <w:tcW w:w="501" w:type="pct"/>
            <w:vMerge w:val="continue"/>
            <w:noWrap w:val="0"/>
            <w:vAlign w:val="center"/>
          </w:tcPr>
          <w:p w14:paraId="2F7378F1">
            <w:pPr>
              <w:pStyle w:val="20"/>
              <w:ind w:firstLine="0" w:firstLineChars="0"/>
              <w:jc w:val="center"/>
              <w:rPr>
                <w:rFonts w:hint="default" w:ascii="Times New Roman" w:hAnsi="Times New Roman" w:eastAsia="宋体" w:cs="Times New Roman"/>
                <w:color w:val="auto"/>
                <w:sz w:val="21"/>
                <w:szCs w:val="21"/>
                <w:highlight w:val="none"/>
                <w:lang w:val="en-US" w:eastAsia="zh-CN"/>
              </w:rPr>
            </w:pPr>
          </w:p>
        </w:tc>
        <w:tc>
          <w:tcPr>
            <w:tcW w:w="921" w:type="pct"/>
            <w:gridSpan w:val="3"/>
            <w:noWrap w:val="0"/>
            <w:vAlign w:val="center"/>
          </w:tcPr>
          <w:p w14:paraId="32A84408">
            <w:pPr>
              <w:pStyle w:val="2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S1钦州港路北侧</w:t>
            </w:r>
          </w:p>
        </w:tc>
        <w:tc>
          <w:tcPr>
            <w:tcW w:w="1326" w:type="pct"/>
            <w:gridSpan w:val="3"/>
            <w:noWrap w:val="0"/>
            <w:vAlign w:val="center"/>
          </w:tcPr>
          <w:p w14:paraId="0BF8A14A">
            <w:pPr>
              <w:pStyle w:val="2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S2项目钦州港路和水系改造交汇处</w:t>
            </w:r>
          </w:p>
        </w:tc>
        <w:tc>
          <w:tcPr>
            <w:tcW w:w="1008" w:type="pct"/>
            <w:gridSpan w:val="3"/>
            <w:noWrap w:val="0"/>
            <w:vAlign w:val="center"/>
          </w:tcPr>
          <w:p w14:paraId="10133255">
            <w:pPr>
              <w:pStyle w:val="2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S3项目东北侧350米处</w:t>
            </w:r>
          </w:p>
        </w:tc>
        <w:tc>
          <w:tcPr>
            <w:tcW w:w="349" w:type="pct"/>
            <w:vMerge w:val="continue"/>
            <w:noWrap w:val="0"/>
            <w:vAlign w:val="center"/>
          </w:tcPr>
          <w:p w14:paraId="5C3192F6">
            <w:pPr>
              <w:pStyle w:val="20"/>
              <w:ind w:firstLine="0" w:firstLineChars="0"/>
              <w:jc w:val="center"/>
              <w:rPr>
                <w:rFonts w:hint="default" w:ascii="Times New Roman" w:hAnsi="Times New Roman" w:cs="Times New Roman"/>
                <w:color w:val="auto"/>
                <w:sz w:val="21"/>
                <w:szCs w:val="21"/>
                <w:highlight w:val="none"/>
              </w:rPr>
            </w:pPr>
          </w:p>
        </w:tc>
      </w:tr>
      <w:tr w14:paraId="1E532D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367" w:type="pct"/>
            <w:vMerge w:val="continue"/>
            <w:noWrap w:val="0"/>
            <w:vAlign w:val="center"/>
          </w:tcPr>
          <w:p w14:paraId="37C67385">
            <w:pPr>
              <w:pStyle w:val="20"/>
              <w:ind w:firstLine="0" w:firstLineChars="0"/>
              <w:jc w:val="center"/>
              <w:rPr>
                <w:rFonts w:hint="default" w:ascii="Times New Roman" w:hAnsi="Times New Roman" w:cs="Times New Roman"/>
                <w:color w:val="auto"/>
                <w:sz w:val="21"/>
                <w:szCs w:val="21"/>
                <w:highlight w:val="none"/>
              </w:rPr>
            </w:pPr>
          </w:p>
        </w:tc>
        <w:tc>
          <w:tcPr>
            <w:tcW w:w="524" w:type="pct"/>
            <w:vMerge w:val="continue"/>
            <w:noWrap w:val="0"/>
            <w:vAlign w:val="center"/>
          </w:tcPr>
          <w:p w14:paraId="747C2BC1">
            <w:pPr>
              <w:pStyle w:val="20"/>
              <w:ind w:firstLine="0" w:firstLineChars="0"/>
              <w:jc w:val="center"/>
              <w:rPr>
                <w:rFonts w:hint="default" w:ascii="Times New Roman" w:hAnsi="Times New Roman" w:cs="Times New Roman"/>
                <w:color w:val="auto"/>
                <w:sz w:val="21"/>
                <w:szCs w:val="21"/>
                <w:highlight w:val="none"/>
              </w:rPr>
            </w:pPr>
          </w:p>
        </w:tc>
        <w:tc>
          <w:tcPr>
            <w:tcW w:w="501" w:type="pct"/>
            <w:vMerge w:val="continue"/>
            <w:noWrap w:val="0"/>
            <w:vAlign w:val="center"/>
          </w:tcPr>
          <w:p w14:paraId="4E7230A9">
            <w:pPr>
              <w:pStyle w:val="20"/>
              <w:ind w:firstLine="0" w:firstLineChars="0"/>
              <w:jc w:val="center"/>
              <w:rPr>
                <w:rFonts w:hint="default" w:ascii="Times New Roman" w:hAnsi="Times New Roman" w:cs="Times New Roman"/>
                <w:color w:val="auto"/>
                <w:sz w:val="21"/>
                <w:szCs w:val="21"/>
                <w:highlight w:val="none"/>
              </w:rPr>
            </w:pPr>
          </w:p>
        </w:tc>
        <w:tc>
          <w:tcPr>
            <w:tcW w:w="337" w:type="pct"/>
            <w:noWrap w:val="0"/>
            <w:vAlign w:val="center"/>
          </w:tcPr>
          <w:p w14:paraId="0470A644">
            <w:pPr>
              <w:pStyle w:val="2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监测值</w:t>
            </w:r>
          </w:p>
        </w:tc>
        <w:tc>
          <w:tcPr>
            <w:tcW w:w="293" w:type="pct"/>
            <w:noWrap w:val="0"/>
            <w:vAlign w:val="center"/>
          </w:tcPr>
          <w:p w14:paraId="3EF8A208">
            <w:pPr>
              <w:pStyle w:val="2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Pi</w:t>
            </w:r>
          </w:p>
        </w:tc>
        <w:tc>
          <w:tcPr>
            <w:tcW w:w="290" w:type="pct"/>
            <w:noWrap w:val="0"/>
            <w:vAlign w:val="center"/>
          </w:tcPr>
          <w:p w14:paraId="72085945">
            <w:pPr>
              <w:pStyle w:val="2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达标情况</w:t>
            </w:r>
          </w:p>
        </w:tc>
        <w:tc>
          <w:tcPr>
            <w:tcW w:w="507" w:type="pct"/>
            <w:noWrap w:val="0"/>
            <w:vAlign w:val="center"/>
          </w:tcPr>
          <w:p w14:paraId="26B99B6B">
            <w:pPr>
              <w:pStyle w:val="2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监测值</w:t>
            </w:r>
          </w:p>
        </w:tc>
        <w:tc>
          <w:tcPr>
            <w:tcW w:w="402" w:type="pct"/>
            <w:noWrap w:val="0"/>
            <w:vAlign w:val="center"/>
          </w:tcPr>
          <w:p w14:paraId="4A3E4F8F">
            <w:pPr>
              <w:pStyle w:val="2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Pi</w:t>
            </w:r>
          </w:p>
        </w:tc>
        <w:tc>
          <w:tcPr>
            <w:tcW w:w="417" w:type="pct"/>
            <w:noWrap w:val="0"/>
            <w:vAlign w:val="center"/>
          </w:tcPr>
          <w:p w14:paraId="7BB7583E">
            <w:pPr>
              <w:pStyle w:val="2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达标情况</w:t>
            </w:r>
          </w:p>
        </w:tc>
        <w:tc>
          <w:tcPr>
            <w:tcW w:w="399" w:type="pct"/>
            <w:noWrap w:val="0"/>
            <w:vAlign w:val="center"/>
          </w:tcPr>
          <w:p w14:paraId="5FD5E7B0">
            <w:pPr>
              <w:pStyle w:val="2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监测值</w:t>
            </w:r>
          </w:p>
        </w:tc>
        <w:tc>
          <w:tcPr>
            <w:tcW w:w="224" w:type="pct"/>
            <w:noWrap w:val="0"/>
            <w:vAlign w:val="center"/>
          </w:tcPr>
          <w:p w14:paraId="44492FBA">
            <w:pPr>
              <w:pStyle w:val="2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Pi</w:t>
            </w:r>
          </w:p>
        </w:tc>
        <w:tc>
          <w:tcPr>
            <w:tcW w:w="384" w:type="pct"/>
            <w:noWrap w:val="0"/>
            <w:vAlign w:val="center"/>
          </w:tcPr>
          <w:p w14:paraId="0EE86B5A">
            <w:pPr>
              <w:pStyle w:val="2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达标情况</w:t>
            </w:r>
          </w:p>
        </w:tc>
        <w:tc>
          <w:tcPr>
            <w:tcW w:w="349" w:type="pct"/>
            <w:vMerge w:val="continue"/>
            <w:noWrap w:val="0"/>
            <w:vAlign w:val="center"/>
          </w:tcPr>
          <w:p w14:paraId="3D1AA9D1">
            <w:pPr>
              <w:pStyle w:val="20"/>
              <w:ind w:firstLine="0" w:firstLineChars="0"/>
              <w:jc w:val="center"/>
              <w:rPr>
                <w:rFonts w:hint="default" w:ascii="Times New Roman" w:hAnsi="Times New Roman" w:eastAsia="宋体" w:cs="Times New Roman"/>
                <w:color w:val="auto"/>
                <w:sz w:val="21"/>
                <w:szCs w:val="21"/>
                <w:highlight w:val="none"/>
                <w:lang w:val="en-US" w:eastAsia="zh-CN"/>
              </w:rPr>
            </w:pPr>
          </w:p>
        </w:tc>
      </w:tr>
      <w:tr w14:paraId="766F8E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7" w:type="pct"/>
            <w:vMerge w:val="restart"/>
            <w:noWrap w:val="0"/>
            <w:vAlign w:val="center"/>
          </w:tcPr>
          <w:p w14:paraId="56B18E1E">
            <w:pPr>
              <w:pStyle w:val="79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2025.04.21</w:t>
            </w:r>
          </w:p>
        </w:tc>
        <w:tc>
          <w:tcPr>
            <w:tcW w:w="524" w:type="pct"/>
            <w:noWrap w:val="0"/>
            <w:vAlign w:val="center"/>
          </w:tcPr>
          <w:p w14:paraId="483CC8DC">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pH</w:t>
            </w:r>
            <w:r>
              <w:rPr>
                <w:rFonts w:hint="default" w:ascii="Times New Roman" w:hAnsi="Times New Roman" w:cs="Times New Roman"/>
                <w:color w:val="auto"/>
                <w:sz w:val="21"/>
                <w:szCs w:val="21"/>
                <w:highlight w:val="none"/>
                <w:lang w:eastAsia="zh-CN"/>
              </w:rPr>
              <w:t>值</w:t>
            </w:r>
          </w:p>
        </w:tc>
        <w:tc>
          <w:tcPr>
            <w:tcW w:w="501" w:type="pct"/>
            <w:noWrap w:val="0"/>
            <w:vAlign w:val="center"/>
          </w:tcPr>
          <w:p w14:paraId="6866A57E">
            <w:pPr>
              <w:pStyle w:val="20"/>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6.5＜</w:t>
            </w:r>
            <w:r>
              <w:rPr>
                <w:rFonts w:hint="default" w:ascii="Times New Roman" w:hAnsi="Times New Roman" w:eastAsia="宋体" w:cs="Times New Roman"/>
                <w:color w:val="auto"/>
                <w:sz w:val="21"/>
                <w:szCs w:val="21"/>
                <w:highlight w:val="none"/>
              </w:rPr>
              <w:t>pH</w:t>
            </w:r>
            <w:r>
              <w:rPr>
                <w:rFonts w:hint="eastAsia" w:ascii="Times New Roman" w:hAnsi="Times New Roman" w:eastAsia="宋体" w:cs="Times New Roman"/>
                <w:color w:val="auto"/>
                <w:sz w:val="21"/>
                <w:szCs w:val="21"/>
                <w:highlight w:val="none"/>
                <w:lang w:val="en-US" w:eastAsia="zh-CN"/>
              </w:rPr>
              <w:t>≤7.5</w:t>
            </w:r>
          </w:p>
        </w:tc>
        <w:tc>
          <w:tcPr>
            <w:tcW w:w="337" w:type="pct"/>
            <w:noWrap w:val="0"/>
            <w:vAlign w:val="center"/>
          </w:tcPr>
          <w:p w14:paraId="77DF1BEA">
            <w:pPr>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293" w:type="pct"/>
            <w:noWrap w:val="0"/>
            <w:vAlign w:val="center"/>
          </w:tcPr>
          <w:p w14:paraId="2842D63D">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290" w:type="pct"/>
            <w:noWrap w:val="0"/>
            <w:vAlign w:val="center"/>
          </w:tcPr>
          <w:p w14:paraId="324BE0E2">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507" w:type="pct"/>
            <w:noWrap w:val="0"/>
            <w:vAlign w:val="center"/>
          </w:tcPr>
          <w:p w14:paraId="4BFBC3B9">
            <w:pPr>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02" w:type="pct"/>
            <w:noWrap w:val="0"/>
            <w:vAlign w:val="center"/>
          </w:tcPr>
          <w:p w14:paraId="70B4EEF8">
            <w:pPr>
              <w:ind w:firstLine="0" w:firstLineChars="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17" w:type="pct"/>
            <w:noWrap w:val="0"/>
            <w:vAlign w:val="center"/>
          </w:tcPr>
          <w:p w14:paraId="504246AE">
            <w:pPr>
              <w:ind w:firstLine="0" w:firstLineChars="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399" w:type="pct"/>
            <w:noWrap w:val="0"/>
            <w:vAlign w:val="center"/>
          </w:tcPr>
          <w:p w14:paraId="22A26112">
            <w:pPr>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224" w:type="pct"/>
            <w:noWrap w:val="0"/>
            <w:vAlign w:val="center"/>
          </w:tcPr>
          <w:p w14:paraId="1D012366">
            <w:pPr>
              <w:ind w:firstLine="0" w:firstLineChars="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84" w:type="pct"/>
            <w:noWrap w:val="0"/>
            <w:vAlign w:val="center"/>
          </w:tcPr>
          <w:p w14:paraId="063D9398">
            <w:pPr>
              <w:ind w:firstLine="0" w:firstLineChars="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349" w:type="pct"/>
            <w:noWrap w:val="0"/>
            <w:vAlign w:val="center"/>
          </w:tcPr>
          <w:p w14:paraId="3E34428C">
            <w:pPr>
              <w:pStyle w:val="20"/>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无量纲</w:t>
            </w:r>
          </w:p>
        </w:tc>
      </w:tr>
      <w:tr w14:paraId="7B0BA5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7" w:type="pct"/>
            <w:vMerge w:val="continue"/>
            <w:noWrap w:val="0"/>
            <w:vAlign w:val="center"/>
          </w:tcPr>
          <w:p w14:paraId="677CC470">
            <w:pPr>
              <w:pStyle w:val="790"/>
              <w:jc w:val="center"/>
              <w:rPr>
                <w:rFonts w:hint="default" w:ascii="Times New Roman" w:hAnsi="Times New Roman" w:cs="Times New Roman"/>
                <w:color w:val="auto"/>
                <w:sz w:val="21"/>
                <w:szCs w:val="21"/>
                <w:highlight w:val="none"/>
              </w:rPr>
            </w:pPr>
          </w:p>
        </w:tc>
        <w:tc>
          <w:tcPr>
            <w:tcW w:w="524" w:type="pct"/>
            <w:noWrap w:val="0"/>
            <w:vAlign w:val="center"/>
          </w:tcPr>
          <w:p w14:paraId="37E94CC3">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水溶性盐总量</w:t>
            </w:r>
          </w:p>
        </w:tc>
        <w:tc>
          <w:tcPr>
            <w:tcW w:w="501" w:type="pct"/>
            <w:noWrap w:val="0"/>
            <w:vAlign w:val="center"/>
          </w:tcPr>
          <w:p w14:paraId="0C2CD6B0">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337" w:type="pct"/>
            <w:noWrap w:val="0"/>
            <w:vAlign w:val="center"/>
          </w:tcPr>
          <w:p w14:paraId="03C0C9D9">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293" w:type="pct"/>
            <w:noWrap w:val="0"/>
            <w:vAlign w:val="center"/>
          </w:tcPr>
          <w:p w14:paraId="5C0595BF">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290" w:type="pct"/>
            <w:noWrap w:val="0"/>
            <w:vAlign w:val="center"/>
          </w:tcPr>
          <w:p w14:paraId="20568B18">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507" w:type="pct"/>
            <w:noWrap w:val="0"/>
            <w:vAlign w:val="center"/>
          </w:tcPr>
          <w:p w14:paraId="271DF831">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02" w:type="pct"/>
            <w:noWrap w:val="0"/>
            <w:vAlign w:val="center"/>
          </w:tcPr>
          <w:p w14:paraId="7FCF3150">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17" w:type="pct"/>
            <w:noWrap w:val="0"/>
            <w:vAlign w:val="center"/>
          </w:tcPr>
          <w:p w14:paraId="1882C6A0">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399" w:type="pct"/>
            <w:noWrap w:val="0"/>
            <w:vAlign w:val="center"/>
          </w:tcPr>
          <w:p w14:paraId="0CA60AA5">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224" w:type="pct"/>
            <w:noWrap w:val="0"/>
            <w:vAlign w:val="center"/>
          </w:tcPr>
          <w:p w14:paraId="5F912C46">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84" w:type="pct"/>
            <w:noWrap w:val="0"/>
            <w:vAlign w:val="center"/>
          </w:tcPr>
          <w:p w14:paraId="69CA0801">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349" w:type="pct"/>
            <w:noWrap w:val="0"/>
            <w:vAlign w:val="center"/>
          </w:tcPr>
          <w:p w14:paraId="2720AC1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g/kg</w:t>
            </w:r>
          </w:p>
        </w:tc>
      </w:tr>
      <w:tr w14:paraId="13D84C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7" w:type="pct"/>
            <w:vMerge w:val="continue"/>
            <w:noWrap w:val="0"/>
            <w:vAlign w:val="center"/>
          </w:tcPr>
          <w:p w14:paraId="56A28501">
            <w:pPr>
              <w:pStyle w:val="790"/>
              <w:jc w:val="center"/>
              <w:rPr>
                <w:rFonts w:hint="default" w:ascii="Times New Roman" w:hAnsi="Times New Roman" w:cs="Times New Roman"/>
                <w:color w:val="auto"/>
                <w:sz w:val="21"/>
                <w:szCs w:val="21"/>
                <w:highlight w:val="none"/>
              </w:rPr>
            </w:pPr>
          </w:p>
        </w:tc>
        <w:tc>
          <w:tcPr>
            <w:tcW w:w="524" w:type="pct"/>
            <w:noWrap w:val="0"/>
            <w:vAlign w:val="center"/>
          </w:tcPr>
          <w:p w14:paraId="06EDDBBD">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镉</w:t>
            </w:r>
          </w:p>
        </w:tc>
        <w:tc>
          <w:tcPr>
            <w:tcW w:w="501" w:type="pct"/>
            <w:noWrap w:val="0"/>
            <w:vAlign w:val="center"/>
          </w:tcPr>
          <w:p w14:paraId="31B204B0">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0.3</w:t>
            </w:r>
          </w:p>
        </w:tc>
        <w:tc>
          <w:tcPr>
            <w:tcW w:w="337" w:type="pct"/>
            <w:noWrap w:val="0"/>
            <w:vAlign w:val="center"/>
          </w:tcPr>
          <w:p w14:paraId="6332E3D9">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293" w:type="pct"/>
            <w:noWrap w:val="0"/>
            <w:vAlign w:val="center"/>
          </w:tcPr>
          <w:p w14:paraId="69EBE2C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290" w:type="pct"/>
            <w:noWrap w:val="0"/>
            <w:vAlign w:val="center"/>
          </w:tcPr>
          <w:p w14:paraId="100A2DA5">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达标</w:t>
            </w:r>
          </w:p>
        </w:tc>
        <w:tc>
          <w:tcPr>
            <w:tcW w:w="507" w:type="pct"/>
            <w:noWrap w:val="0"/>
            <w:vAlign w:val="center"/>
          </w:tcPr>
          <w:p w14:paraId="71ACEE0F">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02" w:type="pct"/>
            <w:noWrap w:val="0"/>
            <w:vAlign w:val="center"/>
          </w:tcPr>
          <w:p w14:paraId="496B5F6D">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17" w:type="pct"/>
            <w:noWrap w:val="0"/>
            <w:vAlign w:val="center"/>
          </w:tcPr>
          <w:p w14:paraId="53271C05">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达标</w:t>
            </w:r>
          </w:p>
        </w:tc>
        <w:tc>
          <w:tcPr>
            <w:tcW w:w="399" w:type="pct"/>
            <w:noWrap w:val="0"/>
            <w:vAlign w:val="center"/>
          </w:tcPr>
          <w:p w14:paraId="44CB65B1">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224" w:type="pct"/>
            <w:noWrap w:val="0"/>
            <w:vAlign w:val="center"/>
          </w:tcPr>
          <w:p w14:paraId="59114B9F">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84" w:type="pct"/>
            <w:noWrap w:val="0"/>
            <w:vAlign w:val="center"/>
          </w:tcPr>
          <w:p w14:paraId="439F8D1A">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达标</w:t>
            </w:r>
          </w:p>
        </w:tc>
        <w:tc>
          <w:tcPr>
            <w:tcW w:w="349" w:type="pct"/>
            <w:noWrap w:val="0"/>
            <w:vAlign w:val="center"/>
          </w:tcPr>
          <w:p w14:paraId="27A233D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r>
      <w:tr w14:paraId="0DF8A3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7" w:type="pct"/>
            <w:vMerge w:val="continue"/>
            <w:noWrap w:val="0"/>
            <w:vAlign w:val="center"/>
          </w:tcPr>
          <w:p w14:paraId="5C24798A">
            <w:pPr>
              <w:pStyle w:val="790"/>
              <w:jc w:val="center"/>
              <w:rPr>
                <w:rFonts w:hint="default" w:ascii="Times New Roman" w:hAnsi="Times New Roman" w:cs="Times New Roman"/>
                <w:color w:val="auto"/>
                <w:sz w:val="21"/>
                <w:szCs w:val="21"/>
                <w:highlight w:val="none"/>
              </w:rPr>
            </w:pPr>
          </w:p>
        </w:tc>
        <w:tc>
          <w:tcPr>
            <w:tcW w:w="524" w:type="pct"/>
            <w:noWrap w:val="0"/>
            <w:vAlign w:val="center"/>
          </w:tcPr>
          <w:p w14:paraId="71CB21A0">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汞</w:t>
            </w:r>
          </w:p>
        </w:tc>
        <w:tc>
          <w:tcPr>
            <w:tcW w:w="501" w:type="pct"/>
            <w:noWrap w:val="0"/>
            <w:vAlign w:val="center"/>
          </w:tcPr>
          <w:p w14:paraId="47A4375E">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2.4</w:t>
            </w:r>
          </w:p>
        </w:tc>
        <w:tc>
          <w:tcPr>
            <w:tcW w:w="337" w:type="pct"/>
            <w:noWrap w:val="0"/>
            <w:vAlign w:val="center"/>
          </w:tcPr>
          <w:p w14:paraId="5A87F6D9">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293" w:type="pct"/>
            <w:noWrap w:val="0"/>
            <w:vAlign w:val="center"/>
          </w:tcPr>
          <w:p w14:paraId="7577BCD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290" w:type="pct"/>
            <w:noWrap w:val="0"/>
            <w:vAlign w:val="center"/>
          </w:tcPr>
          <w:p w14:paraId="43078D12">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达标</w:t>
            </w:r>
          </w:p>
        </w:tc>
        <w:tc>
          <w:tcPr>
            <w:tcW w:w="507" w:type="pct"/>
            <w:noWrap w:val="0"/>
            <w:vAlign w:val="center"/>
          </w:tcPr>
          <w:p w14:paraId="436F11B1">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02" w:type="pct"/>
            <w:noWrap w:val="0"/>
            <w:vAlign w:val="center"/>
          </w:tcPr>
          <w:p w14:paraId="17F0130C">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17" w:type="pct"/>
            <w:noWrap w:val="0"/>
            <w:vAlign w:val="center"/>
          </w:tcPr>
          <w:p w14:paraId="58C5545D">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达标</w:t>
            </w:r>
          </w:p>
        </w:tc>
        <w:tc>
          <w:tcPr>
            <w:tcW w:w="399" w:type="pct"/>
            <w:noWrap w:val="0"/>
            <w:vAlign w:val="center"/>
          </w:tcPr>
          <w:p w14:paraId="7DC3AAE3">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224" w:type="pct"/>
            <w:noWrap w:val="0"/>
            <w:vAlign w:val="center"/>
          </w:tcPr>
          <w:p w14:paraId="55FA0EAC">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84" w:type="pct"/>
            <w:noWrap w:val="0"/>
            <w:vAlign w:val="center"/>
          </w:tcPr>
          <w:p w14:paraId="53876E52">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达标</w:t>
            </w:r>
          </w:p>
        </w:tc>
        <w:tc>
          <w:tcPr>
            <w:tcW w:w="349" w:type="pct"/>
            <w:noWrap w:val="0"/>
            <w:vAlign w:val="center"/>
          </w:tcPr>
          <w:p w14:paraId="3C71BA0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r>
      <w:tr w14:paraId="4F4CF4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7" w:type="pct"/>
            <w:vMerge w:val="continue"/>
            <w:noWrap w:val="0"/>
            <w:vAlign w:val="center"/>
          </w:tcPr>
          <w:p w14:paraId="1073C549">
            <w:pPr>
              <w:pStyle w:val="790"/>
              <w:jc w:val="center"/>
              <w:rPr>
                <w:rFonts w:hint="default" w:ascii="Times New Roman" w:hAnsi="Times New Roman" w:cs="Times New Roman"/>
                <w:color w:val="auto"/>
                <w:sz w:val="21"/>
                <w:szCs w:val="21"/>
                <w:highlight w:val="none"/>
              </w:rPr>
            </w:pPr>
          </w:p>
        </w:tc>
        <w:tc>
          <w:tcPr>
            <w:tcW w:w="524" w:type="pct"/>
            <w:noWrap w:val="0"/>
            <w:vAlign w:val="center"/>
          </w:tcPr>
          <w:p w14:paraId="382B6BE0">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砷</w:t>
            </w:r>
          </w:p>
        </w:tc>
        <w:tc>
          <w:tcPr>
            <w:tcW w:w="501" w:type="pct"/>
            <w:noWrap w:val="0"/>
            <w:vAlign w:val="center"/>
          </w:tcPr>
          <w:p w14:paraId="01D71901">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30</w:t>
            </w:r>
          </w:p>
        </w:tc>
        <w:tc>
          <w:tcPr>
            <w:tcW w:w="337" w:type="pct"/>
            <w:noWrap w:val="0"/>
            <w:vAlign w:val="center"/>
          </w:tcPr>
          <w:p w14:paraId="2E6DAB59">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293" w:type="pct"/>
            <w:noWrap w:val="0"/>
            <w:vAlign w:val="center"/>
          </w:tcPr>
          <w:p w14:paraId="03A7954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290" w:type="pct"/>
            <w:noWrap w:val="0"/>
            <w:vAlign w:val="center"/>
          </w:tcPr>
          <w:p w14:paraId="01A60A8E">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达标</w:t>
            </w:r>
          </w:p>
        </w:tc>
        <w:tc>
          <w:tcPr>
            <w:tcW w:w="507" w:type="pct"/>
            <w:noWrap w:val="0"/>
            <w:vAlign w:val="center"/>
          </w:tcPr>
          <w:p w14:paraId="4D12CCD9">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02" w:type="pct"/>
            <w:noWrap w:val="0"/>
            <w:vAlign w:val="center"/>
          </w:tcPr>
          <w:p w14:paraId="6BA668EF">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17" w:type="pct"/>
            <w:noWrap w:val="0"/>
            <w:vAlign w:val="center"/>
          </w:tcPr>
          <w:p w14:paraId="6E75AD7F">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达标</w:t>
            </w:r>
          </w:p>
        </w:tc>
        <w:tc>
          <w:tcPr>
            <w:tcW w:w="399" w:type="pct"/>
            <w:noWrap w:val="0"/>
            <w:vAlign w:val="center"/>
          </w:tcPr>
          <w:p w14:paraId="20EC9346">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224" w:type="pct"/>
            <w:noWrap w:val="0"/>
            <w:vAlign w:val="center"/>
          </w:tcPr>
          <w:p w14:paraId="30F8F8C1">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84" w:type="pct"/>
            <w:noWrap w:val="0"/>
            <w:vAlign w:val="center"/>
          </w:tcPr>
          <w:p w14:paraId="4464A606">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达标</w:t>
            </w:r>
          </w:p>
        </w:tc>
        <w:tc>
          <w:tcPr>
            <w:tcW w:w="349" w:type="pct"/>
            <w:noWrap w:val="0"/>
            <w:vAlign w:val="center"/>
          </w:tcPr>
          <w:p w14:paraId="68DB368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r>
      <w:tr w14:paraId="69D2B1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7" w:type="pct"/>
            <w:vMerge w:val="continue"/>
            <w:noWrap w:val="0"/>
            <w:vAlign w:val="center"/>
          </w:tcPr>
          <w:p w14:paraId="49B25749">
            <w:pPr>
              <w:pStyle w:val="790"/>
              <w:jc w:val="center"/>
              <w:rPr>
                <w:rFonts w:hint="default" w:ascii="Times New Roman" w:hAnsi="Times New Roman" w:cs="Times New Roman"/>
                <w:color w:val="auto"/>
                <w:sz w:val="21"/>
                <w:szCs w:val="21"/>
                <w:highlight w:val="none"/>
              </w:rPr>
            </w:pPr>
          </w:p>
        </w:tc>
        <w:tc>
          <w:tcPr>
            <w:tcW w:w="524" w:type="pct"/>
            <w:noWrap w:val="0"/>
            <w:vAlign w:val="center"/>
          </w:tcPr>
          <w:p w14:paraId="5A3CB693">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铅</w:t>
            </w:r>
          </w:p>
        </w:tc>
        <w:tc>
          <w:tcPr>
            <w:tcW w:w="501" w:type="pct"/>
            <w:noWrap w:val="0"/>
            <w:vAlign w:val="center"/>
          </w:tcPr>
          <w:p w14:paraId="6CBD8468">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120</w:t>
            </w:r>
          </w:p>
        </w:tc>
        <w:tc>
          <w:tcPr>
            <w:tcW w:w="337" w:type="pct"/>
            <w:noWrap w:val="0"/>
            <w:vAlign w:val="center"/>
          </w:tcPr>
          <w:p w14:paraId="619394C1">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293" w:type="pct"/>
            <w:noWrap w:val="0"/>
            <w:vAlign w:val="center"/>
          </w:tcPr>
          <w:p w14:paraId="7F309DF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290" w:type="pct"/>
            <w:noWrap w:val="0"/>
            <w:vAlign w:val="center"/>
          </w:tcPr>
          <w:p w14:paraId="45E79435">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达标</w:t>
            </w:r>
          </w:p>
        </w:tc>
        <w:tc>
          <w:tcPr>
            <w:tcW w:w="507" w:type="pct"/>
            <w:noWrap w:val="0"/>
            <w:vAlign w:val="center"/>
          </w:tcPr>
          <w:p w14:paraId="7BEBDE45">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02" w:type="pct"/>
            <w:noWrap w:val="0"/>
            <w:vAlign w:val="center"/>
          </w:tcPr>
          <w:p w14:paraId="140A7839">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17" w:type="pct"/>
            <w:noWrap w:val="0"/>
            <w:vAlign w:val="center"/>
          </w:tcPr>
          <w:p w14:paraId="3D65DA3F">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达标</w:t>
            </w:r>
          </w:p>
        </w:tc>
        <w:tc>
          <w:tcPr>
            <w:tcW w:w="399" w:type="pct"/>
            <w:noWrap w:val="0"/>
            <w:vAlign w:val="center"/>
          </w:tcPr>
          <w:p w14:paraId="24B5BF3B">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224" w:type="pct"/>
            <w:noWrap w:val="0"/>
            <w:vAlign w:val="center"/>
          </w:tcPr>
          <w:p w14:paraId="22584821">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84" w:type="pct"/>
            <w:noWrap w:val="0"/>
            <w:vAlign w:val="center"/>
          </w:tcPr>
          <w:p w14:paraId="58637BEA">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达标</w:t>
            </w:r>
          </w:p>
        </w:tc>
        <w:tc>
          <w:tcPr>
            <w:tcW w:w="349" w:type="pct"/>
            <w:noWrap w:val="0"/>
            <w:vAlign w:val="center"/>
          </w:tcPr>
          <w:p w14:paraId="288BAE3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r>
      <w:tr w14:paraId="312703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7" w:type="pct"/>
            <w:vMerge w:val="continue"/>
            <w:noWrap w:val="0"/>
            <w:vAlign w:val="center"/>
          </w:tcPr>
          <w:p w14:paraId="5CDE0600">
            <w:pPr>
              <w:pStyle w:val="790"/>
              <w:jc w:val="center"/>
              <w:rPr>
                <w:rFonts w:hint="default" w:ascii="Times New Roman" w:hAnsi="Times New Roman" w:cs="Times New Roman"/>
                <w:color w:val="auto"/>
                <w:sz w:val="21"/>
                <w:szCs w:val="21"/>
                <w:highlight w:val="none"/>
              </w:rPr>
            </w:pPr>
          </w:p>
        </w:tc>
        <w:tc>
          <w:tcPr>
            <w:tcW w:w="524" w:type="pct"/>
            <w:noWrap w:val="0"/>
            <w:vAlign w:val="center"/>
          </w:tcPr>
          <w:p w14:paraId="320BF53A">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铬</w:t>
            </w:r>
          </w:p>
        </w:tc>
        <w:tc>
          <w:tcPr>
            <w:tcW w:w="501" w:type="pct"/>
            <w:noWrap w:val="0"/>
            <w:vAlign w:val="center"/>
          </w:tcPr>
          <w:p w14:paraId="40BE9497">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200</w:t>
            </w:r>
          </w:p>
        </w:tc>
        <w:tc>
          <w:tcPr>
            <w:tcW w:w="337" w:type="pct"/>
            <w:noWrap w:val="0"/>
            <w:vAlign w:val="center"/>
          </w:tcPr>
          <w:p w14:paraId="18F021D8">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293" w:type="pct"/>
            <w:noWrap w:val="0"/>
            <w:vAlign w:val="center"/>
          </w:tcPr>
          <w:p w14:paraId="2E8943E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290" w:type="pct"/>
            <w:noWrap w:val="0"/>
            <w:vAlign w:val="center"/>
          </w:tcPr>
          <w:p w14:paraId="0AA18C34">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达标</w:t>
            </w:r>
          </w:p>
        </w:tc>
        <w:tc>
          <w:tcPr>
            <w:tcW w:w="507" w:type="pct"/>
            <w:noWrap w:val="0"/>
            <w:vAlign w:val="center"/>
          </w:tcPr>
          <w:p w14:paraId="43399F0C">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02" w:type="pct"/>
            <w:noWrap w:val="0"/>
            <w:vAlign w:val="center"/>
          </w:tcPr>
          <w:p w14:paraId="5EB9674B">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17" w:type="pct"/>
            <w:noWrap w:val="0"/>
            <w:vAlign w:val="center"/>
          </w:tcPr>
          <w:p w14:paraId="1591E5B0">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达标</w:t>
            </w:r>
          </w:p>
        </w:tc>
        <w:tc>
          <w:tcPr>
            <w:tcW w:w="399" w:type="pct"/>
            <w:noWrap w:val="0"/>
            <w:vAlign w:val="center"/>
          </w:tcPr>
          <w:p w14:paraId="3761ACC3">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224" w:type="pct"/>
            <w:noWrap w:val="0"/>
            <w:vAlign w:val="center"/>
          </w:tcPr>
          <w:p w14:paraId="1FFBB644">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84" w:type="pct"/>
            <w:noWrap w:val="0"/>
            <w:vAlign w:val="center"/>
          </w:tcPr>
          <w:p w14:paraId="488B3E2E">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达标</w:t>
            </w:r>
          </w:p>
        </w:tc>
        <w:tc>
          <w:tcPr>
            <w:tcW w:w="349" w:type="pct"/>
            <w:noWrap w:val="0"/>
            <w:vAlign w:val="center"/>
          </w:tcPr>
          <w:p w14:paraId="30BD40C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r>
      <w:tr w14:paraId="6E8C67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7" w:type="pct"/>
            <w:vMerge w:val="continue"/>
            <w:noWrap w:val="0"/>
            <w:vAlign w:val="center"/>
          </w:tcPr>
          <w:p w14:paraId="277FB2B7">
            <w:pPr>
              <w:pStyle w:val="790"/>
              <w:jc w:val="center"/>
              <w:rPr>
                <w:rFonts w:hint="default" w:ascii="Times New Roman" w:hAnsi="Times New Roman" w:cs="Times New Roman"/>
                <w:color w:val="auto"/>
                <w:sz w:val="21"/>
                <w:szCs w:val="21"/>
                <w:highlight w:val="none"/>
              </w:rPr>
            </w:pPr>
          </w:p>
        </w:tc>
        <w:tc>
          <w:tcPr>
            <w:tcW w:w="524" w:type="pct"/>
            <w:noWrap w:val="0"/>
            <w:vAlign w:val="center"/>
          </w:tcPr>
          <w:p w14:paraId="72A07E24">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铜</w:t>
            </w:r>
          </w:p>
        </w:tc>
        <w:tc>
          <w:tcPr>
            <w:tcW w:w="501" w:type="pct"/>
            <w:noWrap w:val="0"/>
            <w:vAlign w:val="center"/>
          </w:tcPr>
          <w:p w14:paraId="5C983DE1">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100</w:t>
            </w:r>
          </w:p>
        </w:tc>
        <w:tc>
          <w:tcPr>
            <w:tcW w:w="337" w:type="pct"/>
            <w:noWrap w:val="0"/>
            <w:vAlign w:val="center"/>
          </w:tcPr>
          <w:p w14:paraId="370DE530">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293" w:type="pct"/>
            <w:noWrap w:val="0"/>
            <w:vAlign w:val="center"/>
          </w:tcPr>
          <w:p w14:paraId="1B70FD5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290" w:type="pct"/>
            <w:noWrap w:val="0"/>
            <w:vAlign w:val="center"/>
          </w:tcPr>
          <w:p w14:paraId="1AFF1208">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达标</w:t>
            </w:r>
          </w:p>
        </w:tc>
        <w:tc>
          <w:tcPr>
            <w:tcW w:w="507" w:type="pct"/>
            <w:noWrap w:val="0"/>
            <w:vAlign w:val="center"/>
          </w:tcPr>
          <w:p w14:paraId="6D1AD2F7">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02" w:type="pct"/>
            <w:noWrap w:val="0"/>
            <w:vAlign w:val="center"/>
          </w:tcPr>
          <w:p w14:paraId="16C65F44">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17" w:type="pct"/>
            <w:noWrap w:val="0"/>
            <w:vAlign w:val="center"/>
          </w:tcPr>
          <w:p w14:paraId="316977C5">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达标</w:t>
            </w:r>
          </w:p>
        </w:tc>
        <w:tc>
          <w:tcPr>
            <w:tcW w:w="399" w:type="pct"/>
            <w:noWrap w:val="0"/>
            <w:vAlign w:val="center"/>
          </w:tcPr>
          <w:p w14:paraId="59FD7892">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224" w:type="pct"/>
            <w:noWrap w:val="0"/>
            <w:vAlign w:val="center"/>
          </w:tcPr>
          <w:p w14:paraId="5F360F18">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84" w:type="pct"/>
            <w:noWrap w:val="0"/>
            <w:vAlign w:val="center"/>
          </w:tcPr>
          <w:p w14:paraId="5B14E685">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达标</w:t>
            </w:r>
          </w:p>
        </w:tc>
        <w:tc>
          <w:tcPr>
            <w:tcW w:w="349" w:type="pct"/>
            <w:noWrap w:val="0"/>
            <w:vAlign w:val="center"/>
          </w:tcPr>
          <w:p w14:paraId="5689EA5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r>
      <w:tr w14:paraId="497252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7" w:type="pct"/>
            <w:vMerge w:val="continue"/>
            <w:noWrap w:val="0"/>
            <w:vAlign w:val="center"/>
          </w:tcPr>
          <w:p w14:paraId="014EFDBA">
            <w:pPr>
              <w:pStyle w:val="790"/>
              <w:jc w:val="center"/>
              <w:rPr>
                <w:rFonts w:hint="default" w:ascii="Times New Roman" w:hAnsi="Times New Roman" w:cs="Times New Roman"/>
                <w:color w:val="auto"/>
                <w:sz w:val="21"/>
                <w:szCs w:val="21"/>
                <w:highlight w:val="none"/>
              </w:rPr>
            </w:pPr>
          </w:p>
        </w:tc>
        <w:tc>
          <w:tcPr>
            <w:tcW w:w="524" w:type="pct"/>
            <w:noWrap w:val="0"/>
            <w:vAlign w:val="center"/>
          </w:tcPr>
          <w:p w14:paraId="49EB75CC">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镍</w:t>
            </w:r>
          </w:p>
        </w:tc>
        <w:tc>
          <w:tcPr>
            <w:tcW w:w="501" w:type="pct"/>
            <w:noWrap w:val="0"/>
            <w:vAlign w:val="center"/>
          </w:tcPr>
          <w:p w14:paraId="542DDB6A">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100</w:t>
            </w:r>
          </w:p>
        </w:tc>
        <w:tc>
          <w:tcPr>
            <w:tcW w:w="337" w:type="pct"/>
            <w:noWrap w:val="0"/>
            <w:vAlign w:val="center"/>
          </w:tcPr>
          <w:p w14:paraId="731490EC">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293" w:type="pct"/>
            <w:noWrap w:val="0"/>
            <w:vAlign w:val="center"/>
          </w:tcPr>
          <w:p w14:paraId="7FEE78C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290" w:type="pct"/>
            <w:noWrap w:val="0"/>
            <w:vAlign w:val="center"/>
          </w:tcPr>
          <w:p w14:paraId="2671682A">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达标</w:t>
            </w:r>
          </w:p>
        </w:tc>
        <w:tc>
          <w:tcPr>
            <w:tcW w:w="507" w:type="pct"/>
            <w:noWrap w:val="0"/>
            <w:vAlign w:val="center"/>
          </w:tcPr>
          <w:p w14:paraId="0E73CB4C">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02" w:type="pct"/>
            <w:noWrap w:val="0"/>
            <w:vAlign w:val="center"/>
          </w:tcPr>
          <w:p w14:paraId="4E1FC5D5">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17" w:type="pct"/>
            <w:noWrap w:val="0"/>
            <w:vAlign w:val="center"/>
          </w:tcPr>
          <w:p w14:paraId="623389A5">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达标</w:t>
            </w:r>
          </w:p>
        </w:tc>
        <w:tc>
          <w:tcPr>
            <w:tcW w:w="399" w:type="pct"/>
            <w:noWrap w:val="0"/>
            <w:vAlign w:val="center"/>
          </w:tcPr>
          <w:p w14:paraId="5AC94B6D">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224" w:type="pct"/>
            <w:noWrap w:val="0"/>
            <w:vAlign w:val="center"/>
          </w:tcPr>
          <w:p w14:paraId="6A05BB4F">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84" w:type="pct"/>
            <w:noWrap w:val="0"/>
            <w:vAlign w:val="center"/>
          </w:tcPr>
          <w:p w14:paraId="0ED6E872">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达标</w:t>
            </w:r>
          </w:p>
        </w:tc>
        <w:tc>
          <w:tcPr>
            <w:tcW w:w="349" w:type="pct"/>
            <w:noWrap w:val="0"/>
            <w:vAlign w:val="center"/>
          </w:tcPr>
          <w:p w14:paraId="5EC695A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r>
      <w:tr w14:paraId="16F248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7" w:type="pct"/>
            <w:vMerge w:val="continue"/>
            <w:noWrap w:val="0"/>
            <w:vAlign w:val="center"/>
          </w:tcPr>
          <w:p w14:paraId="2954B023">
            <w:pPr>
              <w:pStyle w:val="790"/>
              <w:jc w:val="center"/>
              <w:rPr>
                <w:rFonts w:hint="default" w:ascii="Times New Roman" w:hAnsi="Times New Roman" w:cs="Times New Roman"/>
                <w:color w:val="auto"/>
                <w:sz w:val="21"/>
                <w:szCs w:val="21"/>
                <w:highlight w:val="none"/>
              </w:rPr>
            </w:pPr>
          </w:p>
        </w:tc>
        <w:tc>
          <w:tcPr>
            <w:tcW w:w="524" w:type="pct"/>
            <w:noWrap w:val="0"/>
            <w:vAlign w:val="center"/>
          </w:tcPr>
          <w:p w14:paraId="117F0ABF">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锌</w:t>
            </w:r>
          </w:p>
        </w:tc>
        <w:tc>
          <w:tcPr>
            <w:tcW w:w="501" w:type="pct"/>
            <w:noWrap w:val="0"/>
            <w:vAlign w:val="center"/>
          </w:tcPr>
          <w:p w14:paraId="41E6B081">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250</w:t>
            </w:r>
          </w:p>
        </w:tc>
        <w:tc>
          <w:tcPr>
            <w:tcW w:w="337" w:type="pct"/>
            <w:noWrap w:val="0"/>
            <w:vAlign w:val="center"/>
          </w:tcPr>
          <w:p w14:paraId="4C42839E">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293" w:type="pct"/>
            <w:noWrap w:val="0"/>
            <w:vAlign w:val="center"/>
          </w:tcPr>
          <w:p w14:paraId="6768B34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290" w:type="pct"/>
            <w:noWrap w:val="0"/>
            <w:vAlign w:val="center"/>
          </w:tcPr>
          <w:p w14:paraId="40BE4AA3">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达标</w:t>
            </w:r>
          </w:p>
        </w:tc>
        <w:tc>
          <w:tcPr>
            <w:tcW w:w="507" w:type="pct"/>
            <w:noWrap w:val="0"/>
            <w:vAlign w:val="center"/>
          </w:tcPr>
          <w:p w14:paraId="60F95D0F">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02" w:type="pct"/>
            <w:noWrap w:val="0"/>
            <w:vAlign w:val="center"/>
          </w:tcPr>
          <w:p w14:paraId="3EAA4592">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417" w:type="pct"/>
            <w:noWrap w:val="0"/>
            <w:vAlign w:val="center"/>
          </w:tcPr>
          <w:p w14:paraId="09E4EAEC">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达标</w:t>
            </w:r>
          </w:p>
        </w:tc>
        <w:tc>
          <w:tcPr>
            <w:tcW w:w="399" w:type="pct"/>
            <w:noWrap w:val="0"/>
            <w:vAlign w:val="center"/>
          </w:tcPr>
          <w:p w14:paraId="66C588B6">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224" w:type="pct"/>
            <w:noWrap w:val="0"/>
            <w:vAlign w:val="center"/>
          </w:tcPr>
          <w:p w14:paraId="10EAA5CD">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highlight w:val="none"/>
                <w:u w:val="single"/>
                <w:lang w:val="en-US" w:eastAsia="zh-CN"/>
              </w:rPr>
              <w:t>****</w:t>
            </w:r>
          </w:p>
        </w:tc>
        <w:tc>
          <w:tcPr>
            <w:tcW w:w="384" w:type="pct"/>
            <w:noWrap w:val="0"/>
            <w:vAlign w:val="center"/>
          </w:tcPr>
          <w:p w14:paraId="37E2DB54">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达标</w:t>
            </w:r>
          </w:p>
        </w:tc>
        <w:tc>
          <w:tcPr>
            <w:tcW w:w="349" w:type="pct"/>
            <w:noWrap w:val="0"/>
            <w:vAlign w:val="center"/>
          </w:tcPr>
          <w:p w14:paraId="53CF3FF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r>
      <w:tr w14:paraId="1AA028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13"/>
            <w:noWrap w:val="0"/>
            <w:vAlign w:val="center"/>
          </w:tcPr>
          <w:p w14:paraId="132152E9">
            <w:pPr>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注：</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ND</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表示检测结果低于方法检出限</w:t>
            </w:r>
            <w:r>
              <w:rPr>
                <w:rFonts w:hint="default" w:ascii="Times New Roman" w:hAnsi="Times New Roman" w:cs="Times New Roman"/>
                <w:color w:val="auto"/>
                <w:sz w:val="21"/>
                <w:szCs w:val="21"/>
                <w:highlight w:val="none"/>
                <w:lang w:eastAsia="zh-CN"/>
              </w:rPr>
              <w:t>。</w:t>
            </w:r>
          </w:p>
        </w:tc>
      </w:tr>
    </w:tbl>
    <w:p w14:paraId="188BC0A5">
      <w:pPr>
        <w:pStyle w:val="41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u w:val="none"/>
        </w:rPr>
        <w:t>根据监测结果可知，项目范围内各土壤监测结果满足《土壤环境质量 农用地土壤污染风险管控标准（试行）》（GB15618-2018）中风险筛选值的限值要求。区域环境土壤环境质量较为良好。</w:t>
      </w:r>
    </w:p>
    <w:p w14:paraId="7EE81CB0">
      <w:pPr>
        <w:pStyle w:val="242"/>
        <w:spacing w:line="500" w:lineRule="exact"/>
        <w:ind w:firstLine="442"/>
        <w:jc w:val="center"/>
        <w:rPr>
          <w:rFonts w:hint="default" w:ascii="Times New Roman" w:hAnsi="Times New Roman" w:cs="Times New Roman"/>
          <w:b/>
          <w:bCs/>
          <w:color w:val="auto"/>
          <w:highlight w:val="none"/>
          <w:lang w:val="en-US" w:eastAsia="zh-CN"/>
        </w:rPr>
        <w:sectPr>
          <w:pgSz w:w="16838" w:h="11906" w:orient="landscape"/>
          <w:pgMar w:top="1780" w:right="1418" w:bottom="1514" w:left="1418" w:header="1134" w:footer="992" w:gutter="0"/>
          <w:cols w:space="720" w:num="1"/>
          <w:docGrid w:type="linesAndChars" w:linePitch="466" w:charSpace="-3928"/>
        </w:sectPr>
      </w:pPr>
    </w:p>
    <w:p w14:paraId="34D85CE1">
      <w:pPr>
        <w:pStyle w:val="242"/>
        <w:spacing w:line="500" w:lineRule="exact"/>
        <w:ind w:firstLine="442"/>
        <w:jc w:val="center"/>
        <w:rPr>
          <w:rFonts w:hint="default" w:ascii="Times New Roman" w:hAnsi="Times New Roman" w:cs="Times New Roman"/>
          <w:color w:val="auto"/>
          <w:highlight w:val="none"/>
          <w:lang w:val="en-US" w:eastAsia="zh-CN"/>
        </w:rPr>
      </w:pPr>
    </w:p>
    <w:bookmarkEnd w:id="70"/>
    <w:bookmarkEnd w:id="71"/>
    <w:bookmarkEnd w:id="72"/>
    <w:p w14:paraId="575998EE">
      <w:pPr>
        <w:pStyle w:val="4"/>
        <w:numPr>
          <w:ilvl w:val="1"/>
          <w:numId w:val="40"/>
        </w:numPr>
        <w:bidi w:val="0"/>
        <w:ind w:left="678" w:leftChars="0" w:firstLine="0" w:firstLineChars="0"/>
        <w:rPr>
          <w:rFonts w:hint="default"/>
          <w:b/>
          <w:bCs/>
          <w:color w:val="auto"/>
          <w:highlight w:val="none"/>
        </w:rPr>
      </w:pPr>
      <w:bookmarkStart w:id="109" w:name="_Toc23217"/>
      <w:bookmarkStart w:id="110" w:name="_Toc195236160"/>
      <w:r>
        <w:rPr>
          <w:rFonts w:hint="eastAsia"/>
          <w:b/>
          <w:bCs/>
          <w:color w:val="auto"/>
          <w:highlight w:val="none"/>
          <w:lang w:eastAsia="zh-CN"/>
        </w:rPr>
        <w:t>区域污染源调查</w:t>
      </w:r>
      <w:bookmarkEnd w:id="109"/>
    </w:p>
    <w:p w14:paraId="04FF94B8">
      <w:pPr>
        <w:pStyle w:val="5"/>
        <w:numPr>
          <w:ilvl w:val="2"/>
          <w:numId w:val="40"/>
        </w:numPr>
        <w:bidi w:val="0"/>
        <w:ind w:left="452" w:leftChars="0" w:firstLine="0" w:firstLineChars="0"/>
        <w:rPr>
          <w:rFonts w:hint="eastAsia" w:ascii="Times New Roman" w:cs="Times New Roman"/>
          <w:color w:val="auto"/>
          <w:highlight w:val="none"/>
          <w:lang w:eastAsia="zh-CN"/>
        </w:rPr>
      </w:pPr>
      <w:r>
        <w:rPr>
          <w:rFonts w:hint="eastAsia" w:cs="Times New Roman"/>
          <w:color w:val="auto"/>
          <w:highlight w:val="none"/>
          <w:lang w:eastAsia="zh-CN"/>
        </w:rPr>
        <w:t>废水污染源</w:t>
      </w:r>
    </w:p>
    <w:p w14:paraId="1615710B">
      <w:pPr>
        <w:pStyle w:val="313"/>
        <w:ind w:firstLine="442"/>
        <w:rPr>
          <w:rFonts w:hint="default" w:ascii="Times New Roman" w:cs="Times New Roman"/>
          <w:bCs/>
          <w:color w:val="auto"/>
          <w:kern w:val="0"/>
          <w:highlight w:val="none"/>
          <w:u w:val="single"/>
          <w:lang w:val="en-US" w:eastAsia="zh-CN"/>
        </w:rPr>
      </w:pPr>
      <w:r>
        <w:rPr>
          <w:rFonts w:hint="eastAsia" w:ascii="Times New Roman" w:cs="Times New Roman"/>
          <w:color w:val="auto"/>
          <w:highlight w:val="none"/>
          <w:lang w:eastAsia="zh-CN"/>
        </w:rPr>
        <w:t>建设项目位于</w:t>
      </w:r>
      <w:r>
        <w:rPr>
          <w:rFonts w:hint="default" w:ascii="Times New Roman" w:hAnsi="Times New Roman" w:cs="Times New Roman"/>
          <w:color w:val="auto"/>
          <w:highlight w:val="none"/>
          <w:lang w:eastAsia="zh-CN"/>
        </w:rPr>
        <w:t>广西壮族自治区钦州市中国（广西）自由贸易试验区钦州港片区和谐大街以南，大榄坪大街以北</w:t>
      </w:r>
      <w:r>
        <w:rPr>
          <w:rFonts w:hint="default" w:ascii="Times New Roman" w:hAnsi="Times New Roman" w:cs="Times New Roman"/>
          <w:bCs/>
          <w:color w:val="auto"/>
          <w:kern w:val="0"/>
          <w:highlight w:val="none"/>
        </w:rPr>
        <w:t>，</w:t>
      </w:r>
      <w:r>
        <w:rPr>
          <w:rFonts w:hint="default" w:ascii="Times New Roman" w:hAnsi="Times New Roman" w:cs="Times New Roman"/>
          <w:bCs/>
          <w:color w:val="auto"/>
          <w:kern w:val="0"/>
          <w:highlight w:val="none"/>
          <w:lang w:eastAsia="zh-CN"/>
        </w:rPr>
        <w:t>友谊大街以东区域</w:t>
      </w:r>
      <w:r>
        <w:rPr>
          <w:rFonts w:hint="eastAsia" w:ascii="Times New Roman" w:cs="Times New Roman"/>
          <w:bCs/>
          <w:color w:val="auto"/>
          <w:kern w:val="0"/>
          <w:highlight w:val="none"/>
          <w:lang w:eastAsia="zh-CN"/>
        </w:rPr>
        <w:t>。根据现场调查，</w:t>
      </w:r>
      <w:r>
        <w:rPr>
          <w:rFonts w:hint="eastAsia" w:ascii="Times New Roman" w:cs="Times New Roman"/>
          <w:bCs/>
          <w:color w:val="auto"/>
          <w:kern w:val="0"/>
          <w:highlight w:val="none"/>
          <w:u w:val="single"/>
          <w:lang w:eastAsia="zh-CN"/>
        </w:rPr>
        <w:t>项目区域水系现状无污水处理厂排放口，</w:t>
      </w:r>
      <w:r>
        <w:rPr>
          <w:rFonts w:hint="eastAsia" w:ascii="Times New Roman" w:cs="Times New Roman"/>
          <w:bCs/>
          <w:color w:val="auto"/>
          <w:kern w:val="0"/>
          <w:highlight w:val="none"/>
          <w:u w:val="single"/>
          <w:lang w:val="en-US" w:eastAsia="zh-CN"/>
        </w:rPr>
        <w:t>无工业废水排放口，无涉重金属废水等其他排放口。</w:t>
      </w:r>
    </w:p>
    <w:p w14:paraId="03EF4290">
      <w:pPr>
        <w:pStyle w:val="313"/>
        <w:ind w:firstLine="442"/>
        <w:rPr>
          <w:rFonts w:hint="eastAsia" w:ascii="Times New Roman" w:cs="Times New Roman"/>
          <w:bCs/>
          <w:color w:val="auto"/>
          <w:kern w:val="0"/>
          <w:highlight w:val="none"/>
          <w:lang w:eastAsia="zh-CN"/>
        </w:rPr>
      </w:pPr>
      <w:r>
        <w:rPr>
          <w:rFonts w:hint="eastAsia" w:ascii="Times New Roman" w:cs="Times New Roman"/>
          <w:bCs/>
          <w:color w:val="auto"/>
          <w:kern w:val="0"/>
          <w:highlight w:val="none"/>
          <w:lang w:eastAsia="zh-CN"/>
        </w:rPr>
        <w:t>生活污染源，企山水库至钦州湾段沿线分布有苦竹坑村、大垌口村、大岭脚村、蚝蜊墩村，村庄居民生活过程中会产生一定量的生活污水，农村生活污染的产生途径主要是生活中产生的污水、垃圾、人畜粪便排放到周围农田、沟渠，污染物经地表径流部分进入水体。周边村屯生活污水进入自建化粪池处理后用作耕地施肥，部分生活污水经区域溪沟进入淡水湾江。同时周边村屯养殖的鸭、鹅等畜禽放养，畜禽粪便直接排入淡水湾江，对淡水湾江水质产生一定的影响。</w:t>
      </w:r>
    </w:p>
    <w:p w14:paraId="4CE95B4C">
      <w:pPr>
        <w:pStyle w:val="313"/>
        <w:ind w:firstLine="442"/>
        <w:rPr>
          <w:rFonts w:hint="eastAsia" w:ascii="Times New Roman" w:cs="Times New Roman"/>
          <w:bCs/>
          <w:color w:val="auto"/>
          <w:kern w:val="0"/>
          <w:highlight w:val="none"/>
          <w:lang w:eastAsia="zh-CN"/>
        </w:rPr>
      </w:pPr>
      <w:r>
        <w:rPr>
          <w:rFonts w:hint="eastAsia" w:ascii="Times New Roman" w:cs="Times New Roman"/>
          <w:bCs/>
          <w:color w:val="auto"/>
          <w:kern w:val="0"/>
          <w:highlight w:val="none"/>
          <w:lang w:eastAsia="zh-CN"/>
        </w:rPr>
        <w:t>农业污染源，企山水库至钦州湾段沿线苦竹坑村、大垌口村、大岭脚村、蚝蜊墩村等村庄均分布有村屯农田，农业污染源主要是指农业生产施用的化肥进入农田、土地等，营养盐不能完全被农作物吸收，残留部分经迁移、转化，随着地表径流进入淡水湾江，进而对流域水环境产生影响。</w:t>
      </w:r>
    </w:p>
    <w:p w14:paraId="10ECF357">
      <w:pPr>
        <w:pStyle w:val="5"/>
        <w:numPr>
          <w:ilvl w:val="2"/>
          <w:numId w:val="40"/>
        </w:numPr>
        <w:bidi w:val="0"/>
        <w:ind w:left="452" w:leftChars="0" w:firstLine="0" w:firstLineChars="0"/>
        <w:rPr>
          <w:rFonts w:hint="default" w:ascii="Times New Roman" w:cs="Times New Roman"/>
          <w:bCs/>
          <w:color w:val="auto"/>
          <w:kern w:val="0"/>
          <w:highlight w:val="none"/>
          <w:lang w:eastAsia="zh-CN"/>
        </w:rPr>
      </w:pPr>
      <w:r>
        <w:rPr>
          <w:rFonts w:hint="eastAsia" w:cs="Times New Roman"/>
          <w:bCs/>
          <w:color w:val="auto"/>
          <w:kern w:val="0"/>
          <w:highlight w:val="none"/>
          <w:lang w:val="en-US" w:eastAsia="zh-CN"/>
        </w:rPr>
        <w:t>废气</w:t>
      </w:r>
      <w:r>
        <w:rPr>
          <w:rFonts w:hint="eastAsia" w:cs="Times New Roman"/>
          <w:bCs/>
          <w:color w:val="auto"/>
          <w:kern w:val="0"/>
          <w:highlight w:val="none"/>
          <w:lang w:eastAsia="zh-CN"/>
        </w:rPr>
        <w:t>污染源</w:t>
      </w:r>
    </w:p>
    <w:p w14:paraId="265E8E7E">
      <w:pPr>
        <w:pStyle w:val="313"/>
        <w:ind w:firstLine="442"/>
        <w:rPr>
          <w:rFonts w:hint="default"/>
          <w:b/>
          <w:bCs/>
          <w:color w:val="auto"/>
          <w:highlight w:val="none"/>
          <w:lang w:eastAsia="zh-CN"/>
        </w:rPr>
      </w:pPr>
      <w:r>
        <w:rPr>
          <w:rFonts w:hint="eastAsia" w:ascii="Times New Roman" w:cs="Times New Roman"/>
          <w:bCs/>
          <w:color w:val="auto"/>
          <w:kern w:val="0"/>
          <w:highlight w:val="none"/>
          <w:lang w:val="en-US" w:eastAsia="zh-CN"/>
        </w:rPr>
        <w:t>项目所处区域主要的废气污染源为交通车辆产生的汽车尾气、居民生活产生的油烟废气。 由于区域地形开阔，空气流动条件好，有利于污染物的扩散，项目区域废气污染源对环境空气影响较小。</w:t>
      </w:r>
    </w:p>
    <w:p w14:paraId="3BC3EB1A">
      <w:pPr>
        <w:pStyle w:val="5"/>
        <w:numPr>
          <w:ilvl w:val="2"/>
          <w:numId w:val="40"/>
        </w:numPr>
        <w:bidi w:val="0"/>
        <w:ind w:left="452" w:leftChars="0" w:firstLine="0" w:firstLineChars="0"/>
        <w:rPr>
          <w:rFonts w:hint="default"/>
          <w:color w:val="auto"/>
          <w:highlight w:val="none"/>
          <w:lang w:eastAsia="zh-CN"/>
        </w:rPr>
      </w:pPr>
      <w:r>
        <w:rPr>
          <w:rFonts w:hint="eastAsia" w:cs="Times New Roman"/>
          <w:bCs/>
          <w:color w:val="auto"/>
          <w:kern w:val="0"/>
          <w:highlight w:val="none"/>
          <w:lang w:eastAsia="zh-CN"/>
        </w:rPr>
        <w:t>噪声污染源</w:t>
      </w:r>
    </w:p>
    <w:p w14:paraId="5E6EA374">
      <w:pPr>
        <w:pStyle w:val="313"/>
        <w:ind w:firstLine="442"/>
        <w:rPr>
          <w:rFonts w:hint="eastAsia" w:ascii="Times New Roman" w:cs="Times New Roman"/>
          <w:bCs/>
          <w:color w:val="auto"/>
          <w:kern w:val="0"/>
          <w:highlight w:val="none"/>
          <w:lang w:val="en-US" w:eastAsia="zh-CN"/>
        </w:rPr>
      </w:pPr>
      <w:r>
        <w:rPr>
          <w:rFonts w:hint="eastAsia" w:ascii="Times New Roman" w:cs="Times New Roman"/>
          <w:bCs/>
          <w:color w:val="auto"/>
          <w:kern w:val="0"/>
          <w:highlight w:val="none"/>
          <w:lang w:val="en-US" w:eastAsia="zh-CN"/>
        </w:rPr>
        <w:t>评价区内的噪声污染主要为城区内已建道路来往的车辆产生的噪声及区域居民生活 噪声。</w:t>
      </w:r>
    </w:p>
    <w:p w14:paraId="762CA96F">
      <w:pPr>
        <w:pStyle w:val="5"/>
        <w:numPr>
          <w:ilvl w:val="2"/>
          <w:numId w:val="40"/>
        </w:numPr>
        <w:bidi w:val="0"/>
        <w:ind w:left="452" w:leftChars="0" w:firstLine="0" w:firstLineChars="0"/>
        <w:rPr>
          <w:rFonts w:hint="default"/>
          <w:color w:val="auto"/>
          <w:highlight w:val="none"/>
          <w:lang w:eastAsia="zh-CN"/>
        </w:rPr>
      </w:pPr>
      <w:r>
        <w:rPr>
          <w:rFonts w:hint="eastAsia" w:cs="Times New Roman"/>
          <w:bCs/>
          <w:color w:val="auto"/>
          <w:kern w:val="0"/>
          <w:highlight w:val="none"/>
          <w:lang w:eastAsia="zh-CN"/>
        </w:rPr>
        <w:t>固废污染源</w:t>
      </w:r>
    </w:p>
    <w:p w14:paraId="1D80EA1F">
      <w:pPr>
        <w:pStyle w:val="313"/>
        <w:ind w:firstLine="442"/>
        <w:rPr>
          <w:rFonts w:hint="eastAsia" w:ascii="Times New Roman" w:cs="Times New Roman"/>
          <w:bCs/>
          <w:color w:val="auto"/>
          <w:kern w:val="0"/>
          <w:highlight w:val="none"/>
          <w:lang w:val="en-US" w:eastAsia="zh-CN"/>
        </w:rPr>
        <w:sectPr>
          <w:pgSz w:w="11906" w:h="16838"/>
          <w:pgMar w:top="1418" w:right="1514" w:bottom="1418" w:left="1780" w:header="1134" w:footer="992" w:gutter="0"/>
          <w:cols w:space="720" w:num="1"/>
          <w:docGrid w:type="linesAndChars" w:linePitch="466" w:charSpace="-3928"/>
        </w:sectPr>
      </w:pPr>
      <w:r>
        <w:rPr>
          <w:rFonts w:hint="eastAsia" w:ascii="Times New Roman" w:cs="Times New Roman"/>
          <w:bCs/>
          <w:color w:val="auto"/>
          <w:kern w:val="0"/>
          <w:highlight w:val="none"/>
          <w:lang w:val="en-US" w:eastAsia="zh-CN"/>
        </w:rPr>
        <w:t>评价区域内主要固体废物为居民生活产生的生活垃圾。居民生活垃圾集中收集后由环卫部门统一清运处理。</w:t>
      </w:r>
    </w:p>
    <w:p w14:paraId="2D24A11A">
      <w:pPr>
        <w:pStyle w:val="3"/>
        <w:numPr>
          <w:ilvl w:val="0"/>
          <w:numId w:val="40"/>
        </w:numPr>
        <w:bidi w:val="0"/>
        <w:ind w:left="425" w:leftChars="0" w:hanging="425" w:firstLineChars="0"/>
        <w:rPr>
          <w:rFonts w:hint="default"/>
          <w:color w:val="auto"/>
          <w:highlight w:val="none"/>
        </w:rPr>
      </w:pPr>
      <w:bookmarkStart w:id="111" w:name="_Toc26027"/>
      <w:r>
        <w:rPr>
          <w:rFonts w:hint="default"/>
          <w:color w:val="auto"/>
          <w:highlight w:val="none"/>
        </w:rPr>
        <w:t>环境影响预测与</w:t>
      </w:r>
      <w:bookmarkEnd w:id="110"/>
      <w:r>
        <w:rPr>
          <w:rFonts w:hint="default"/>
          <w:color w:val="auto"/>
          <w:highlight w:val="none"/>
        </w:rPr>
        <w:t>评价</w:t>
      </w:r>
      <w:bookmarkEnd w:id="111"/>
    </w:p>
    <w:p w14:paraId="2505E7C2">
      <w:pPr>
        <w:pStyle w:val="4"/>
        <w:numPr>
          <w:ilvl w:val="1"/>
          <w:numId w:val="40"/>
        </w:numPr>
        <w:bidi w:val="0"/>
        <w:ind w:left="678" w:leftChars="0" w:firstLine="0" w:firstLineChars="0"/>
        <w:rPr>
          <w:rFonts w:hint="default"/>
          <w:color w:val="auto"/>
          <w:highlight w:val="none"/>
          <w:u w:val="single"/>
        </w:rPr>
      </w:pPr>
      <w:bookmarkStart w:id="112" w:name="_Toc21196"/>
      <w:r>
        <w:rPr>
          <w:rFonts w:hint="eastAsia"/>
          <w:color w:val="auto"/>
          <w:highlight w:val="none"/>
          <w:u w:val="single"/>
          <w:lang w:eastAsia="zh-CN"/>
        </w:rPr>
        <w:t>已施工部分环境影响回顾性评价</w:t>
      </w:r>
    </w:p>
    <w:p w14:paraId="7E6F6584">
      <w:pPr>
        <w:pStyle w:val="41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eastAsia="zh-CN"/>
        </w:rPr>
        <w:t>本项目于</w:t>
      </w:r>
      <w:r>
        <w:rPr>
          <w:rFonts w:hint="eastAsia" w:ascii="Times New Roman" w:hAnsi="Times New Roman" w:eastAsia="宋体" w:cs="Times New Roman"/>
          <w:color w:val="auto"/>
          <w:highlight w:val="none"/>
          <w:u w:val="single"/>
          <w:lang w:val="en-US" w:eastAsia="zh-CN"/>
        </w:rPr>
        <w:t>2024年12月26日正式开工建设，2025年5月已完成锦绣大道部分雨水</w:t>
      </w:r>
      <w:r>
        <w:rPr>
          <w:rFonts w:hint="eastAsia" w:ascii="Times New Roman" w:cs="Times New Roman"/>
          <w:color w:val="auto"/>
          <w:highlight w:val="none"/>
          <w:u w:val="single"/>
          <w:lang w:val="en-US" w:eastAsia="zh-CN"/>
        </w:rPr>
        <w:t>排水</w:t>
      </w:r>
      <w:r>
        <w:rPr>
          <w:rFonts w:hint="eastAsia" w:ascii="Times New Roman" w:hAnsi="Times New Roman" w:eastAsia="宋体" w:cs="Times New Roman"/>
          <w:color w:val="auto"/>
          <w:highlight w:val="none"/>
          <w:u w:val="single"/>
          <w:lang w:val="en-US" w:eastAsia="zh-CN"/>
        </w:rPr>
        <w:t>管敷设和水系改造段起点处箱涵施工，本次对已完成建设的工程内容进行回顾性分析。已建设部分施工过程中对易产生扬尘的作业采取湿法作业，固体废物分类回收利用，不能回收部分运至指定市政消纳场进行处置。施工过程中未出现环境污染事故，同时工程</w:t>
      </w:r>
      <w:r>
        <w:rPr>
          <w:rFonts w:hint="eastAsia" w:ascii="Times New Roman" w:cs="Times New Roman"/>
          <w:color w:val="auto"/>
          <w:highlight w:val="none"/>
          <w:u w:val="single"/>
          <w:lang w:val="en-US" w:eastAsia="zh-CN"/>
        </w:rPr>
        <w:t>实施</w:t>
      </w:r>
      <w:r>
        <w:rPr>
          <w:rFonts w:hint="eastAsia" w:ascii="Times New Roman" w:hAnsi="Times New Roman" w:eastAsia="宋体" w:cs="Times New Roman"/>
          <w:color w:val="auto"/>
          <w:highlight w:val="none"/>
          <w:u w:val="single"/>
          <w:lang w:val="en-US" w:eastAsia="zh-CN"/>
        </w:rPr>
        <w:t>所在地环保部门未收到群众</w:t>
      </w:r>
      <w:r>
        <w:rPr>
          <w:rFonts w:hint="eastAsia" w:ascii="Times New Roman" w:cs="Times New Roman"/>
          <w:color w:val="auto"/>
          <w:highlight w:val="none"/>
          <w:u w:val="single"/>
          <w:lang w:val="en-US" w:eastAsia="zh-CN"/>
        </w:rPr>
        <w:t>关于环保问题的投诉，没有发生生态环境污染问题。</w:t>
      </w:r>
    </w:p>
    <w:p w14:paraId="10C94F9B">
      <w:pPr>
        <w:pStyle w:val="5"/>
        <w:numPr>
          <w:ilvl w:val="2"/>
          <w:numId w:val="40"/>
        </w:numPr>
        <w:bidi w:val="0"/>
        <w:ind w:left="452" w:leftChars="0" w:firstLine="0" w:firstLineChars="0"/>
        <w:rPr>
          <w:rFonts w:hint="default"/>
          <w:color w:val="auto"/>
          <w:highlight w:val="none"/>
          <w:u w:val="single"/>
        </w:rPr>
      </w:pPr>
      <w:r>
        <w:rPr>
          <w:rFonts w:hint="eastAsia"/>
          <w:color w:val="auto"/>
          <w:highlight w:val="none"/>
          <w:u w:val="single"/>
          <w:lang w:eastAsia="zh-CN"/>
        </w:rPr>
        <w:t>施工期生态环境影响回顾性分析</w:t>
      </w:r>
    </w:p>
    <w:p w14:paraId="1B456A2F">
      <w:pPr>
        <w:pStyle w:val="410"/>
        <w:rPr>
          <w:rFonts w:hint="default" w:eastAsia="宋体"/>
          <w:b/>
          <w:bCs/>
          <w:color w:val="auto"/>
          <w:highlight w:val="none"/>
          <w:u w:val="single"/>
          <w:lang w:val="en-US" w:eastAsia="zh-CN"/>
        </w:rPr>
      </w:pPr>
      <w:r>
        <w:rPr>
          <w:rFonts w:hint="eastAsia"/>
          <w:b/>
          <w:bCs/>
          <w:color w:val="auto"/>
          <w:highlight w:val="none"/>
          <w:u w:val="single"/>
          <w:lang w:val="en-US" w:eastAsia="zh-CN"/>
        </w:rPr>
        <w:t>1、对陆生生态影响回顾性分析</w:t>
      </w:r>
    </w:p>
    <w:p w14:paraId="133601B9">
      <w:pPr>
        <w:pStyle w:val="410"/>
        <w:rPr>
          <w:rFonts w:hint="eastAsia" w:cs="Times New Roman"/>
          <w:color w:val="auto"/>
          <w:sz w:val="24"/>
          <w:szCs w:val="24"/>
          <w:highlight w:val="none"/>
          <w:u w:val="single" w:color="auto"/>
          <w:lang w:eastAsia="zh-CN"/>
        </w:rPr>
      </w:pPr>
      <w:r>
        <w:rPr>
          <w:rFonts w:hint="default" w:eastAsia="宋体"/>
          <w:color w:val="auto"/>
          <w:highlight w:val="none"/>
          <w:u w:val="single"/>
          <w:lang w:val="en-US" w:eastAsia="zh-CN"/>
        </w:rPr>
        <w:t>已</w:t>
      </w:r>
      <w:r>
        <w:rPr>
          <w:rFonts w:hint="eastAsia"/>
          <w:color w:val="auto"/>
          <w:highlight w:val="none"/>
          <w:u w:val="single"/>
          <w:lang w:val="en-US" w:eastAsia="zh-CN"/>
        </w:rPr>
        <w:t>建成</w:t>
      </w:r>
      <w:r>
        <w:rPr>
          <w:rFonts w:hint="default" w:eastAsia="宋体"/>
          <w:color w:val="auto"/>
          <w:highlight w:val="none"/>
          <w:u w:val="single"/>
          <w:lang w:val="en-US" w:eastAsia="zh-CN"/>
        </w:rPr>
        <w:t>工程对陆生生态的不利影响主要体现在</w:t>
      </w:r>
      <w:r>
        <w:rPr>
          <w:rFonts w:hint="eastAsia"/>
          <w:color w:val="auto"/>
          <w:highlight w:val="none"/>
          <w:u w:val="single"/>
          <w:lang w:val="en-US" w:eastAsia="zh-CN"/>
        </w:rPr>
        <w:t>锦绣大道排水改造段</w:t>
      </w:r>
      <w:r>
        <w:rPr>
          <w:rFonts w:hint="default" w:eastAsia="宋体"/>
          <w:color w:val="auto"/>
          <w:highlight w:val="none"/>
          <w:u w:val="single"/>
          <w:lang w:val="en-US" w:eastAsia="zh-CN"/>
        </w:rPr>
        <w:t>施工占地、</w:t>
      </w:r>
      <w:r>
        <w:rPr>
          <w:rFonts w:hint="eastAsia"/>
          <w:color w:val="auto"/>
          <w:highlight w:val="none"/>
          <w:u w:val="single"/>
          <w:lang w:val="en-US" w:eastAsia="zh-CN"/>
        </w:rPr>
        <w:t>施工</w:t>
      </w:r>
      <w:r>
        <w:rPr>
          <w:rFonts w:hint="default" w:eastAsia="宋体"/>
          <w:color w:val="auto"/>
          <w:highlight w:val="none"/>
          <w:u w:val="single"/>
          <w:lang w:val="en-US" w:eastAsia="zh-CN"/>
        </w:rPr>
        <w:t>等对地表植被和野生动物生境的破坏与扰动。</w:t>
      </w:r>
      <w:r>
        <w:rPr>
          <w:rFonts w:cs="Times New Roman"/>
          <w:color w:val="auto"/>
          <w:sz w:val="24"/>
          <w:szCs w:val="24"/>
          <w:highlight w:val="none"/>
          <w:u w:val="single" w:color="auto"/>
        </w:rPr>
        <w:t>施工机械的碾压、施工人员踩踏和</w:t>
      </w:r>
      <w:r>
        <w:rPr>
          <w:rFonts w:hint="eastAsia" w:cs="Times New Roman"/>
          <w:color w:val="auto"/>
          <w:sz w:val="24"/>
          <w:szCs w:val="24"/>
          <w:highlight w:val="none"/>
          <w:u w:val="single" w:color="auto"/>
          <w:lang w:eastAsia="zh-CN"/>
        </w:rPr>
        <w:t>施工材料</w:t>
      </w:r>
      <w:r>
        <w:rPr>
          <w:rFonts w:cs="Times New Roman"/>
          <w:color w:val="auto"/>
          <w:sz w:val="24"/>
          <w:szCs w:val="24"/>
          <w:highlight w:val="none"/>
          <w:u w:val="single" w:color="auto"/>
        </w:rPr>
        <w:t>的堆放等将使临时占地范围内植被遭到破坏，临时占地需把原来的地表覆盖物等全部清除</w:t>
      </w:r>
      <w:r>
        <w:rPr>
          <w:rFonts w:hint="eastAsia"/>
          <w:color w:val="auto"/>
          <w:highlight w:val="none"/>
          <w:u w:val="single"/>
          <w:lang w:val="en-US" w:eastAsia="zh-CN"/>
        </w:rPr>
        <w:t>，</w:t>
      </w:r>
      <w:r>
        <w:rPr>
          <w:rFonts w:cs="Times New Roman"/>
          <w:color w:val="auto"/>
          <w:sz w:val="24"/>
          <w:szCs w:val="24"/>
          <w:highlight w:val="none"/>
          <w:u w:val="single" w:color="auto"/>
        </w:rPr>
        <w:t>对占地范围内的植被和土地资源利用产生影响</w:t>
      </w:r>
      <w:r>
        <w:rPr>
          <w:rFonts w:hint="eastAsia" w:cs="Times New Roman"/>
          <w:color w:val="auto"/>
          <w:sz w:val="24"/>
          <w:szCs w:val="24"/>
          <w:highlight w:val="none"/>
          <w:u w:val="single" w:color="auto"/>
          <w:lang w:eastAsia="zh-CN"/>
        </w:rPr>
        <w:t>。项目施工占用陆生植被面积很小，不会导致陆生动物生境面积减小。</w:t>
      </w:r>
      <w:r>
        <w:rPr>
          <w:rFonts w:hint="eastAsia"/>
          <w:color w:val="auto"/>
          <w:highlight w:val="none"/>
          <w:u w:val="single"/>
          <w:lang w:val="en-US" w:eastAsia="zh-CN"/>
        </w:rPr>
        <w:t>锦绣大道排水改造段位于已建成的市政道路侧，陆生生态类型为城镇生态系统，</w:t>
      </w:r>
      <w:r>
        <w:rPr>
          <w:rFonts w:hint="eastAsia" w:cs="Times New Roman"/>
          <w:color w:val="auto"/>
          <w:sz w:val="24"/>
          <w:szCs w:val="24"/>
          <w:highlight w:val="none"/>
          <w:u w:val="single" w:color="auto"/>
          <w:lang w:eastAsia="zh-CN"/>
        </w:rPr>
        <w:t>受人类活动干扰较为频繁，其内分布的野生动物种类和数量有限，影响较小。改造工程施工期间人流增加和机器来往将对项目周边野生动物造成一定干扰，由于项目周边区域分布有大量同类型的生境，野生动物在受到影响后一般能在周边找到适宜生境；</w:t>
      </w:r>
    </w:p>
    <w:p w14:paraId="49F3B926">
      <w:pPr>
        <w:pStyle w:val="410"/>
        <w:rPr>
          <w:rFonts w:hint="eastAsia" w:cs="Times New Roman"/>
          <w:color w:val="auto"/>
          <w:sz w:val="24"/>
          <w:szCs w:val="24"/>
          <w:highlight w:val="none"/>
          <w:u w:val="single" w:color="auto"/>
          <w:lang w:eastAsia="zh-CN"/>
        </w:rPr>
      </w:pPr>
      <w:r>
        <w:rPr>
          <w:rFonts w:hint="eastAsia" w:cs="Times New Roman"/>
          <w:color w:val="auto"/>
          <w:sz w:val="24"/>
          <w:szCs w:val="24"/>
          <w:highlight w:val="none"/>
          <w:u w:val="single" w:color="auto"/>
          <w:lang w:eastAsia="zh-CN"/>
        </w:rPr>
        <w:t>施工单位施工结束后用原有表土进行覆盖，项目施工结束后对临时用地占用后恢复原状，</w:t>
      </w:r>
      <w:r>
        <w:rPr>
          <w:rFonts w:hint="default" w:ascii="Times New Roman" w:hAnsi="Times New Roman" w:eastAsia="宋体" w:cs="Times New Roman"/>
          <w:color w:val="auto"/>
          <w:kern w:val="2"/>
          <w:sz w:val="24"/>
          <w:szCs w:val="24"/>
          <w:highlight w:val="none"/>
          <w:u w:val="single" w:color="auto"/>
          <w:lang w:val="en-US" w:eastAsia="zh-CN" w:bidi="ar-SA"/>
        </w:rPr>
        <w:t>项目施工和营运不会对</w:t>
      </w:r>
      <w:r>
        <w:rPr>
          <w:rFonts w:hint="eastAsia" w:ascii="Times New Roman" w:hAnsi="Times New Roman" w:eastAsia="宋体" w:cs="Times New Roman"/>
          <w:color w:val="auto"/>
          <w:kern w:val="2"/>
          <w:sz w:val="24"/>
          <w:szCs w:val="24"/>
          <w:highlight w:val="none"/>
          <w:u w:val="single" w:color="auto"/>
          <w:lang w:val="en-US" w:eastAsia="zh-CN" w:bidi="ar-SA"/>
        </w:rPr>
        <w:t>陆生动物</w:t>
      </w:r>
      <w:r>
        <w:rPr>
          <w:rFonts w:hint="default" w:ascii="Times New Roman" w:hAnsi="Times New Roman" w:eastAsia="宋体" w:cs="Times New Roman"/>
          <w:color w:val="auto"/>
          <w:kern w:val="2"/>
          <w:sz w:val="24"/>
          <w:szCs w:val="24"/>
          <w:highlight w:val="none"/>
          <w:u w:val="single" w:color="auto"/>
          <w:lang w:val="en-US" w:eastAsia="zh-CN" w:bidi="ar-SA"/>
        </w:rPr>
        <w:t>的栖息造成大的威胁。</w:t>
      </w:r>
    </w:p>
    <w:p w14:paraId="28F40498">
      <w:pPr>
        <w:pStyle w:val="410"/>
        <w:rPr>
          <w:rFonts w:hint="default" w:ascii="宋体" w:hAnsi="Times New Roman" w:eastAsia="宋体" w:cs="Times New Roman"/>
          <w:b/>
          <w:bCs/>
          <w:color w:val="auto"/>
          <w:highlight w:val="none"/>
          <w:u w:val="single"/>
          <w:lang w:val="en-US" w:eastAsia="zh-CN"/>
        </w:rPr>
      </w:pPr>
      <w:r>
        <w:rPr>
          <w:rFonts w:hint="eastAsia" w:ascii="宋体" w:hAnsi="Times New Roman" w:eastAsia="宋体" w:cs="Times New Roman"/>
          <w:b/>
          <w:bCs/>
          <w:color w:val="auto"/>
          <w:highlight w:val="none"/>
          <w:u w:val="single"/>
          <w:lang w:val="en-US" w:eastAsia="zh-CN"/>
        </w:rPr>
        <w:t>2、对水生生态影响回顾性分析</w:t>
      </w:r>
    </w:p>
    <w:p w14:paraId="3DC7A3B9">
      <w:pPr>
        <w:pStyle w:val="410"/>
        <w:rPr>
          <w:rFonts w:hint="eastAsia"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已建成工程部分施工过程中对水生生态的影响主要表现在箱涵施工前设置的施工围堰设置和河床导流，施工</w:t>
      </w:r>
      <w:r>
        <w:rPr>
          <w:rFonts w:hint="eastAsia" w:ascii="Times New Roman" w:cs="Times New Roman"/>
          <w:color w:val="auto"/>
          <w:highlight w:val="none"/>
          <w:u w:val="single"/>
          <w:lang w:val="en-US" w:eastAsia="zh-CN"/>
        </w:rPr>
        <w:t>对</w:t>
      </w:r>
      <w:r>
        <w:rPr>
          <w:rFonts w:hint="eastAsia" w:ascii="Times New Roman" w:hAnsi="Times New Roman" w:eastAsia="宋体" w:cs="Times New Roman"/>
          <w:color w:val="auto"/>
          <w:highlight w:val="none"/>
          <w:u w:val="single"/>
          <w:lang w:val="en-US" w:eastAsia="zh-CN"/>
        </w:rPr>
        <w:t>水生生态的影响主要表现在施工围堰搭设过程中对水体的扰动和局部生境的破坏。</w:t>
      </w:r>
    </w:p>
    <w:p w14:paraId="66F036DD">
      <w:pPr>
        <w:pStyle w:val="41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项目箱涵施工在枯水期（12月至次年2月），箱涵施工前对河道进行导流并搭设土石围堰，对区域进行干式清淤换填，设立箱涵。施工范围内的水生生境被破坏，局部底栖生物死亡，部分水生生物（如鱼类）向周边相似生境迁移，箱涵施工区域面积较小，施工后时间较短，导流后不会导致水系断流，对水生生态的影响是局部的，对整体水生生态环境影响不大。</w:t>
      </w:r>
    </w:p>
    <w:p w14:paraId="7D734EE9">
      <w:pPr>
        <w:pStyle w:val="5"/>
        <w:numPr>
          <w:ilvl w:val="2"/>
          <w:numId w:val="40"/>
        </w:numPr>
        <w:bidi w:val="0"/>
        <w:ind w:left="452" w:leftChars="0" w:firstLine="0" w:firstLineChars="0"/>
        <w:rPr>
          <w:rFonts w:hint="default"/>
          <w:color w:val="auto"/>
          <w:highlight w:val="none"/>
          <w:u w:val="single"/>
        </w:rPr>
      </w:pPr>
      <w:r>
        <w:rPr>
          <w:rFonts w:hint="eastAsia"/>
          <w:color w:val="auto"/>
          <w:highlight w:val="none"/>
          <w:u w:val="single"/>
          <w:lang w:eastAsia="zh-CN"/>
        </w:rPr>
        <w:t>施工期地表水环境影响回顾性分析</w:t>
      </w:r>
    </w:p>
    <w:p w14:paraId="6DA62CC2">
      <w:pPr>
        <w:pStyle w:val="410"/>
        <w:rPr>
          <w:rFonts w:hint="eastAsia" w:ascii="Times New Roman" w:hAnsi="Times New Roman" w:eastAsia="宋体" w:cs="Times New Roman"/>
          <w:color w:val="auto"/>
          <w:highlight w:val="none"/>
          <w:u w:val="single"/>
          <w:lang w:eastAsia="zh-CN"/>
        </w:rPr>
      </w:pPr>
      <w:r>
        <w:rPr>
          <w:rFonts w:hint="eastAsia" w:ascii="Times New Roman" w:cs="Times New Roman"/>
          <w:color w:val="auto"/>
          <w:highlight w:val="none"/>
          <w:u w:val="single"/>
          <w:lang w:eastAsia="zh-CN"/>
        </w:rPr>
        <w:t>锦绣大道排水改造工程及水系改造段起点处箱涵部分施工过程中对地表水环境产生影响的主要施工工序为雨水管敷设、箱涵施工围堰过程中基坑废水，降雨时施工期产生的初期雨水。项目施工产生的基坑废水经沉淀池沉淀后回用于施工用于施工场区洒水降尘，不外排；初期雨水经雨水收集池收集沉淀后</w:t>
      </w:r>
      <w:r>
        <w:rPr>
          <w:rFonts w:hint="eastAsia" w:ascii="Times New Roman" w:hAnsi="Times New Roman" w:cs="Times New Roman"/>
          <w:color w:val="auto"/>
          <w:highlight w:val="none"/>
          <w:u w:val="single"/>
          <w:lang w:eastAsia="zh-CN"/>
        </w:rPr>
        <w:t>用于施工场区洒水降尘，不外排</w:t>
      </w:r>
      <w:r>
        <w:rPr>
          <w:rFonts w:hint="eastAsia" w:ascii="Times New Roman" w:cs="Times New Roman"/>
          <w:color w:val="auto"/>
          <w:highlight w:val="none"/>
          <w:u w:val="single"/>
          <w:lang w:eastAsia="zh-CN"/>
        </w:rPr>
        <w:t>；</w:t>
      </w:r>
    </w:p>
    <w:p w14:paraId="7080EF50">
      <w:pPr>
        <w:pStyle w:val="410"/>
        <w:rPr>
          <w:rFonts w:hint="default" w:ascii="Times New Roman" w:cs="Times New Roman"/>
          <w:color w:val="auto"/>
          <w:highlight w:val="none"/>
          <w:u w:val="single"/>
          <w:lang w:val="en-US" w:eastAsia="zh-CN"/>
        </w:rPr>
      </w:pPr>
      <w:r>
        <w:rPr>
          <w:rFonts w:hint="eastAsia" w:ascii="Times New Roman" w:cs="Times New Roman"/>
          <w:color w:val="auto"/>
          <w:highlight w:val="none"/>
          <w:u w:val="single"/>
          <w:lang w:eastAsia="zh-CN"/>
        </w:rPr>
        <w:t>施工单位在施工过程中采取了相应的废水处置措施，已施工的项目范围内并</w:t>
      </w:r>
      <w:r>
        <w:rPr>
          <w:rFonts w:hint="eastAsia" w:ascii="Times New Roman" w:cs="Times New Roman"/>
          <w:color w:val="auto"/>
          <w:highlight w:val="none"/>
          <w:u w:val="single"/>
          <w:lang w:val="en-US" w:eastAsia="zh-CN"/>
        </w:rPr>
        <w:t>未</w:t>
      </w:r>
      <w:r>
        <w:rPr>
          <w:rFonts w:hint="eastAsia" w:ascii="Times New Roman" w:cs="Times New Roman"/>
          <w:color w:val="auto"/>
          <w:highlight w:val="none"/>
          <w:u w:val="single"/>
          <w:lang w:eastAsia="zh-CN"/>
        </w:rPr>
        <w:t>发生水污染环境事故，不存在本次施工带来的影响。</w:t>
      </w:r>
    </w:p>
    <w:p w14:paraId="7ACC3E21">
      <w:pPr>
        <w:pStyle w:val="5"/>
        <w:numPr>
          <w:ilvl w:val="2"/>
          <w:numId w:val="40"/>
        </w:numPr>
        <w:bidi w:val="0"/>
        <w:ind w:left="452" w:leftChars="0" w:firstLine="0" w:firstLineChars="0"/>
        <w:rPr>
          <w:rFonts w:hint="default" w:ascii="Times New Roman" w:cs="Times New Roman"/>
          <w:color w:val="auto"/>
          <w:highlight w:val="none"/>
          <w:u w:val="single"/>
          <w:lang w:eastAsia="zh-CN"/>
        </w:rPr>
      </w:pPr>
      <w:r>
        <w:rPr>
          <w:rFonts w:hint="eastAsia" w:cs="Times New Roman"/>
          <w:color w:val="auto"/>
          <w:highlight w:val="none"/>
          <w:u w:val="single"/>
          <w:lang w:eastAsia="zh-CN"/>
        </w:rPr>
        <w:t>施工期环境空气影响回顾性分析</w:t>
      </w:r>
    </w:p>
    <w:p w14:paraId="627F3516">
      <w:pPr>
        <w:pStyle w:val="410"/>
        <w:rPr>
          <w:rFonts w:hint="eastAsia" w:ascii="Times New Roman" w:cs="Times New Roman"/>
          <w:color w:val="auto"/>
          <w:highlight w:val="none"/>
          <w:u w:val="single"/>
          <w:lang w:val="en-US" w:eastAsia="zh-CN"/>
        </w:rPr>
      </w:pPr>
      <w:r>
        <w:rPr>
          <w:rFonts w:hint="eastAsia" w:ascii="Times New Roman" w:cs="Times New Roman"/>
          <w:color w:val="auto"/>
          <w:highlight w:val="none"/>
          <w:u w:val="single"/>
          <w:lang w:eastAsia="zh-CN"/>
        </w:rPr>
        <w:t>已完工工程内容中，施工过程中对大气环境产生影响的施工工序有</w:t>
      </w:r>
      <w:r>
        <w:rPr>
          <w:rFonts w:hint="eastAsia" w:ascii="Times New Roman" w:cs="Times New Roman"/>
          <w:color w:val="auto"/>
          <w:highlight w:val="none"/>
          <w:u w:val="single"/>
          <w:lang w:val="en-US" w:eastAsia="zh-CN"/>
        </w:rPr>
        <w:t>雨水排水管沟</w:t>
      </w:r>
      <w:r>
        <w:rPr>
          <w:rFonts w:hint="eastAsia" w:ascii="Times New Roman" w:cs="Times New Roman"/>
          <w:color w:val="auto"/>
          <w:highlight w:val="none"/>
          <w:u w:val="single"/>
          <w:lang w:eastAsia="zh-CN"/>
        </w:rPr>
        <w:t>开挖和箱涵基坑开挖。</w:t>
      </w:r>
      <w:r>
        <w:rPr>
          <w:rFonts w:hint="eastAsia" w:ascii="Times New Roman" w:cs="Times New Roman"/>
          <w:color w:val="auto"/>
          <w:highlight w:val="none"/>
          <w:u w:val="single"/>
          <w:lang w:val="en-US" w:eastAsia="zh-CN"/>
        </w:rPr>
        <w:t>项目施工期间大气污染物主要为施工扬尘、道路运输扬尘、燃油机械废气、淤泥恶臭。</w:t>
      </w:r>
    </w:p>
    <w:p w14:paraId="155AD96D">
      <w:pPr>
        <w:pStyle w:val="410"/>
        <w:rPr>
          <w:rFonts w:hint="default" w:ascii="Times New Roman" w:cs="Times New Roman"/>
          <w:color w:val="auto"/>
          <w:highlight w:val="none"/>
          <w:u w:val="single"/>
          <w:lang w:val="en-US" w:eastAsia="zh-CN"/>
        </w:rPr>
      </w:pPr>
      <w:r>
        <w:rPr>
          <w:rFonts w:hint="eastAsia" w:ascii="Times New Roman" w:cs="Times New Roman"/>
          <w:color w:val="auto"/>
          <w:highlight w:val="none"/>
          <w:u w:val="single"/>
          <w:lang w:val="en-US" w:eastAsia="zh-CN"/>
        </w:rPr>
        <w:t>施工单位在施工过程中采取了施工区洒水、设立施工边界围挡、运输车辆冲洗平台，采取露地面覆盖、易扬尘物料覆盖、运输车辆密闭等措施，施工结束后施工扬尘、道路运输扬尘、燃油机械废气随施工结束而消失，对环境影响不大。</w:t>
      </w:r>
    </w:p>
    <w:p w14:paraId="63A24B5C">
      <w:pPr>
        <w:pStyle w:val="5"/>
        <w:numPr>
          <w:ilvl w:val="2"/>
          <w:numId w:val="40"/>
        </w:numPr>
        <w:bidi w:val="0"/>
        <w:ind w:left="452" w:leftChars="0" w:firstLine="0" w:firstLineChars="0"/>
        <w:rPr>
          <w:rFonts w:hint="default" w:ascii="Times New Roman" w:hAnsi="Times New Roman" w:eastAsia="宋体" w:cs="Times New Roman"/>
          <w:color w:val="auto"/>
          <w:highlight w:val="none"/>
          <w:u w:val="single"/>
          <w:lang w:eastAsia="zh-CN"/>
        </w:rPr>
      </w:pPr>
      <w:r>
        <w:rPr>
          <w:rFonts w:hint="eastAsia" w:cs="Times New Roman"/>
          <w:color w:val="auto"/>
          <w:highlight w:val="none"/>
          <w:u w:val="single"/>
          <w:lang w:val="en-US" w:eastAsia="zh-CN"/>
        </w:rPr>
        <w:t>施工期声环境影响分析</w:t>
      </w:r>
    </w:p>
    <w:p w14:paraId="2FF519E2">
      <w:pPr>
        <w:pStyle w:val="410"/>
        <w:rPr>
          <w:rFonts w:hint="eastAsia"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已建设工程内容中，主要是位雨水管沟开挖、箱涵基坑开挖施工过程中产生的施工噪声，主要表现在挖掘机、振捣器、 运输车辆等机械产生的机械噪声。在施工过程中，施工单位通过合理安排了施工时间，采取了相关围挡措施，尽量避开了居民正常休息时间段，将噪声影响减少到了最小，施工期噪声能满足《建筑施工场界环境噪声排放标准》（GB12523-2011）要求。因此，已完工工程内容对区域声环境影响较小，不存在本次施工带来的噪声影响。</w:t>
      </w:r>
    </w:p>
    <w:p w14:paraId="46800576">
      <w:pPr>
        <w:pStyle w:val="5"/>
        <w:numPr>
          <w:ilvl w:val="2"/>
          <w:numId w:val="40"/>
        </w:numPr>
        <w:bidi w:val="0"/>
        <w:ind w:left="452" w:lef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施工期固体废物影响回顾性分析</w:t>
      </w:r>
    </w:p>
    <w:p w14:paraId="0537CC86">
      <w:pPr>
        <w:pStyle w:val="41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本工程施工产生的固体废物主要来源于建筑垃圾、排水管开挖土方，箱涵施工区土方。项目施工产生的建筑垃圾经分类后回收利用，不能回收部分运至市政指定消纳场进行处置；排水管沟开挖产生的土方临时对方至排水管沟两侧（排水管沟两侧5m范围），敷设排水管后回覆；箱涵施工产生的淤泥运至临时中转场内暂存，干化后用于钦州港路、曲绣路回填区边坡绿化覆土。</w:t>
      </w:r>
    </w:p>
    <w:p w14:paraId="58758583">
      <w:pPr>
        <w:pStyle w:val="410"/>
        <w:rPr>
          <w:rFonts w:hint="eastAsia"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施工产生的固体废物均得到合理有效处置，对周围环境影响不大。</w:t>
      </w:r>
    </w:p>
    <w:p w14:paraId="6C6CF9DC">
      <w:pPr>
        <w:pStyle w:val="5"/>
        <w:numPr>
          <w:ilvl w:val="2"/>
          <w:numId w:val="40"/>
        </w:numPr>
        <w:bidi w:val="0"/>
        <w:ind w:left="452" w:lef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施工期环境风险环境影响回顾性分析</w:t>
      </w:r>
    </w:p>
    <w:p w14:paraId="05C7B91C">
      <w:pPr>
        <w:pStyle w:val="41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项目营运不产生污染物，工程施工期存在的主要环境风险包括燃油泄露，突发性事故溢油，施工废污水事故排放对环境造成的污染等。通过采取相应的环境风险防范措施，已完工工程部分施工期未发生上述环境风险事件。</w:t>
      </w:r>
    </w:p>
    <w:p w14:paraId="56415F83">
      <w:pPr>
        <w:pStyle w:val="5"/>
        <w:numPr>
          <w:ilvl w:val="2"/>
          <w:numId w:val="40"/>
        </w:numPr>
        <w:bidi w:val="0"/>
        <w:ind w:left="452" w:lef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已施工部分环境影响回顾性分析小结</w:t>
      </w:r>
    </w:p>
    <w:p w14:paraId="64BE9526">
      <w:pPr>
        <w:pStyle w:val="41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本项目已完工部分为锦绣大道部分雨水</w:t>
      </w:r>
      <w:r>
        <w:rPr>
          <w:rFonts w:hint="eastAsia" w:ascii="Times New Roman" w:cs="Times New Roman"/>
          <w:color w:val="auto"/>
          <w:highlight w:val="none"/>
          <w:u w:val="single"/>
          <w:lang w:val="en-US" w:eastAsia="zh-CN"/>
        </w:rPr>
        <w:t>排水</w:t>
      </w:r>
      <w:r>
        <w:rPr>
          <w:rFonts w:hint="eastAsia" w:ascii="Times New Roman" w:hAnsi="Times New Roman" w:eastAsia="宋体" w:cs="Times New Roman"/>
          <w:color w:val="auto"/>
          <w:highlight w:val="none"/>
          <w:u w:val="single"/>
          <w:lang w:val="en-US" w:eastAsia="zh-CN"/>
        </w:rPr>
        <w:t>管敷设和水系改造段起点处箱涵施工，已施工内容较少且施工工序简单，项目已施工整体对环境影响较小，已完工工程内容采取了相应的污染防治措施，并未发生环境污染事故，因此已完工工程施工期对环境影响是可以接受的。</w:t>
      </w:r>
    </w:p>
    <w:p w14:paraId="147DB760">
      <w:pPr>
        <w:pStyle w:val="4"/>
        <w:numPr>
          <w:ilvl w:val="1"/>
          <w:numId w:val="40"/>
        </w:numPr>
        <w:bidi w:val="0"/>
        <w:ind w:left="678" w:leftChars="0" w:firstLine="0" w:firstLineChars="0"/>
        <w:rPr>
          <w:rFonts w:hint="default"/>
          <w:color w:val="auto"/>
          <w:highlight w:val="none"/>
        </w:rPr>
      </w:pPr>
      <w:r>
        <w:rPr>
          <w:rFonts w:hint="default"/>
          <w:color w:val="auto"/>
          <w:highlight w:val="none"/>
        </w:rPr>
        <w:t>施工期环境影响评价</w:t>
      </w:r>
      <w:bookmarkEnd w:id="112"/>
    </w:p>
    <w:p w14:paraId="35EDE6F0">
      <w:pPr>
        <w:pStyle w:val="5"/>
        <w:numPr>
          <w:ilvl w:val="2"/>
          <w:numId w:val="40"/>
        </w:numPr>
        <w:bidi w:val="0"/>
        <w:ind w:left="452" w:leftChars="0" w:firstLine="0" w:firstLineChars="0"/>
        <w:rPr>
          <w:rFonts w:hint="default"/>
          <w:color w:val="auto"/>
          <w:highlight w:val="none"/>
        </w:rPr>
      </w:pPr>
      <w:r>
        <w:rPr>
          <w:rFonts w:hint="default"/>
          <w:color w:val="auto"/>
          <w:highlight w:val="none"/>
        </w:rPr>
        <w:t>施工期生态环境影响分析</w:t>
      </w:r>
    </w:p>
    <w:p w14:paraId="0D3626A0">
      <w:pPr>
        <w:pStyle w:val="410"/>
        <w:rPr>
          <w:rFonts w:hint="default" w:ascii="Times New Roman" w:hAnsi="Times New Roman" w:eastAsia="宋体" w:cs="Times New Roman"/>
          <w:b/>
          <w:bCs/>
          <w:color w:val="auto"/>
          <w:highlight w:val="none"/>
          <w:u w:val="none"/>
          <w:lang w:val="en-US" w:eastAsia="zh-CN"/>
        </w:rPr>
      </w:pPr>
      <w:r>
        <w:rPr>
          <w:rFonts w:hint="default" w:ascii="Times New Roman" w:hAnsi="Times New Roman" w:eastAsia="宋体" w:cs="Times New Roman"/>
          <w:b/>
          <w:bCs/>
          <w:color w:val="auto"/>
          <w:highlight w:val="none"/>
          <w:u w:val="none"/>
          <w:lang w:val="en-US" w:eastAsia="zh-CN"/>
        </w:rPr>
        <w:t>（1）工程占地影响分析</w:t>
      </w:r>
    </w:p>
    <w:p w14:paraId="1E8CA447">
      <w:pPr>
        <w:pStyle w:val="41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项目所在区域属于亚热带气候区，气候温和，适合植物生长。工程建成后通过对沿线边坡进行绿化，</w:t>
      </w:r>
      <w:r>
        <w:rPr>
          <w:rFonts w:hint="eastAsia" w:ascii="Times New Roman" w:cs="Times New Roman"/>
          <w:color w:val="auto"/>
          <w:highlight w:val="none"/>
          <w:u w:val="single"/>
          <w:lang w:val="en-US" w:eastAsia="zh-CN"/>
        </w:rPr>
        <w:t>播撒草籽应选择本地易生耐活物种，生长迅速、易于管理、适应性强且快速覆盖地面的物种，可迅速固定土壤，减少水土流失的同时</w:t>
      </w:r>
      <w:r>
        <w:rPr>
          <w:rFonts w:hint="default" w:ascii="Times New Roman" w:hAnsi="Times New Roman" w:eastAsia="宋体" w:cs="Times New Roman"/>
          <w:color w:val="auto"/>
          <w:highlight w:val="none"/>
          <w:u w:val="none"/>
        </w:rPr>
        <w:t>最大限度提高绿化带的生物量，弥补了永久征地因项目施工建设导致的生物损失量；临时占地在施工结束后通过植被恢复可以得到很大程度的补偿。总体来说，项目工程占地损失一定的生物量，但经绿化补偿后，对沿线生态系统影响较小。</w:t>
      </w:r>
    </w:p>
    <w:p w14:paraId="73BA7ECA">
      <w:pPr>
        <w:pStyle w:val="410"/>
        <w:numPr>
          <w:ilvl w:val="0"/>
          <w:numId w:val="42"/>
        </w:numPr>
        <w:ind w:left="0" w:leftChars="0" w:firstLine="442" w:firstLineChars="200"/>
        <w:rPr>
          <w:rFonts w:hint="default" w:ascii="Times New Roman" w:hAnsi="Times New Roman" w:eastAsia="宋体" w:cs="Times New Roman"/>
          <w:b/>
          <w:bCs/>
          <w:color w:val="auto"/>
          <w:highlight w:val="none"/>
          <w:u w:val="none"/>
          <w:lang w:val="en-US" w:eastAsia="zh-CN"/>
        </w:rPr>
      </w:pPr>
      <w:r>
        <w:rPr>
          <w:rFonts w:hint="default" w:ascii="Times New Roman" w:hAnsi="Times New Roman" w:eastAsia="宋体" w:cs="Times New Roman"/>
          <w:b/>
          <w:bCs/>
          <w:color w:val="auto"/>
          <w:highlight w:val="none"/>
          <w:u w:val="none"/>
          <w:lang w:val="en-US" w:eastAsia="zh-CN"/>
        </w:rPr>
        <w:t>对陆生生态的影响分析</w:t>
      </w:r>
    </w:p>
    <w:p w14:paraId="56E443B9">
      <w:pPr>
        <w:pStyle w:val="410"/>
        <w:rPr>
          <w:rFonts w:hint="default" w:ascii="Times New Roman" w:hAnsi="Times New Roman" w:eastAsia="宋体" w:cs="Times New Roman"/>
          <w:b/>
          <w:bCs/>
          <w:color w:val="auto"/>
          <w:highlight w:val="none"/>
          <w:u w:val="none"/>
          <w:lang w:val="en-US" w:eastAsia="zh-CN"/>
        </w:rPr>
      </w:pPr>
      <w:r>
        <w:rPr>
          <w:rFonts w:hint="default" w:ascii="Times New Roman" w:hAnsi="Times New Roman" w:cs="Times New Roman"/>
          <w:color w:val="auto"/>
          <w:highlight w:val="none"/>
        </w:rPr>
        <w:t>项目所在区域</w:t>
      </w:r>
      <w:r>
        <w:rPr>
          <w:rFonts w:hint="eastAsia"/>
          <w:color w:val="auto"/>
          <w:highlight w:val="none"/>
          <w:lang w:eastAsia="zh-CN"/>
        </w:rPr>
        <w:t>受人类活动影响频繁，区域植被主要为人工植被，</w:t>
      </w:r>
      <w:r>
        <w:rPr>
          <w:rFonts w:hint="default" w:ascii="Times New Roman" w:hAnsi="Times New Roman" w:cs="Times New Roman"/>
          <w:color w:val="auto"/>
          <w:highlight w:val="none"/>
        </w:rPr>
        <w:t>土地现状植被量较少，占用植被环境服务能力低，且受到影响的这些植物种类都不属于珍稀濒危的保护植物种类，对区域植被的稳定性和环境服务能力影响的范围较小、程度不大，不会导致区域植被类型消失。工程造成的区域生物量变化不大，项目建成后通过绿化可补偿一定的生物量损失，对区域植被类型多样性及生物量的损失影响是可以接受的。</w:t>
      </w:r>
    </w:p>
    <w:p w14:paraId="6BFD5CAE">
      <w:pPr>
        <w:pStyle w:val="41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根据生态现状调查，项目评价区无野生重点保护动物的天然集中生境（栖息地）分布，不属野生动物集中分布区，无大型哺乳类动物通道分布。因该区域人为干扰强烈，开发强度大，野生动物现存数量不多，相对常见的多为已适应人类活动影响的常见物种。工程施工占地和施工行为对动物的影响表现为生境的占用、生境破坏和活动的干扰，但周边地区相同生境较多，动物可迁往附近未受干扰区域，因此工程对其影响不大。</w:t>
      </w:r>
    </w:p>
    <w:p w14:paraId="3A495902">
      <w:pPr>
        <w:pStyle w:val="410"/>
        <w:numPr>
          <w:ilvl w:val="0"/>
          <w:numId w:val="42"/>
        </w:numPr>
        <w:ind w:left="0" w:leftChars="0" w:firstLine="442" w:firstLineChars="200"/>
        <w:rPr>
          <w:rFonts w:hint="default" w:ascii="Times New Roman" w:hAnsi="Times New Roman" w:eastAsia="宋体" w:cs="Times New Roman"/>
          <w:b/>
          <w:bCs/>
          <w:color w:val="auto"/>
          <w:highlight w:val="none"/>
          <w:u w:val="none"/>
          <w:lang w:val="en-US" w:eastAsia="zh-CN"/>
        </w:rPr>
      </w:pPr>
      <w:r>
        <w:rPr>
          <w:rFonts w:hint="default" w:ascii="Times New Roman" w:hAnsi="Times New Roman" w:eastAsia="宋体" w:cs="Times New Roman"/>
          <w:b/>
          <w:bCs/>
          <w:color w:val="auto"/>
          <w:highlight w:val="none"/>
          <w:u w:val="none"/>
          <w:lang w:val="en-US" w:eastAsia="zh-CN"/>
        </w:rPr>
        <w:t>对水生生态影响分析</w:t>
      </w:r>
    </w:p>
    <w:p w14:paraId="2EBE1A99">
      <w:pPr>
        <w:pStyle w:val="684"/>
        <w:ind w:firstLine="442"/>
        <w:rPr>
          <w:rFonts w:hint="default" w:ascii="Times New Roman" w:hAnsi="Times New Roman" w:cs="Times New Roman"/>
          <w:color w:val="auto"/>
          <w:highlight w:val="none"/>
        </w:rPr>
      </w:pPr>
      <w:r>
        <w:rPr>
          <w:rFonts w:hint="eastAsia" w:ascii="Times New Roman" w:cs="Times New Roman"/>
          <w:color w:val="auto"/>
          <w:highlight w:val="none"/>
          <w:u w:val="single"/>
          <w:lang w:val="en-US" w:eastAsia="zh-CN"/>
        </w:rPr>
        <w:t>根据工程特点，施工前进行施工导流和搭设施工围堰，并对围堰内的部分原河道进行干式清淤，不涉及水下施工，施工对水生生态的影响主要为</w:t>
      </w:r>
      <w:r>
        <w:rPr>
          <w:rFonts w:hint="eastAsia" w:ascii="Times New Roman" w:cs="Times New Roman"/>
          <w:color w:val="auto"/>
          <w:highlight w:val="none"/>
          <w:lang w:eastAsia="zh-CN"/>
        </w:rPr>
        <w:t>水系改造段施工导流和施工围堰</w:t>
      </w:r>
      <w:r>
        <w:rPr>
          <w:rFonts w:hint="default" w:ascii="Times New Roman" w:hAnsi="Times New Roman" w:cs="Times New Roman"/>
          <w:color w:val="auto"/>
          <w:highlight w:val="none"/>
        </w:rPr>
        <w:t>涉水</w:t>
      </w:r>
      <w:r>
        <w:rPr>
          <w:rFonts w:hint="eastAsia" w:ascii="Times New Roman" w:cs="Times New Roman"/>
          <w:color w:val="auto"/>
          <w:highlight w:val="none"/>
          <w:lang w:eastAsia="zh-CN"/>
        </w:rPr>
        <w:t>施工对淡水湾江</w:t>
      </w:r>
      <w:r>
        <w:rPr>
          <w:rFonts w:hint="default" w:ascii="Times New Roman" w:hAnsi="Times New Roman" w:cs="Times New Roman"/>
          <w:color w:val="auto"/>
          <w:highlight w:val="none"/>
        </w:rPr>
        <w:t>水体的扰动，主要会在短期内使局部水域的</w:t>
      </w:r>
      <w:r>
        <w:rPr>
          <w:rFonts w:hint="eastAsia" w:ascii="Times New Roman" w:cs="Times New Roman"/>
          <w:color w:val="auto"/>
          <w:highlight w:val="none"/>
          <w:lang w:eastAsia="zh-CN"/>
        </w:rPr>
        <w:t>浑浊度</w:t>
      </w:r>
      <w:r>
        <w:rPr>
          <w:rFonts w:hint="default" w:ascii="Times New Roman" w:hAnsi="Times New Roman" w:cs="Times New Roman"/>
          <w:color w:val="auto"/>
          <w:highlight w:val="none"/>
        </w:rPr>
        <w:t>提高。施工活动破坏原有水生生境，对受影响区域内水生生物的正常生存和繁衍造成影响。其中，浮游生物中喜洁净水质的藻类等物种的正常光合作用将受到抑制，导致部分浮游藻类死亡；底栖动物移动能力弱，</w:t>
      </w:r>
      <w:r>
        <w:rPr>
          <w:rFonts w:hint="eastAsia" w:ascii="Times New Roman" w:cs="Times New Roman"/>
          <w:color w:val="auto"/>
          <w:highlight w:val="none"/>
          <w:u w:val="single"/>
          <w:lang w:val="en-US" w:eastAsia="zh-CN"/>
        </w:rPr>
        <w:t>曲绣路和</w:t>
      </w:r>
      <w:r>
        <w:rPr>
          <w:rFonts w:hint="eastAsia" w:ascii="Times New Roman" w:hAnsi="Times New Roman" w:cs="Times New Roman"/>
          <w:color w:val="auto"/>
          <w:highlight w:val="none"/>
          <w:u w:val="single"/>
          <w:lang w:val="en-US" w:eastAsia="zh-CN"/>
        </w:rPr>
        <w:t>渠道</w:t>
      </w:r>
      <w:r>
        <w:rPr>
          <w:rFonts w:hint="eastAsia" w:ascii="Times New Roman" w:cs="Times New Roman"/>
          <w:color w:val="auto"/>
          <w:highlight w:val="none"/>
          <w:u w:val="single"/>
          <w:lang w:val="en-US" w:eastAsia="zh-CN"/>
        </w:rPr>
        <w:t>部分的清淤会导致</w:t>
      </w:r>
      <w:r>
        <w:rPr>
          <w:rFonts w:hint="default" w:ascii="Times New Roman" w:hAnsi="Times New Roman" w:cs="Times New Roman"/>
          <w:color w:val="auto"/>
          <w:highlight w:val="none"/>
          <w:u w:val="single"/>
        </w:rPr>
        <w:t>底栖动物将被损毁</w:t>
      </w:r>
      <w:r>
        <w:rPr>
          <w:rFonts w:hint="default" w:ascii="Times New Roman" w:hAnsi="Times New Roman" w:cs="Times New Roman"/>
          <w:color w:val="auto"/>
          <w:highlight w:val="none"/>
        </w:rPr>
        <w:t>；成鱼则可以通过主动逃逸避开不利影响，基本能消除工程施工对它们的不利影响。</w:t>
      </w:r>
    </w:p>
    <w:p w14:paraId="7D0EC8E8">
      <w:pPr>
        <w:pStyle w:val="68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①施工期对浮游植物的影响</w:t>
      </w:r>
    </w:p>
    <w:p w14:paraId="44322DFC">
      <w:pPr>
        <w:pStyle w:val="684"/>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u w:val="single"/>
          <w:lang w:val="en-US" w:eastAsia="zh-CN"/>
        </w:rPr>
        <w:t>施工围堰搭设和河床导流对</w:t>
      </w:r>
      <w:r>
        <w:rPr>
          <w:rFonts w:hint="default" w:ascii="Times New Roman" w:hAnsi="Times New Roman" w:cs="Times New Roman"/>
          <w:color w:val="auto"/>
          <w:highlight w:val="none"/>
        </w:rPr>
        <w:t>水体扰动导致</w:t>
      </w:r>
      <w:r>
        <w:rPr>
          <w:rFonts w:hint="eastAsia" w:ascii="Times New Roman" w:cs="Times New Roman"/>
          <w:color w:val="auto"/>
          <w:highlight w:val="none"/>
          <w:lang w:val="en-US" w:eastAsia="zh-CN"/>
        </w:rPr>
        <w:t>水体</w:t>
      </w:r>
      <w:r>
        <w:rPr>
          <w:rFonts w:hint="default" w:ascii="Times New Roman" w:hAnsi="Times New Roman" w:cs="Times New Roman"/>
          <w:color w:val="auto"/>
          <w:highlight w:val="none"/>
        </w:rPr>
        <w:t>中悬浮物浓度增加，水体的透光能力大幅度下降导致浮游植物的光合作用受到影响，进而影响其正常生长，甚至导致部分个体死亡，</w:t>
      </w:r>
      <w:r>
        <w:rPr>
          <w:rFonts w:hint="eastAsia" w:ascii="Times New Roman" w:cs="Times New Roman"/>
          <w:color w:val="auto"/>
          <w:highlight w:val="none"/>
          <w:lang w:val="en-US" w:eastAsia="zh-CN"/>
        </w:rPr>
        <w:t>施工结束后</w:t>
      </w:r>
      <w:r>
        <w:rPr>
          <w:rFonts w:hint="eastAsia" w:ascii="Times New Roman" w:cs="Times New Roman"/>
          <w:color w:val="auto"/>
          <w:highlight w:val="none"/>
          <w:u w:val="single"/>
          <w:lang w:val="en-US" w:eastAsia="zh-CN"/>
        </w:rPr>
        <w:t>原河道内无上游来水，丰水期部分雨水汇入形成静水区，短时间原河道浮游植物数量会增加，后期原河道水分蒸发原河道干涸后区域浮游生物死亡。</w:t>
      </w:r>
      <w:r>
        <w:rPr>
          <w:rFonts w:hint="default" w:ascii="Times New Roman" w:hAnsi="Times New Roman" w:cs="Times New Roman"/>
          <w:color w:val="auto"/>
          <w:highlight w:val="none"/>
        </w:rPr>
        <w:t>施工期对浮游植物产生的影响是暂时的、可减缓的，</w:t>
      </w:r>
      <w:r>
        <w:rPr>
          <w:rFonts w:hint="default" w:ascii="Times New Roman" w:hAnsi="Times New Roman" w:cs="Times New Roman"/>
          <w:color w:val="auto"/>
          <w:highlight w:val="none"/>
          <w:u w:val="single"/>
        </w:rPr>
        <w:t>施工</w:t>
      </w:r>
      <w:r>
        <w:rPr>
          <w:rFonts w:hint="eastAsia" w:ascii="Times New Roman" w:cs="Times New Roman"/>
          <w:color w:val="auto"/>
          <w:highlight w:val="none"/>
          <w:u w:val="single"/>
          <w:lang w:val="en-US" w:eastAsia="zh-CN"/>
        </w:rPr>
        <w:t>结束后拆除施工围堰，河水经过新建排水渠汇入下游，</w:t>
      </w:r>
      <w:r>
        <w:rPr>
          <w:rFonts w:hint="default" w:ascii="Times New Roman" w:hAnsi="Times New Roman" w:cs="Times New Roman"/>
          <w:color w:val="auto"/>
          <w:highlight w:val="none"/>
        </w:rPr>
        <w:t>浮游植物</w:t>
      </w:r>
      <w:r>
        <w:rPr>
          <w:rFonts w:hint="eastAsia" w:ascii="Times New Roman" w:cs="Times New Roman"/>
          <w:color w:val="auto"/>
          <w:highlight w:val="none"/>
          <w:lang w:val="en-US" w:eastAsia="zh-CN"/>
        </w:rPr>
        <w:t>在新建排水渠内逐渐生长，</w:t>
      </w:r>
      <w:r>
        <w:rPr>
          <w:rFonts w:hint="default" w:ascii="Times New Roman" w:hAnsi="Times New Roman" w:cs="Times New Roman"/>
          <w:color w:val="auto"/>
          <w:highlight w:val="none"/>
        </w:rPr>
        <w:t>丰富度和多样性会逐渐恢复</w:t>
      </w:r>
      <w:r>
        <w:rPr>
          <w:rFonts w:hint="eastAsia" w:ascii="Times New Roman" w:cs="Times New Roman"/>
          <w:color w:val="auto"/>
          <w:highlight w:val="none"/>
          <w:lang w:eastAsia="zh-CN"/>
        </w:rPr>
        <w:t>。</w:t>
      </w:r>
    </w:p>
    <w:p w14:paraId="0A50E7F9">
      <w:pPr>
        <w:pStyle w:val="68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②施工期对浮游动物的影响</w:t>
      </w:r>
    </w:p>
    <w:p w14:paraId="4D39B6FA">
      <w:pPr>
        <w:pStyle w:val="684"/>
        <w:ind w:firstLine="442"/>
        <w:rPr>
          <w:rFonts w:hint="default" w:ascii="Times New Roman" w:hAnsi="Times New Roman" w:cs="Times New Roman"/>
          <w:color w:val="auto"/>
          <w:highlight w:val="none"/>
          <w:u w:val="none"/>
        </w:rPr>
      </w:pPr>
      <w:r>
        <w:rPr>
          <w:rFonts w:hint="eastAsia" w:ascii="Times New Roman" w:cs="Times New Roman"/>
          <w:color w:val="auto"/>
          <w:highlight w:val="none"/>
          <w:u w:val="single"/>
          <w:lang w:val="en-US" w:eastAsia="zh-CN"/>
        </w:rPr>
        <w:t>施工围堰搭设和河床导流对水体</w:t>
      </w:r>
      <w:r>
        <w:rPr>
          <w:rFonts w:hint="default" w:ascii="Times New Roman" w:hAnsi="Times New Roman" w:cs="Times New Roman"/>
          <w:color w:val="auto"/>
          <w:highlight w:val="none"/>
        </w:rPr>
        <w:t>扰动导致水体中悬浮物浓度增加，喜洁净水质的浮游生物无法适应水质出现个体死亡</w:t>
      </w:r>
      <w:r>
        <w:rPr>
          <w:rFonts w:hint="eastAsia" w:ascii="Times New Roman" w:cs="Times New Roman"/>
          <w:color w:val="auto"/>
          <w:highlight w:val="none"/>
          <w:lang w:eastAsia="zh-CN"/>
        </w:rPr>
        <w:t>。</w:t>
      </w:r>
      <w:r>
        <w:rPr>
          <w:rFonts w:hint="eastAsia" w:ascii="Times New Roman" w:cs="Times New Roman"/>
          <w:color w:val="auto"/>
          <w:highlight w:val="none"/>
          <w:u w:val="single"/>
          <w:lang w:val="en-US" w:eastAsia="zh-CN"/>
        </w:rPr>
        <w:t>项目无水下施工，围堰搭设时间较短，围堰搭设结束后水体恢复洁净，</w:t>
      </w:r>
      <w:r>
        <w:rPr>
          <w:rFonts w:hint="default" w:ascii="Times New Roman" w:hAnsi="Times New Roman" w:cs="Times New Roman"/>
          <w:color w:val="auto"/>
          <w:highlight w:val="none"/>
        </w:rPr>
        <w:t>施工期对浮游动物的影响是暂时的、可减缓的，</w:t>
      </w:r>
      <w:r>
        <w:rPr>
          <w:rFonts w:hint="default" w:ascii="Times New Roman" w:hAnsi="Times New Roman" w:cs="Times New Roman"/>
          <w:color w:val="auto"/>
          <w:highlight w:val="none"/>
          <w:u w:val="single"/>
        </w:rPr>
        <w:t>施工结束后</w:t>
      </w:r>
      <w:r>
        <w:rPr>
          <w:rFonts w:hint="eastAsia" w:ascii="Times New Roman" w:cs="Times New Roman"/>
          <w:color w:val="auto"/>
          <w:highlight w:val="none"/>
          <w:u w:val="single"/>
          <w:lang w:val="en-US" w:eastAsia="zh-CN"/>
        </w:rPr>
        <w:t>河流经过新建排水区汇入下游，浮游动物随水流在迁移至新建排水渠内，</w:t>
      </w:r>
      <w:r>
        <w:rPr>
          <w:rFonts w:hint="default" w:ascii="Times New Roman" w:hAnsi="Times New Roman" w:cs="Times New Roman"/>
          <w:color w:val="auto"/>
          <w:highlight w:val="none"/>
        </w:rPr>
        <w:t>浮游动物会逐渐</w:t>
      </w:r>
      <w:r>
        <w:rPr>
          <w:rFonts w:hint="default" w:ascii="Times New Roman" w:hAnsi="Times New Roman" w:cs="Times New Roman"/>
          <w:color w:val="auto"/>
          <w:highlight w:val="none"/>
          <w:u w:val="none"/>
        </w:rPr>
        <w:t>恢复到原有水平。</w:t>
      </w:r>
    </w:p>
    <w:p w14:paraId="01389C38">
      <w:pPr>
        <w:pStyle w:val="684"/>
        <w:ind w:firstLine="442"/>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③施工期对底栖动物的影响</w:t>
      </w:r>
    </w:p>
    <w:p w14:paraId="12151DC3">
      <w:pPr>
        <w:pStyle w:val="684"/>
        <w:ind w:firstLine="442"/>
        <w:jc w:val="left"/>
        <w:rPr>
          <w:rFonts w:hint="default" w:ascii="Times New Roman" w:hAnsi="Times New Roman" w:cs="Times New Roman"/>
          <w:color w:val="auto"/>
          <w:highlight w:val="none"/>
          <w:u w:val="none"/>
        </w:rPr>
      </w:pPr>
      <w:r>
        <w:rPr>
          <w:rFonts w:hint="eastAsia" w:ascii="Times New Roman" w:cs="Times New Roman"/>
          <w:color w:val="auto"/>
          <w:highlight w:val="none"/>
          <w:u w:val="single"/>
          <w:lang w:val="en-US" w:eastAsia="zh-CN"/>
        </w:rPr>
        <w:t>施工围堰搭设和河床导流后，河道径流发生改变，</w:t>
      </w:r>
      <w:r>
        <w:rPr>
          <w:rFonts w:hint="default" w:ascii="Times New Roman" w:hAnsi="Times New Roman" w:cs="Times New Roman"/>
          <w:color w:val="auto"/>
          <w:highlight w:val="none"/>
          <w:u w:val="none"/>
        </w:rPr>
        <w:t>底栖动物移动能力弱，</w:t>
      </w:r>
      <w:r>
        <w:rPr>
          <w:rFonts w:hint="default" w:ascii="Times New Roman" w:hAnsi="Times New Roman" w:cs="Times New Roman"/>
          <w:color w:val="auto"/>
          <w:highlight w:val="none"/>
          <w:u w:val="single"/>
          <w:lang w:val="en-US" w:eastAsia="zh-CN"/>
        </w:rPr>
        <w:t>土石围堰及</w:t>
      </w:r>
      <w:r>
        <w:rPr>
          <w:rFonts w:hint="eastAsia" w:ascii="Times New Roman" w:cs="Times New Roman"/>
          <w:color w:val="auto"/>
          <w:highlight w:val="none"/>
          <w:u w:val="single"/>
          <w:lang w:val="en-US" w:eastAsia="zh-CN"/>
        </w:rPr>
        <w:t>河道清淤</w:t>
      </w:r>
      <w:r>
        <w:rPr>
          <w:rFonts w:hint="default" w:ascii="Times New Roman" w:hAnsi="Times New Roman" w:cs="Times New Roman"/>
          <w:color w:val="auto"/>
          <w:highlight w:val="none"/>
          <w:u w:val="single"/>
        </w:rPr>
        <w:t>直接影响底栖动物</w:t>
      </w:r>
      <w:r>
        <w:rPr>
          <w:rFonts w:hint="default" w:ascii="Times New Roman" w:hAnsi="Times New Roman" w:cs="Times New Roman"/>
          <w:color w:val="auto"/>
          <w:highlight w:val="none"/>
          <w:u w:val="none"/>
        </w:rPr>
        <w:t>，导致部分个体死亡</w:t>
      </w:r>
      <w:r>
        <w:rPr>
          <w:rFonts w:hint="eastAsia" w:ascii="Times New Roman" w:cs="Times New Roman"/>
          <w:color w:val="auto"/>
          <w:highlight w:val="none"/>
          <w:u w:val="none"/>
          <w:lang w:eastAsia="zh-CN"/>
        </w:rPr>
        <w:t>。</w:t>
      </w:r>
      <w:r>
        <w:rPr>
          <w:rFonts w:hint="eastAsia" w:ascii="Times New Roman" w:cs="Times New Roman"/>
          <w:color w:val="auto"/>
          <w:highlight w:val="none"/>
          <w:lang w:val="en-US" w:eastAsia="zh-CN"/>
        </w:rPr>
        <w:t>施工结束后</w:t>
      </w:r>
      <w:r>
        <w:rPr>
          <w:rFonts w:hint="eastAsia" w:ascii="Times New Roman" w:cs="Times New Roman"/>
          <w:color w:val="auto"/>
          <w:highlight w:val="none"/>
          <w:u w:val="single"/>
          <w:lang w:val="en-US" w:eastAsia="zh-CN"/>
        </w:rPr>
        <w:t>原河道内无上游来水，河道干涸和同时导致区域内的底栖生物死亡。</w:t>
      </w:r>
      <w:r>
        <w:rPr>
          <w:rFonts w:hint="eastAsia" w:ascii="Times New Roman" w:cs="Times New Roman"/>
          <w:color w:val="auto"/>
          <w:highlight w:val="none"/>
          <w:u w:val="none"/>
          <w:lang w:val="en-US" w:eastAsia="zh-CN"/>
        </w:rPr>
        <w:t>曲绣路和渠道</w:t>
      </w:r>
      <w:r>
        <w:rPr>
          <w:rFonts w:hint="default" w:ascii="Times New Roman" w:hAnsi="Times New Roman" w:cs="Times New Roman"/>
          <w:color w:val="auto"/>
          <w:highlight w:val="none"/>
          <w:u w:val="none"/>
          <w:lang w:val="en-US" w:eastAsia="zh-CN"/>
        </w:rPr>
        <w:t>占用</w:t>
      </w:r>
      <w:r>
        <w:rPr>
          <w:rFonts w:hint="default" w:ascii="Times New Roman" w:hAnsi="Times New Roman" w:cs="Times New Roman"/>
          <w:color w:val="auto"/>
          <w:highlight w:val="none"/>
          <w:u w:val="none"/>
        </w:rPr>
        <w:t>河底部分底栖生物被损毁，</w:t>
      </w:r>
      <w:r>
        <w:rPr>
          <w:rFonts w:hint="eastAsia" w:ascii="Times New Roman" w:cs="Times New Roman"/>
          <w:color w:val="auto"/>
          <w:highlight w:val="none"/>
          <w:u w:val="none"/>
          <w:lang w:val="en-US" w:eastAsia="zh-CN"/>
        </w:rPr>
        <w:t>水系改造建成联通后上下游的</w:t>
      </w:r>
      <w:r>
        <w:rPr>
          <w:rFonts w:hint="default" w:ascii="Times New Roman" w:hAnsi="Times New Roman" w:cs="Times New Roman"/>
          <w:color w:val="auto"/>
          <w:highlight w:val="none"/>
          <w:u w:val="none"/>
        </w:rPr>
        <w:t>底栖生物</w:t>
      </w:r>
      <w:r>
        <w:rPr>
          <w:rFonts w:hint="eastAsia" w:ascii="Times New Roman" w:cs="Times New Roman"/>
          <w:color w:val="auto"/>
          <w:highlight w:val="none"/>
          <w:u w:val="none"/>
          <w:lang w:val="en-US" w:eastAsia="zh-CN"/>
        </w:rPr>
        <w:t>会逐渐向水渠内迁移，区域</w:t>
      </w:r>
      <w:r>
        <w:rPr>
          <w:rFonts w:hint="default" w:ascii="Times New Roman" w:hAnsi="Times New Roman" w:cs="Times New Roman"/>
          <w:color w:val="auto"/>
          <w:highlight w:val="none"/>
          <w:u w:val="none"/>
        </w:rPr>
        <w:t>底栖生物会逐渐恢复</w:t>
      </w:r>
      <w:r>
        <w:rPr>
          <w:rFonts w:hint="eastAsia" w:ascii="Times New Roman" w:cs="Times New Roman"/>
          <w:color w:val="auto"/>
          <w:highlight w:val="none"/>
          <w:u w:val="none"/>
          <w:lang w:val="en-US" w:eastAsia="zh-CN"/>
        </w:rPr>
        <w:t>至原有水平</w:t>
      </w:r>
      <w:r>
        <w:rPr>
          <w:rFonts w:hint="default" w:ascii="Times New Roman" w:hAnsi="Times New Roman" w:cs="Times New Roman"/>
          <w:color w:val="auto"/>
          <w:highlight w:val="none"/>
          <w:u w:val="none"/>
        </w:rPr>
        <w:t>。</w:t>
      </w:r>
    </w:p>
    <w:p w14:paraId="649D5786">
      <w:pPr>
        <w:pStyle w:val="68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④施工期对鱼类的影响</w:t>
      </w:r>
    </w:p>
    <w:p w14:paraId="00B718C8">
      <w:pPr>
        <w:pStyle w:val="68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项目施工所使用的挖掘机等高噪声设备，</w:t>
      </w:r>
      <w:r>
        <w:rPr>
          <w:rFonts w:hint="default" w:ascii="Times New Roman" w:hAnsi="Times New Roman" w:cs="Times New Roman"/>
          <w:color w:val="auto"/>
          <w:highlight w:val="none"/>
          <w:u w:val="single"/>
        </w:rPr>
        <w:t>对</w:t>
      </w:r>
      <w:r>
        <w:rPr>
          <w:rFonts w:hint="default" w:ascii="Times New Roman" w:hAnsi="Times New Roman" w:cs="Times New Roman"/>
          <w:color w:val="auto"/>
          <w:highlight w:val="none"/>
          <w:u w:val="single"/>
          <w:lang w:val="en-US" w:eastAsia="zh-CN"/>
        </w:rPr>
        <w:t>淡水湾江</w:t>
      </w:r>
      <w:r>
        <w:rPr>
          <w:rFonts w:hint="default" w:ascii="Times New Roman" w:hAnsi="Times New Roman" w:cs="Times New Roman"/>
          <w:color w:val="auto"/>
          <w:highlight w:val="none"/>
          <w:u w:val="single"/>
        </w:rPr>
        <w:t>鱼类产生</w:t>
      </w:r>
      <w:r>
        <w:rPr>
          <w:rFonts w:hint="eastAsia" w:ascii="Times New Roman" w:cs="Times New Roman"/>
          <w:color w:val="auto"/>
          <w:highlight w:val="none"/>
          <w:u w:val="single"/>
          <w:lang w:val="en-US" w:eastAsia="zh-CN"/>
        </w:rPr>
        <w:t>繁衍和觅食活动产生</w:t>
      </w:r>
      <w:r>
        <w:rPr>
          <w:rFonts w:hint="default" w:ascii="Times New Roman" w:hAnsi="Times New Roman" w:cs="Times New Roman"/>
          <w:color w:val="auto"/>
          <w:highlight w:val="none"/>
          <w:u w:val="single"/>
        </w:rPr>
        <w:t>干扰，</w:t>
      </w:r>
      <w:r>
        <w:rPr>
          <w:rFonts w:hint="eastAsia" w:ascii="Times New Roman" w:cs="Times New Roman"/>
          <w:color w:val="auto"/>
          <w:highlight w:val="none"/>
          <w:u w:val="single"/>
          <w:lang w:val="en-US" w:eastAsia="zh-CN"/>
        </w:rPr>
        <w:t>鱼类向周边相似生境迁移，</w:t>
      </w:r>
      <w:r>
        <w:rPr>
          <w:rFonts w:hint="default" w:ascii="Times New Roman" w:hAnsi="Times New Roman" w:cs="Times New Roman"/>
          <w:color w:val="auto"/>
          <w:highlight w:val="none"/>
        </w:rPr>
        <w:t>施工期噪声对鱼类的影响是暂时的，随施工结束后噪声对鱼类产生的影响也会消除。</w:t>
      </w:r>
    </w:p>
    <w:p w14:paraId="2FBCF0B3">
      <w:pPr>
        <w:pStyle w:val="684"/>
        <w:ind w:firstLine="442"/>
        <w:rPr>
          <w:rFonts w:hint="default" w:ascii="Times New Roman" w:hAnsi="Times New Roman" w:cs="Times New Roman"/>
          <w:color w:val="auto"/>
          <w:highlight w:val="none"/>
        </w:rPr>
      </w:pPr>
      <w:r>
        <w:rPr>
          <w:rFonts w:hint="eastAsia" w:ascii="Times New Roman" w:cs="Times New Roman"/>
          <w:color w:val="auto"/>
          <w:highlight w:val="none"/>
          <w:u w:val="single"/>
          <w:lang w:val="en-US" w:eastAsia="zh-CN"/>
        </w:rPr>
        <w:t>施工导流后鱼类分布范围随河流走向改变而改变，</w:t>
      </w:r>
      <w:r>
        <w:rPr>
          <w:rFonts w:hint="default" w:ascii="Times New Roman" w:hAnsi="Times New Roman" w:cs="Times New Roman"/>
          <w:color w:val="auto"/>
          <w:highlight w:val="none"/>
          <w:lang w:val="en-US" w:eastAsia="zh-CN"/>
        </w:rPr>
        <w:t>土方围堰及箱涵施工</w:t>
      </w:r>
      <w:r>
        <w:rPr>
          <w:rFonts w:hint="eastAsia" w:ascii="Times New Roman" w:cs="Times New Roman"/>
          <w:color w:val="auto"/>
          <w:highlight w:val="none"/>
          <w:lang w:val="en-US" w:eastAsia="zh-CN"/>
        </w:rPr>
        <w:t>导致</w:t>
      </w:r>
      <w:r>
        <w:rPr>
          <w:rFonts w:hint="default" w:ascii="Times New Roman" w:hAnsi="Times New Roman" w:cs="Times New Roman"/>
          <w:color w:val="auto"/>
          <w:highlight w:val="none"/>
          <w:lang w:val="en-US" w:eastAsia="zh-CN"/>
        </w:rPr>
        <w:t>区</w:t>
      </w:r>
      <w:r>
        <w:rPr>
          <w:rFonts w:hint="default" w:ascii="Times New Roman" w:hAnsi="Times New Roman" w:cs="Times New Roman"/>
          <w:color w:val="auto"/>
          <w:highlight w:val="none"/>
        </w:rPr>
        <w:t>域水体中悬浮物浓度增加，</w:t>
      </w:r>
      <w:r>
        <w:rPr>
          <w:rFonts w:hint="default" w:ascii="Times New Roman" w:hAnsi="Times New Roman" w:cs="Times New Roman"/>
          <w:color w:val="auto"/>
          <w:highlight w:val="none"/>
          <w:u w:val="single"/>
        </w:rPr>
        <w:t>水质下降对鱼类正常</w:t>
      </w:r>
      <w:r>
        <w:rPr>
          <w:rFonts w:hint="eastAsia" w:ascii="Times New Roman" w:cs="Times New Roman"/>
          <w:color w:val="auto"/>
          <w:highlight w:val="none"/>
          <w:u w:val="single"/>
          <w:lang w:val="en-US" w:eastAsia="zh-CN"/>
        </w:rPr>
        <w:t>栖息和觅食活动产生一定影响，同时围堰</w:t>
      </w:r>
      <w:r>
        <w:rPr>
          <w:rFonts w:hint="default" w:ascii="Times New Roman" w:hAnsi="Times New Roman" w:cs="Times New Roman"/>
          <w:color w:val="auto"/>
          <w:highlight w:val="none"/>
        </w:rPr>
        <w:t>施工</w:t>
      </w:r>
      <w:r>
        <w:rPr>
          <w:rFonts w:hint="eastAsia" w:ascii="Times New Roman" w:cs="Times New Roman"/>
          <w:color w:val="auto"/>
          <w:highlight w:val="none"/>
          <w:lang w:eastAsia="zh-CN"/>
        </w:rPr>
        <w:t>时</w:t>
      </w:r>
      <w:r>
        <w:rPr>
          <w:rFonts w:hint="default" w:ascii="Times New Roman" w:hAnsi="Times New Roman" w:cs="Times New Roman"/>
          <w:color w:val="auto"/>
          <w:highlight w:val="none"/>
        </w:rPr>
        <w:t>成鱼通过主动逃逸的方式来避开项目施工可能对其造成的不利影响，基本能消除施工对其不利影响。</w:t>
      </w:r>
    </w:p>
    <w:p w14:paraId="33B43AE7">
      <w:pPr>
        <w:pStyle w:val="410"/>
        <w:numPr>
          <w:ilvl w:val="0"/>
          <w:numId w:val="42"/>
        </w:numPr>
        <w:ind w:left="0" w:leftChars="0" w:firstLine="442" w:firstLineChars="200"/>
        <w:rPr>
          <w:rFonts w:hint="default" w:ascii="Times New Roman" w:hAnsi="Times New Roman" w:eastAsia="宋体" w:cs="Times New Roman"/>
          <w:b/>
          <w:bCs/>
          <w:color w:val="auto"/>
          <w:highlight w:val="none"/>
          <w:u w:val="none"/>
          <w:lang w:val="en-US" w:eastAsia="zh-CN"/>
        </w:rPr>
      </w:pPr>
      <w:r>
        <w:rPr>
          <w:rFonts w:hint="default" w:ascii="Times New Roman" w:hAnsi="Times New Roman" w:eastAsia="宋体" w:cs="Times New Roman"/>
          <w:b/>
          <w:bCs/>
          <w:color w:val="auto"/>
          <w:highlight w:val="none"/>
          <w:u w:val="none"/>
          <w:lang w:val="en-US" w:eastAsia="zh-CN"/>
        </w:rPr>
        <w:t>水土流失影响</w:t>
      </w:r>
    </w:p>
    <w:p w14:paraId="69845820">
      <w:pPr>
        <w:adjustRightInd w:val="0"/>
        <w:snapToGrid w:val="0"/>
        <w:spacing w:line="360" w:lineRule="auto"/>
        <w:ind w:firstLine="442" w:firstLineChars="200"/>
        <w:rPr>
          <w:rFonts w:hint="default" w:ascii="Times New Roman" w:hAnsi="Times New Roman" w:eastAsia="宋体" w:cs="Times New Roman"/>
          <w:snapToGrid w:val="0"/>
          <w:color w:val="auto"/>
          <w:spacing w:val="4"/>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项目施工会造成一定程度的水土流失，根据《钦州港新型城乡融合发展示范区（自贸新城）排水改造工程水土保持方案》，本项目扰动地貌面积共5.71hm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根据预测，本工程建设期将产生土壤流失总量</w:t>
      </w:r>
      <w:r>
        <w:rPr>
          <w:rFonts w:hint="default" w:ascii="Times New Roman" w:hAnsi="Times New Roman" w:eastAsia="宋体" w:cs="Times New Roman"/>
          <w:snapToGrid w:val="0"/>
          <w:color w:val="auto"/>
          <w:spacing w:val="4"/>
          <w:sz w:val="24"/>
          <w:szCs w:val="24"/>
          <w:highlight w:val="none"/>
          <w:lang w:val="en-US" w:eastAsia="zh-CN"/>
        </w:rPr>
        <w:t>551.59t，新增土壤流失总量517.64t。</w:t>
      </w:r>
      <w:r>
        <w:rPr>
          <w:rFonts w:hint="default" w:ascii="Times New Roman" w:hAnsi="Times New Roman" w:eastAsia="宋体" w:cs="Times New Roman"/>
          <w:color w:val="auto"/>
          <w:sz w:val="24"/>
          <w:szCs w:val="24"/>
          <w:highlight w:val="none"/>
        </w:rPr>
        <w:t>施工期可能造成土壤流失量</w:t>
      </w:r>
      <w:r>
        <w:rPr>
          <w:rFonts w:hint="default" w:ascii="Times New Roman" w:hAnsi="Times New Roman" w:eastAsia="宋体" w:cs="Times New Roman"/>
          <w:snapToGrid w:val="0"/>
          <w:color w:val="auto"/>
          <w:spacing w:val="4"/>
          <w:sz w:val="24"/>
          <w:szCs w:val="24"/>
          <w:highlight w:val="none"/>
          <w:lang w:val="en-US" w:eastAsia="zh-CN"/>
        </w:rPr>
        <w:t>492.84t，</w:t>
      </w:r>
      <w:r>
        <w:rPr>
          <w:rFonts w:hint="default" w:ascii="Times New Roman" w:hAnsi="Times New Roman" w:eastAsia="宋体" w:cs="Times New Roman"/>
          <w:color w:val="auto"/>
          <w:sz w:val="24"/>
          <w:szCs w:val="24"/>
          <w:highlight w:val="none"/>
        </w:rPr>
        <w:t>自然恢复期可能造成土壤流失量</w:t>
      </w:r>
      <w:r>
        <w:rPr>
          <w:rFonts w:hint="default" w:ascii="Times New Roman" w:hAnsi="Times New Roman" w:eastAsia="宋体" w:cs="Times New Roman"/>
          <w:snapToGrid w:val="0"/>
          <w:color w:val="auto"/>
          <w:spacing w:val="4"/>
          <w:sz w:val="24"/>
          <w:szCs w:val="24"/>
          <w:highlight w:val="none"/>
          <w:lang w:val="en-US" w:eastAsia="zh-CN"/>
        </w:rPr>
        <w:t>58.75t。</w:t>
      </w:r>
    </w:p>
    <w:p w14:paraId="1554DE56">
      <w:pPr>
        <w:adjustRightInd w:val="0"/>
        <w:snapToGrid w:val="0"/>
        <w:spacing w:line="360" w:lineRule="auto"/>
        <w:ind w:firstLine="458"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napToGrid w:val="0"/>
          <w:color w:val="auto"/>
          <w:spacing w:val="4"/>
          <w:sz w:val="24"/>
          <w:szCs w:val="24"/>
          <w:highlight w:val="none"/>
          <w:lang w:val="en-US" w:eastAsia="zh-CN"/>
        </w:rPr>
        <w:t>水土流失重点时段为施工期，项目针对水土流失防治重点区域锦绣大道排水改造区、城市更新排水改</w:t>
      </w:r>
      <w:r>
        <w:rPr>
          <w:rFonts w:hint="default" w:ascii="Times New Roman" w:hAnsi="Times New Roman" w:eastAsia="宋体" w:cs="Times New Roman"/>
          <w:color w:val="auto"/>
          <w:sz w:val="24"/>
          <w:szCs w:val="24"/>
          <w:highlight w:val="none"/>
          <w:lang w:val="en-US" w:eastAsia="zh-CN"/>
        </w:rPr>
        <w:t>造区、钦州港路排水工程区、临时中转场区提出了采取对应的表土剥离、表土回覆、临时拦挡、临时排水沟、临时沉沙池、临时覆盖、撒播草籽、土地整治等水土保持措施。</w:t>
      </w:r>
    </w:p>
    <w:p w14:paraId="04FD0C51">
      <w:pPr>
        <w:adjustRightInd w:val="0"/>
        <w:snapToGrid w:val="0"/>
        <w:spacing w:line="360" w:lineRule="auto"/>
        <w:ind w:firstLine="442"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水土流失危害往往具有潜在性，若不采取水土保持措施，将对工程自身及项目区周边生态环境造成负面影响，甚至危及项目安全运行，主要危害表现在：</w:t>
      </w:r>
    </w:p>
    <w:p w14:paraId="0EBF881E">
      <w:pPr>
        <w:adjustRightInd w:val="0"/>
        <w:snapToGrid w:val="0"/>
        <w:spacing w:line="360" w:lineRule="auto"/>
        <w:ind w:firstLine="442"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①影响土地资源以及周边生态；</w:t>
      </w:r>
    </w:p>
    <w:p w14:paraId="364F23EA">
      <w:pPr>
        <w:adjustRightInd w:val="0"/>
        <w:snapToGrid w:val="0"/>
        <w:spacing w:line="360" w:lineRule="auto"/>
        <w:ind w:firstLine="442"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②影响生态环境和景观；</w:t>
      </w:r>
    </w:p>
    <w:p w14:paraId="14C2130D">
      <w:pPr>
        <w:adjustRightInd w:val="0"/>
        <w:snapToGrid w:val="0"/>
        <w:spacing w:line="360" w:lineRule="auto"/>
        <w:ind w:firstLine="442"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③损坏水土保持设施面积，降低水土保持功能；</w:t>
      </w:r>
    </w:p>
    <w:p w14:paraId="2B706E52">
      <w:pPr>
        <w:adjustRightInd w:val="0"/>
        <w:snapToGrid w:val="0"/>
        <w:spacing w:line="360" w:lineRule="auto"/>
        <w:ind w:firstLine="442" w:firstLineChars="200"/>
        <w:rPr>
          <w:color w:val="auto"/>
          <w:highlight w:val="none"/>
        </w:rPr>
      </w:pPr>
      <w:r>
        <w:rPr>
          <w:rFonts w:hint="default" w:ascii="Times New Roman" w:hAnsi="Times New Roman" w:eastAsia="宋体" w:cs="Times New Roman"/>
          <w:color w:val="auto"/>
          <w:sz w:val="24"/>
          <w:szCs w:val="24"/>
          <w:highlight w:val="none"/>
          <w:lang w:val="en-US" w:eastAsia="zh-CN"/>
        </w:rPr>
        <w:t>④裸露地表引起扬尘，影响周边环境。</w:t>
      </w:r>
    </w:p>
    <w:p w14:paraId="4F1D60D6">
      <w:pPr>
        <w:pStyle w:val="410"/>
        <w:numPr>
          <w:ilvl w:val="0"/>
          <w:numId w:val="42"/>
        </w:numPr>
        <w:ind w:left="0" w:leftChars="0" w:firstLine="442" w:firstLineChars="200"/>
        <w:rPr>
          <w:rFonts w:hint="eastAsia" w:eastAsia="宋体"/>
          <w:b/>
          <w:bCs/>
          <w:color w:val="auto"/>
          <w:highlight w:val="none"/>
          <w:lang w:val="en-US" w:eastAsia="zh-CN"/>
        </w:rPr>
      </w:pPr>
      <w:r>
        <w:rPr>
          <w:rFonts w:hint="eastAsia"/>
          <w:b/>
          <w:bCs/>
          <w:color w:val="auto"/>
          <w:highlight w:val="none"/>
          <w:lang w:val="en-US" w:eastAsia="zh-CN"/>
        </w:rPr>
        <w:t>对景观影响</w:t>
      </w:r>
    </w:p>
    <w:p w14:paraId="7086DC79">
      <w:pPr>
        <w:pStyle w:val="410"/>
        <w:rPr>
          <w:rFonts w:hint="eastAsia" w:eastAsia="宋体"/>
          <w:color w:val="auto"/>
          <w:highlight w:val="none"/>
          <w:lang w:val="en-US" w:eastAsia="zh-CN"/>
        </w:rPr>
      </w:pPr>
      <w:r>
        <w:rPr>
          <w:rFonts w:hint="eastAsia" w:ascii="Times New Roman" w:hAnsi="Times New Roman" w:eastAsia="宋体" w:cs="Times New Roman"/>
          <w:color w:val="auto"/>
          <w:highlight w:val="none"/>
          <w:u w:val="none"/>
          <w:lang w:val="en-US" w:eastAsia="zh-CN"/>
        </w:rPr>
        <w:t>施工期将破坏占地范围内的地表植被，形成与施工场地周围环境反差较大、不相融的裸地景观，从而对施工场所周围人群的视觉产生冲击。由于对地表植被的完全破坏和工程区土壤的扰动，在雨季松散裸露的坡面易形成水土流失，导致区域土壤侵蚀模数增大，对下游植被和水体产生影响，从而对区域景观环境质量产生影响。但项目施工活动比较分散，各施工点规模小、施工期短，视觉景观影响性小。这种影响是短暂的，随施工期结束和植被恢复、绿化措施而得到很大程度上的缓解。</w:t>
      </w:r>
    </w:p>
    <w:p w14:paraId="3D2319C6">
      <w:pPr>
        <w:pStyle w:val="5"/>
        <w:numPr>
          <w:ilvl w:val="2"/>
          <w:numId w:val="40"/>
        </w:numPr>
        <w:bidi w:val="0"/>
        <w:ind w:left="452" w:leftChars="0" w:firstLine="0" w:firstLineChars="0"/>
        <w:rPr>
          <w:rFonts w:hint="default"/>
          <w:color w:val="auto"/>
          <w:highlight w:val="none"/>
        </w:rPr>
      </w:pPr>
      <w:r>
        <w:rPr>
          <w:rFonts w:hint="default"/>
          <w:color w:val="auto"/>
          <w:highlight w:val="none"/>
        </w:rPr>
        <w:t>施工期环境空气影响分析</w:t>
      </w:r>
    </w:p>
    <w:p w14:paraId="4BE7EE67">
      <w:pPr>
        <w:pStyle w:val="41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工程施工期对环境空气产生影响的作业环节有：施工作业产生的施工扬尘；车辆运输产生的</w:t>
      </w:r>
      <w:r>
        <w:rPr>
          <w:rFonts w:hint="default" w:ascii="Times New Roman" w:hAnsi="Times New Roman" w:cs="Times New Roman"/>
          <w:color w:val="auto"/>
          <w:highlight w:val="none"/>
          <w:u w:val="none"/>
          <w:lang w:eastAsia="zh-CN"/>
        </w:rPr>
        <w:t>交通运输</w:t>
      </w:r>
      <w:r>
        <w:rPr>
          <w:rFonts w:hint="default" w:ascii="Times New Roman" w:hAnsi="Times New Roman" w:cs="Times New Roman"/>
          <w:color w:val="auto"/>
          <w:highlight w:val="none"/>
          <w:u w:val="none"/>
        </w:rPr>
        <w:t>扬尘；施工机械、运输车辆等产生的施工机械尾气</w:t>
      </w:r>
      <w:r>
        <w:rPr>
          <w:rFonts w:hint="default" w:ascii="Times New Roman" w:hAnsi="Times New Roman" w:cs="Times New Roman"/>
          <w:color w:val="auto"/>
          <w:highlight w:val="none"/>
          <w:u w:val="none"/>
          <w:lang w:eastAsia="zh-CN"/>
        </w:rPr>
        <w:t>；</w:t>
      </w:r>
      <w:r>
        <w:rPr>
          <w:rFonts w:hint="eastAsia" w:ascii="Times New Roman" w:cs="Times New Roman"/>
          <w:color w:val="auto"/>
          <w:highlight w:val="none"/>
          <w:u w:val="none"/>
          <w:lang w:eastAsia="zh-CN"/>
        </w:rPr>
        <w:t>临时中转场堆土扬尘，</w:t>
      </w:r>
      <w:r>
        <w:rPr>
          <w:rFonts w:hint="default" w:ascii="Times New Roman" w:hAnsi="Times New Roman" w:cs="Times New Roman"/>
          <w:color w:val="auto"/>
          <w:highlight w:val="none"/>
          <w:u w:val="none"/>
          <w:lang w:val="en-US" w:eastAsia="zh-CN"/>
        </w:rPr>
        <w:t>淤泥恶臭</w:t>
      </w:r>
      <w:r>
        <w:rPr>
          <w:rFonts w:hint="default" w:ascii="Times New Roman" w:hAnsi="Times New Roman" w:cs="Times New Roman"/>
          <w:color w:val="auto"/>
          <w:highlight w:val="none"/>
          <w:u w:val="none"/>
        </w:rPr>
        <w:t>。</w:t>
      </w:r>
    </w:p>
    <w:p w14:paraId="5CF626AA">
      <w:pPr>
        <w:pStyle w:val="6"/>
        <w:numPr>
          <w:ilvl w:val="3"/>
          <w:numId w:val="40"/>
        </w:numPr>
        <w:bidi w:val="0"/>
        <w:ind w:left="0" w:leftChars="0" w:firstLine="0" w:firstLineChars="0"/>
        <w:rPr>
          <w:rFonts w:hint="default"/>
          <w:color w:val="auto"/>
          <w:highlight w:val="none"/>
        </w:rPr>
      </w:pPr>
      <w:r>
        <w:rPr>
          <w:rFonts w:hint="default"/>
          <w:color w:val="auto"/>
          <w:highlight w:val="none"/>
        </w:rPr>
        <w:t>施工</w:t>
      </w:r>
      <w:r>
        <w:rPr>
          <w:rFonts w:hint="default"/>
          <w:color w:val="auto"/>
          <w:highlight w:val="none"/>
          <w:lang w:eastAsia="zh-CN"/>
        </w:rPr>
        <w:t>扬尘污染分析</w:t>
      </w:r>
    </w:p>
    <w:p w14:paraId="7771D6BA">
      <w:pPr>
        <w:pStyle w:val="410"/>
        <w:numPr>
          <w:ilvl w:val="0"/>
          <w:numId w:val="43"/>
        </w:numPr>
        <w:ind w:left="0" w:leftChars="0" w:firstLine="442" w:firstLineChars="200"/>
        <w:rPr>
          <w:rFonts w:hint="default"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rPr>
        <w:t>施工现场扬尘</w:t>
      </w:r>
      <w:r>
        <w:rPr>
          <w:rFonts w:hint="default" w:ascii="Times New Roman" w:hAnsi="Times New Roman" w:cs="Times New Roman"/>
          <w:b/>
          <w:bCs/>
          <w:color w:val="auto"/>
          <w:highlight w:val="none"/>
          <w:lang w:eastAsia="zh-CN"/>
        </w:rPr>
        <w:t>来源及影响因素</w:t>
      </w:r>
    </w:p>
    <w:p w14:paraId="4F0D4AFE">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施工扬尘主要来自土方挖掘、堆放、回填和清运过程；建筑材料（尤其水泥、砂子等细料）等装卸、堆放和运输；建筑垃圾堆放和运出；各种施工车辆行驶往来造成的扬尘等。施工产生的扬尘因施工活动的性质、范围以及天气情况的不同而不同，扬尘产生量有较大差别，本项目施工期扬尘污染主要来自</w:t>
      </w:r>
      <w:r>
        <w:rPr>
          <w:rFonts w:hint="default" w:ascii="Times New Roman" w:hAnsi="Times New Roman" w:cs="Times New Roman"/>
          <w:color w:val="auto"/>
          <w:highlight w:val="none"/>
          <w:lang w:eastAsia="zh-CN"/>
        </w:rPr>
        <w:t>钦州港路、</w:t>
      </w:r>
      <w:r>
        <w:rPr>
          <w:rFonts w:hint="eastAsia" w:ascii="Times New Roman" w:cs="Times New Roman"/>
          <w:color w:val="auto"/>
          <w:highlight w:val="none"/>
          <w:lang w:eastAsia="zh-CN"/>
        </w:rPr>
        <w:t>曲绣路</w:t>
      </w:r>
      <w:r>
        <w:rPr>
          <w:rFonts w:hint="default" w:ascii="Times New Roman" w:hAnsi="Times New Roman" w:cs="Times New Roman"/>
          <w:color w:val="auto"/>
          <w:highlight w:val="none"/>
          <w:lang w:eastAsia="zh-CN"/>
        </w:rPr>
        <w:t>回填</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排水沟开挖、</w:t>
      </w:r>
      <w:r>
        <w:rPr>
          <w:rFonts w:hint="default" w:ascii="Times New Roman" w:hAnsi="Times New Roman" w:cs="Times New Roman"/>
          <w:color w:val="auto"/>
          <w:highlight w:val="none"/>
        </w:rPr>
        <w:t>场地平整和基础</w:t>
      </w:r>
      <w:r>
        <w:rPr>
          <w:rFonts w:hint="default" w:ascii="Times New Roman" w:hAnsi="Times New Roman" w:cs="Times New Roman"/>
          <w:color w:val="auto"/>
          <w:highlight w:val="none"/>
          <w:lang w:val="en-US" w:eastAsia="zh-CN"/>
        </w:rPr>
        <w:t>回填</w:t>
      </w:r>
      <w:r>
        <w:rPr>
          <w:rFonts w:hint="default" w:ascii="Times New Roman" w:hAnsi="Times New Roman" w:cs="Times New Roman"/>
          <w:color w:val="auto"/>
          <w:highlight w:val="none"/>
        </w:rPr>
        <w:t>、建筑材料装卸及运输、物料堆放、土石方运输等方面。</w:t>
      </w:r>
    </w:p>
    <w:p w14:paraId="5B5FEBBC">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根据同类型施工场地的扬尘污染分析，影响扬尘产生量的因素主要有：</w:t>
      </w:r>
    </w:p>
    <w:p w14:paraId="5E911765">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①土壤和材料中的含水量，含水量高的材料不易产生扬尘污染；</w:t>
      </w:r>
    </w:p>
    <w:p w14:paraId="6DF78494">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②土壤和材料的粒径大小，颗粒粒径越大，越不易产生扬尘污染。一般条件下土壤的粒径分布详见表4.1-1所示，相关研究表明在没有风或风力很小时，粒径≤0.015mm的颗粒物能够飞扬，当风速为3～5m/s时，粒径为0.015mm~0.030mm的颗粒物能够飞扬。</w:t>
      </w:r>
    </w:p>
    <w:tbl>
      <w:tblPr>
        <w:tblStyle w:val="1679"/>
        <w:tblpPr w:leftFromText="180" w:rightFromText="180" w:vertAnchor="text" w:horzAnchor="page" w:tblpX="1471" w:tblpY="476"/>
        <w:tblOverlap w:val="never"/>
        <w:tblW w:w="0" w:type="auto"/>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1600"/>
        <w:gridCol w:w="1924"/>
        <w:gridCol w:w="1927"/>
        <w:gridCol w:w="1925"/>
        <w:gridCol w:w="1263"/>
      </w:tblGrid>
      <w:tr w14:paraId="04B4221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600" w:type="dxa"/>
            <w:noWrap w:val="0"/>
            <w:vAlign w:val="top"/>
          </w:tcPr>
          <w:p w14:paraId="2C971860">
            <w:pPr>
              <w:pStyle w:val="1647"/>
              <w:spacing w:before="33" w:line="201" w:lineRule="auto"/>
              <w:ind w:left="356"/>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粒径（</w:t>
            </w:r>
            <w:r>
              <w:rPr>
                <w:rFonts w:hint="default" w:ascii="Times New Roman" w:hAnsi="Times New Roman" w:eastAsia="Times New Roman" w:cs="Times New Roman"/>
                <w:color w:val="auto"/>
                <w:spacing w:val="-2"/>
                <w:highlight w:val="none"/>
              </w:rPr>
              <w:t>mm</w:t>
            </w:r>
            <w:r>
              <w:rPr>
                <w:rFonts w:hint="default" w:ascii="Times New Roman" w:hAnsi="Times New Roman" w:cs="Times New Roman"/>
                <w:color w:val="auto"/>
                <w:spacing w:val="-2"/>
                <w:highlight w:val="none"/>
              </w:rPr>
              <w:t>）</w:t>
            </w:r>
          </w:p>
        </w:tc>
        <w:tc>
          <w:tcPr>
            <w:tcW w:w="1924" w:type="dxa"/>
            <w:noWrap w:val="0"/>
            <w:vAlign w:val="top"/>
          </w:tcPr>
          <w:p w14:paraId="788ED6C2">
            <w:pPr>
              <w:spacing w:before="63" w:line="197" w:lineRule="auto"/>
              <w:ind w:left="866"/>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x&gt;0.1</w:t>
            </w:r>
          </w:p>
        </w:tc>
        <w:tc>
          <w:tcPr>
            <w:tcW w:w="1927" w:type="dxa"/>
            <w:noWrap w:val="0"/>
            <w:vAlign w:val="top"/>
          </w:tcPr>
          <w:p w14:paraId="75F81B5D">
            <w:pPr>
              <w:spacing w:before="63" w:line="197" w:lineRule="auto"/>
              <w:ind w:left="552"/>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0.1≥x&gt;0.0.05</w:t>
            </w:r>
          </w:p>
        </w:tc>
        <w:tc>
          <w:tcPr>
            <w:tcW w:w="1925" w:type="dxa"/>
            <w:noWrap w:val="0"/>
            <w:vAlign w:val="top"/>
          </w:tcPr>
          <w:p w14:paraId="2BFEB027">
            <w:pPr>
              <w:spacing w:before="63" w:line="197" w:lineRule="auto"/>
              <w:ind w:left="577"/>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0.05≥x&gt;0.03</w:t>
            </w:r>
          </w:p>
        </w:tc>
        <w:tc>
          <w:tcPr>
            <w:tcW w:w="1263" w:type="dxa"/>
            <w:noWrap w:val="0"/>
            <w:vAlign w:val="top"/>
          </w:tcPr>
          <w:p w14:paraId="63FC6C42">
            <w:pPr>
              <w:spacing w:before="63" w:line="197" w:lineRule="auto"/>
              <w:ind w:left="430"/>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x&lt;0.03</w:t>
            </w:r>
          </w:p>
        </w:tc>
      </w:tr>
      <w:tr w14:paraId="544BEDD3">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1600" w:type="dxa"/>
            <w:noWrap w:val="0"/>
            <w:vAlign w:val="top"/>
          </w:tcPr>
          <w:p w14:paraId="133D0F1A">
            <w:pPr>
              <w:pStyle w:val="1647"/>
              <w:spacing w:before="39" w:line="209" w:lineRule="auto"/>
              <w:ind w:left="454"/>
              <w:rPr>
                <w:rFonts w:hint="default" w:ascii="Times New Roman" w:hAnsi="Times New Roman" w:cs="Times New Roman"/>
                <w:color w:val="auto"/>
                <w:highlight w:val="none"/>
              </w:rPr>
            </w:pPr>
            <w:r>
              <w:rPr>
                <w:rFonts w:hint="default" w:ascii="Times New Roman" w:hAnsi="Times New Roman" w:cs="Times New Roman"/>
                <w:color w:val="auto"/>
                <w:spacing w:val="-6"/>
                <w:highlight w:val="none"/>
              </w:rPr>
              <w:t>比例（</w:t>
            </w:r>
            <w:r>
              <w:rPr>
                <w:rFonts w:hint="default" w:ascii="Times New Roman" w:hAnsi="Times New Roman" w:eastAsia="Times New Roman" w:cs="Times New Roman"/>
                <w:color w:val="auto"/>
                <w:spacing w:val="-6"/>
                <w:highlight w:val="none"/>
              </w:rPr>
              <w:t>%</w:t>
            </w:r>
            <w:r>
              <w:rPr>
                <w:rFonts w:hint="default" w:ascii="Times New Roman" w:hAnsi="Times New Roman" w:cs="Times New Roman"/>
                <w:color w:val="auto"/>
                <w:spacing w:val="-6"/>
                <w:highlight w:val="none"/>
              </w:rPr>
              <w:t>）</w:t>
            </w:r>
          </w:p>
        </w:tc>
        <w:tc>
          <w:tcPr>
            <w:tcW w:w="1924" w:type="dxa"/>
            <w:noWrap w:val="0"/>
            <w:vAlign w:val="top"/>
          </w:tcPr>
          <w:p w14:paraId="7EFED6A8">
            <w:pPr>
              <w:spacing w:before="67" w:line="208" w:lineRule="auto"/>
              <w:ind w:left="1008"/>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76</w:t>
            </w:r>
          </w:p>
        </w:tc>
        <w:tc>
          <w:tcPr>
            <w:tcW w:w="1927" w:type="dxa"/>
            <w:noWrap w:val="0"/>
            <w:vAlign w:val="top"/>
          </w:tcPr>
          <w:p w14:paraId="437E1C39">
            <w:pPr>
              <w:spacing w:before="67" w:line="208" w:lineRule="auto"/>
              <w:ind w:left="1025"/>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6"/>
                <w:sz w:val="21"/>
                <w:szCs w:val="21"/>
                <w:highlight w:val="none"/>
              </w:rPr>
              <w:t>15</w:t>
            </w:r>
          </w:p>
        </w:tc>
        <w:tc>
          <w:tcPr>
            <w:tcW w:w="1925" w:type="dxa"/>
            <w:noWrap w:val="0"/>
            <w:vAlign w:val="top"/>
          </w:tcPr>
          <w:p w14:paraId="5E88463F">
            <w:pPr>
              <w:spacing w:before="67" w:line="208" w:lineRule="auto"/>
              <w:ind w:left="1062"/>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5</w:t>
            </w:r>
          </w:p>
        </w:tc>
        <w:tc>
          <w:tcPr>
            <w:tcW w:w="1263" w:type="dxa"/>
            <w:noWrap w:val="0"/>
            <w:vAlign w:val="top"/>
          </w:tcPr>
          <w:p w14:paraId="0F8038F1">
            <w:pPr>
              <w:spacing w:before="67" w:line="208" w:lineRule="auto"/>
              <w:ind w:left="673"/>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4</w:t>
            </w:r>
          </w:p>
        </w:tc>
      </w:tr>
    </w:tbl>
    <w:p w14:paraId="2C2093FB">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r>
        <w:rPr>
          <w:rFonts w:hint="default"/>
          <w:color w:val="auto"/>
          <w:highlight w:val="none"/>
          <w:lang w:val="en-US" w:eastAsia="zh-CN"/>
        </w:rPr>
        <w:t>土壤颗粒物粒径分布表</w:t>
      </w:r>
    </w:p>
    <w:p w14:paraId="633C1282">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③气象条件，风速越大，越易产生扬尘，一般情况下，当风速&gt;3m/s时，就会产生明显的扬尘污染；</w:t>
      </w:r>
    </w:p>
    <w:p w14:paraId="1CEFD262">
      <w:pPr>
        <w:ind w:firstLine="480"/>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项目机械施工扬尘主要由推土机、挖掘机作业及装卸土方产生的扬尘，</w:t>
      </w:r>
      <w:r>
        <w:rPr>
          <w:rFonts w:hint="default" w:ascii="Times New Roman" w:hAnsi="Times New Roman" w:eastAsia="宋体" w:cs="Times New Roman"/>
          <w:color w:val="auto"/>
          <w:highlight w:val="none"/>
          <w:lang w:eastAsia="zh-CN"/>
        </w:rPr>
        <w:t>根据</w:t>
      </w:r>
      <w:r>
        <w:rPr>
          <w:rFonts w:hint="default" w:ascii="Times New Roman" w:hAnsi="Times New Roman" w:eastAsia="宋体" w:cs="Times New Roman"/>
          <w:color w:val="auto"/>
          <w:highlight w:val="none"/>
        </w:rPr>
        <w:t>规模类似的施工工地进行测定，在距离施工点10米处TSP浓度为1.75mg/m³。当风速在1.6m/s左右时，距离施工点各距离的TSP浓度值见</w:t>
      </w:r>
      <w:r>
        <w:rPr>
          <w:rFonts w:hint="default" w:ascii="Times New Roman" w:hAnsi="Times New Roman" w:eastAsia="宋体" w:cs="Times New Roman"/>
          <w:color w:val="auto"/>
          <w:highlight w:val="none"/>
          <w:lang w:val="en-US"/>
        </w:rPr>
        <w:fldChar w:fldCharType="begin"/>
      </w:r>
      <w:r>
        <w:rPr>
          <w:rFonts w:hint="default" w:ascii="Times New Roman" w:hAnsi="Times New Roman" w:eastAsia="宋体" w:cs="Times New Roman"/>
          <w:color w:val="auto"/>
          <w:highlight w:val="none"/>
          <w:lang w:val="en-US"/>
        </w:rPr>
        <w:instrText xml:space="preserve"> REF _Ref32666 \r \h </w:instrText>
      </w:r>
      <w:r>
        <w:rPr>
          <w:rFonts w:hint="default" w:ascii="Times New Roman" w:hAnsi="Times New Roman" w:eastAsia="宋体" w:cs="Times New Roman"/>
          <w:color w:val="auto"/>
          <w:highlight w:val="none"/>
          <w:lang w:val="en-US"/>
        </w:rPr>
        <w:fldChar w:fldCharType="separate"/>
      </w:r>
      <w:r>
        <w:rPr>
          <w:rFonts w:hint="default" w:ascii="Times New Roman" w:hAnsi="Times New Roman" w:eastAsia="宋体" w:cs="Times New Roman"/>
          <w:color w:val="auto"/>
          <w:highlight w:val="none"/>
          <w:lang w:val="en-US"/>
        </w:rPr>
        <w:t>表4.1-2</w:t>
      </w:r>
      <w:r>
        <w:rPr>
          <w:rFonts w:hint="default" w:ascii="Times New Roman" w:hAnsi="Times New Roman" w:eastAsia="宋体" w:cs="Times New Roman"/>
          <w:color w:val="auto"/>
          <w:highlight w:val="none"/>
          <w:lang w:val="en-US"/>
        </w:rPr>
        <w:fldChar w:fldCharType="end"/>
      </w:r>
      <w:r>
        <w:rPr>
          <w:rFonts w:hint="eastAsia" w:ascii="Times New Roman" w:cs="Times New Roman"/>
          <w:color w:val="auto"/>
          <w:highlight w:val="none"/>
          <w:lang w:eastAsia="zh-CN"/>
        </w:rPr>
        <w:t>。</w:t>
      </w:r>
    </w:p>
    <w:p w14:paraId="12E456E7">
      <w:pPr>
        <w:pStyle w:val="268"/>
        <w:keepNext w:val="0"/>
        <w:keepLines w:val="0"/>
        <w:pageBreakBefore w:val="0"/>
        <w:widowControl w:val="0"/>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color w:val="auto"/>
          <w:highlight w:val="none"/>
        </w:rPr>
      </w:pPr>
      <w:bookmarkStart w:id="113" w:name="_Ref32666"/>
      <w:r>
        <w:rPr>
          <w:rFonts w:hint="default"/>
          <w:color w:val="auto"/>
          <w:highlight w:val="none"/>
        </w:rPr>
        <w:t>距离施工点各距离处的TSP浓度情况表</w:t>
      </w:r>
      <w:bookmarkEnd w:id="113"/>
    </w:p>
    <w:tbl>
      <w:tblPr>
        <w:tblStyle w:val="1679"/>
        <w:tblW w:w="0" w:type="auto"/>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1818"/>
        <w:gridCol w:w="1206"/>
        <w:gridCol w:w="1208"/>
        <w:gridCol w:w="1208"/>
        <w:gridCol w:w="1205"/>
        <w:gridCol w:w="1206"/>
        <w:gridCol w:w="786"/>
      </w:tblGrid>
      <w:tr w14:paraId="407E8A4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818" w:type="dxa"/>
            <w:noWrap w:val="0"/>
            <w:vAlign w:val="top"/>
          </w:tcPr>
          <w:p w14:paraId="4143EE27">
            <w:pPr>
              <w:pStyle w:val="1647"/>
              <w:spacing w:before="33" w:line="202" w:lineRule="auto"/>
              <w:ind w:left="332"/>
              <w:rPr>
                <w:rFonts w:hint="default" w:ascii="Times New Roman" w:hAnsi="Times New Roman" w:eastAsia="Times New Roman" w:cs="Times New Roman"/>
                <w:color w:val="auto"/>
                <w:highlight w:val="none"/>
              </w:rPr>
            </w:pPr>
            <w:r>
              <w:rPr>
                <w:rFonts w:hint="default" w:ascii="Times New Roman" w:hAnsi="Times New Roman" w:cs="Times New Roman"/>
                <w:color w:val="auto"/>
                <w:spacing w:val="-2"/>
                <w:highlight w:val="none"/>
              </w:rPr>
              <w:t>与施工点距离</w:t>
            </w:r>
            <w:r>
              <w:rPr>
                <w:rFonts w:hint="default" w:ascii="Times New Roman" w:hAnsi="Times New Roman" w:eastAsia="Times New Roman" w:cs="Times New Roman"/>
                <w:color w:val="auto"/>
                <w:spacing w:val="-2"/>
                <w:highlight w:val="none"/>
              </w:rPr>
              <w:t>m</w:t>
            </w:r>
          </w:p>
        </w:tc>
        <w:tc>
          <w:tcPr>
            <w:tcW w:w="1206" w:type="dxa"/>
            <w:noWrap w:val="0"/>
            <w:vAlign w:val="top"/>
          </w:tcPr>
          <w:p w14:paraId="0E024C2F">
            <w:pPr>
              <w:spacing w:before="46" w:line="215" w:lineRule="auto"/>
              <w:ind w:left="613"/>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6"/>
                <w:sz w:val="21"/>
                <w:szCs w:val="21"/>
                <w:highlight w:val="none"/>
              </w:rPr>
              <w:t>10</w:t>
            </w:r>
          </w:p>
        </w:tc>
        <w:tc>
          <w:tcPr>
            <w:tcW w:w="1208" w:type="dxa"/>
            <w:noWrap w:val="0"/>
            <w:vAlign w:val="top"/>
          </w:tcPr>
          <w:p w14:paraId="5197A74B">
            <w:pPr>
              <w:spacing w:before="46" w:line="215" w:lineRule="auto"/>
              <w:ind w:left="592"/>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20</w:t>
            </w:r>
          </w:p>
        </w:tc>
        <w:tc>
          <w:tcPr>
            <w:tcW w:w="1208" w:type="dxa"/>
            <w:noWrap w:val="0"/>
            <w:vAlign w:val="top"/>
          </w:tcPr>
          <w:p w14:paraId="79F37BE5">
            <w:pPr>
              <w:spacing w:before="46" w:line="215" w:lineRule="auto"/>
              <w:ind w:left="599"/>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30</w:t>
            </w:r>
          </w:p>
        </w:tc>
        <w:tc>
          <w:tcPr>
            <w:tcW w:w="1205" w:type="dxa"/>
            <w:noWrap w:val="0"/>
            <w:vAlign w:val="top"/>
          </w:tcPr>
          <w:p w14:paraId="012E91F4">
            <w:pPr>
              <w:spacing w:before="46" w:line="215" w:lineRule="auto"/>
              <w:ind w:left="589"/>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40</w:t>
            </w:r>
          </w:p>
        </w:tc>
        <w:tc>
          <w:tcPr>
            <w:tcW w:w="1206" w:type="dxa"/>
            <w:noWrap w:val="0"/>
            <w:vAlign w:val="top"/>
          </w:tcPr>
          <w:p w14:paraId="136B472E">
            <w:pPr>
              <w:spacing w:before="46" w:line="215" w:lineRule="auto"/>
              <w:ind w:left="597"/>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3"/>
                <w:sz w:val="21"/>
                <w:szCs w:val="21"/>
                <w:highlight w:val="none"/>
              </w:rPr>
              <w:t>50</w:t>
            </w:r>
          </w:p>
        </w:tc>
        <w:tc>
          <w:tcPr>
            <w:tcW w:w="786" w:type="dxa"/>
            <w:noWrap w:val="0"/>
            <w:vAlign w:val="top"/>
          </w:tcPr>
          <w:p w14:paraId="417DA84F">
            <w:pPr>
              <w:spacing w:before="46" w:line="215" w:lineRule="auto"/>
              <w:ind w:left="317"/>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6"/>
                <w:sz w:val="21"/>
                <w:szCs w:val="21"/>
                <w:highlight w:val="none"/>
              </w:rPr>
              <w:t>100</w:t>
            </w:r>
          </w:p>
        </w:tc>
      </w:tr>
      <w:tr w14:paraId="5F1FD14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1818" w:type="dxa"/>
            <w:noWrap w:val="0"/>
            <w:vAlign w:val="top"/>
          </w:tcPr>
          <w:p w14:paraId="1D232B47">
            <w:pPr>
              <w:pStyle w:val="1647"/>
              <w:spacing w:before="144" w:line="208" w:lineRule="auto"/>
              <w:ind w:left="342"/>
              <w:rPr>
                <w:rFonts w:hint="default" w:ascii="Times New Roman" w:hAnsi="Times New Roman" w:eastAsia="Times New Roman" w:cs="Times New Roman"/>
                <w:color w:val="auto"/>
                <w:highlight w:val="none"/>
              </w:rPr>
            </w:pPr>
            <w:r>
              <w:rPr>
                <w:rFonts w:hint="default" w:ascii="Times New Roman" w:hAnsi="Times New Roman" w:eastAsia="Times New Roman" w:cs="Times New Roman"/>
                <w:color w:val="auto"/>
                <w:highlight w:val="none"/>
              </w:rPr>
              <w:t>TSP</w:t>
            </w:r>
            <w:r>
              <w:rPr>
                <w:rFonts w:hint="default" w:ascii="Times New Roman" w:hAnsi="Times New Roman" w:cs="Times New Roman"/>
                <w:color w:val="auto"/>
                <w:spacing w:val="24"/>
                <w:highlight w:val="none"/>
              </w:rPr>
              <w:t>浓度</w:t>
            </w:r>
            <w:r>
              <w:rPr>
                <w:rFonts w:hint="default" w:ascii="Times New Roman" w:hAnsi="Times New Roman" w:eastAsia="Times New Roman" w:cs="Times New Roman"/>
                <w:color w:val="auto"/>
                <w:highlight w:val="none"/>
              </w:rPr>
              <w:t>mg</w:t>
            </w:r>
            <w:r>
              <w:rPr>
                <w:rFonts w:hint="default" w:ascii="Times New Roman" w:hAnsi="Times New Roman" w:eastAsia="Times New Roman" w:cs="Times New Roman"/>
                <w:color w:val="auto"/>
                <w:spacing w:val="24"/>
                <w:highlight w:val="none"/>
              </w:rPr>
              <w:t>/m³</w:t>
            </w:r>
          </w:p>
        </w:tc>
        <w:tc>
          <w:tcPr>
            <w:tcW w:w="1206" w:type="dxa"/>
            <w:noWrap w:val="0"/>
            <w:vAlign w:val="top"/>
          </w:tcPr>
          <w:p w14:paraId="37F4DA67">
            <w:pPr>
              <w:spacing w:before="188" w:line="191" w:lineRule="auto"/>
              <w:ind w:left="534"/>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5"/>
                <w:sz w:val="21"/>
                <w:szCs w:val="21"/>
                <w:highlight w:val="none"/>
              </w:rPr>
              <w:t>1.75</w:t>
            </w:r>
          </w:p>
        </w:tc>
        <w:tc>
          <w:tcPr>
            <w:tcW w:w="1208" w:type="dxa"/>
            <w:noWrap w:val="0"/>
            <w:vAlign w:val="top"/>
          </w:tcPr>
          <w:p w14:paraId="5D2AF6DC">
            <w:pPr>
              <w:spacing w:before="188" w:line="191" w:lineRule="auto"/>
              <w:ind w:left="588"/>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5"/>
                <w:sz w:val="21"/>
                <w:szCs w:val="21"/>
                <w:highlight w:val="none"/>
              </w:rPr>
              <w:t>1.3</w:t>
            </w:r>
          </w:p>
        </w:tc>
        <w:tc>
          <w:tcPr>
            <w:tcW w:w="1208" w:type="dxa"/>
            <w:noWrap w:val="0"/>
            <w:vAlign w:val="top"/>
          </w:tcPr>
          <w:p w14:paraId="1DAE4558">
            <w:pPr>
              <w:spacing w:before="188" w:line="191" w:lineRule="auto"/>
              <w:ind w:left="519"/>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0.78</w:t>
            </w:r>
          </w:p>
        </w:tc>
        <w:tc>
          <w:tcPr>
            <w:tcW w:w="1205" w:type="dxa"/>
            <w:noWrap w:val="0"/>
            <w:vAlign w:val="top"/>
          </w:tcPr>
          <w:p w14:paraId="255F16B3">
            <w:pPr>
              <w:spacing w:before="188" w:line="191" w:lineRule="auto"/>
              <w:ind w:left="462"/>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0.365</w:t>
            </w:r>
          </w:p>
        </w:tc>
        <w:tc>
          <w:tcPr>
            <w:tcW w:w="1206" w:type="dxa"/>
            <w:noWrap w:val="0"/>
            <w:vAlign w:val="top"/>
          </w:tcPr>
          <w:p w14:paraId="3FCD4B21">
            <w:pPr>
              <w:spacing w:before="188" w:line="191" w:lineRule="auto"/>
              <w:ind w:left="463"/>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0.345</w:t>
            </w:r>
          </w:p>
        </w:tc>
        <w:tc>
          <w:tcPr>
            <w:tcW w:w="786" w:type="dxa"/>
            <w:noWrap w:val="0"/>
            <w:vAlign w:val="top"/>
          </w:tcPr>
          <w:p w14:paraId="0CFB5901">
            <w:pPr>
              <w:spacing w:before="188" w:line="191" w:lineRule="auto"/>
              <w:ind w:left="273"/>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0.33</w:t>
            </w:r>
          </w:p>
        </w:tc>
      </w:tr>
    </w:tbl>
    <w:p w14:paraId="13364587">
      <w:pPr>
        <w:ind w:firstLine="416"/>
        <w:rPr>
          <w:rFonts w:hint="default" w:ascii="Times New Roman" w:hAnsi="Times New Roman" w:eastAsia="宋体" w:cs="Times New Roman"/>
          <w:bCs/>
          <w:color w:val="auto"/>
          <w:highlight w:val="none"/>
          <w:u w:val="none"/>
        </w:rPr>
      </w:pPr>
      <w:r>
        <w:rPr>
          <w:rFonts w:hint="default" w:ascii="Times New Roman" w:hAnsi="Times New Roman" w:eastAsia="宋体" w:cs="Times New Roman"/>
          <w:bCs/>
          <w:color w:val="auto"/>
          <w:highlight w:val="none"/>
          <w:u w:val="none"/>
        </w:rPr>
        <w:t>根据类似建筑施工现场的实测资料，在一般气象条件下，平均风速为5.0m/s时，施工现场空气中TSP的日均浓度为其上风向对照点的2～2.5倍，建筑施工扬尘的影响范围在其下风向可达120m，影响范围内TSP日均浓度平均值可达0.49mg/m³（相当于空气质量评价标准的1.6倍）；当施工场界有围墙时，在同等条件下，其影响距离可缩40%（即缩短近50m）；当风速大于5.0m/s，施工现场及其下风向部分区域空气中TSP日均浓度将超过《环境空气质量标准》（GB3095-2012）中的三级标准，而且随风速增大，施工扬尘的污染程度及其导致的超标范围也将随之增强和扩大。</w:t>
      </w:r>
    </w:p>
    <w:p w14:paraId="55C59CC9">
      <w:pPr>
        <w:ind w:firstLine="416"/>
        <w:rPr>
          <w:rFonts w:hint="default" w:ascii="Times New Roman" w:hAnsi="Times New Roman" w:eastAsia="宋体" w:cs="Times New Roman"/>
          <w:bCs/>
          <w:color w:val="auto"/>
          <w:highlight w:val="none"/>
          <w:u w:val="none"/>
        </w:rPr>
      </w:pPr>
      <w:r>
        <w:rPr>
          <w:rFonts w:hint="default" w:ascii="Times New Roman" w:hAnsi="Times New Roman" w:eastAsia="宋体" w:cs="Times New Roman"/>
          <w:bCs/>
          <w:color w:val="auto"/>
          <w:highlight w:val="none"/>
          <w:u w:val="none"/>
        </w:rPr>
        <w:t>通过对施工区洒水、设置边界围挡、裸露地面覆盖、易扬尘物料覆盖、运输车辆密闭等措施，施工期扬尘对周边环境影响有限，且影响会随着施工的结束扬尘影响消失。类比调查资料，施工机械作业环节如场地平整、清表、材料运输和堆存等施工作业产生的尘污染，在正常风况下，一般可控制在施工现场50～100m范围内，在此范围以外符合《环境空气质量标准》</w:t>
      </w:r>
      <w:r>
        <w:rPr>
          <w:rFonts w:hint="eastAsia" w:ascii="Times New Roman" w:hAnsi="Times New Roman" w:eastAsia="宋体" w:cs="Times New Roman"/>
          <w:bCs/>
          <w:color w:val="auto"/>
          <w:highlight w:val="none"/>
          <w:u w:val="none"/>
          <w:lang w:eastAsia="zh-CN"/>
        </w:rPr>
        <w:t>（</w:t>
      </w:r>
      <w:r>
        <w:rPr>
          <w:rFonts w:hint="default" w:ascii="Times New Roman" w:hAnsi="Times New Roman" w:eastAsia="宋体" w:cs="Times New Roman"/>
          <w:bCs/>
          <w:color w:val="auto"/>
          <w:highlight w:val="none"/>
          <w:u w:val="none"/>
        </w:rPr>
        <w:t>GB 3095-2012</w:t>
      </w:r>
      <w:r>
        <w:rPr>
          <w:rFonts w:hint="eastAsia" w:ascii="Times New Roman" w:hAnsi="Times New Roman" w:eastAsia="宋体" w:cs="Times New Roman"/>
          <w:bCs/>
          <w:color w:val="auto"/>
          <w:highlight w:val="none"/>
          <w:u w:val="none"/>
        </w:rPr>
        <w:t>）</w:t>
      </w:r>
      <w:r>
        <w:rPr>
          <w:rFonts w:hint="default" w:ascii="Times New Roman" w:hAnsi="Times New Roman" w:eastAsia="宋体" w:cs="Times New Roman"/>
          <w:bCs/>
          <w:color w:val="auto"/>
          <w:highlight w:val="none"/>
          <w:u w:val="none"/>
        </w:rPr>
        <w:t>二级标准。</w:t>
      </w:r>
    </w:p>
    <w:p w14:paraId="2D9EB472">
      <w:pPr>
        <w:pStyle w:val="410"/>
        <w:numPr>
          <w:ilvl w:val="0"/>
          <w:numId w:val="43"/>
        </w:numPr>
        <w:ind w:left="0" w:leftChars="0" w:firstLine="442" w:firstLineChars="200"/>
        <w:rPr>
          <w:rFonts w:hint="default" w:ascii="Times New Roman" w:hAnsi="Times New Roman" w:cs="Times New Roman"/>
          <w:b/>
          <w:bCs/>
          <w:color w:val="auto"/>
          <w:highlight w:val="none"/>
          <w:u w:val="none" w:color="auto"/>
          <w:lang w:eastAsia="zh-CN"/>
        </w:rPr>
      </w:pPr>
      <w:r>
        <w:rPr>
          <w:rFonts w:hint="default" w:ascii="Times New Roman" w:hAnsi="Times New Roman" w:cs="Times New Roman"/>
          <w:b/>
          <w:bCs/>
          <w:color w:val="auto"/>
          <w:highlight w:val="none"/>
          <w:u w:val="none" w:color="auto"/>
          <w:lang w:eastAsia="zh-CN"/>
        </w:rPr>
        <w:t>施工粉尘对周边居民村屯影响</w:t>
      </w:r>
    </w:p>
    <w:p w14:paraId="6701F24A">
      <w:pPr>
        <w:pStyle w:val="410"/>
        <w:rPr>
          <w:rFonts w:hint="default" w:ascii="Times New Roman" w:hAnsi="Times New Roman" w:eastAsia="宋体" w:cs="Times New Roman"/>
          <w:b w:val="0"/>
          <w:bCs w:val="0"/>
          <w:color w:val="auto"/>
          <w:highlight w:val="none"/>
          <w:u w:val="none" w:color="auto"/>
          <w:lang w:eastAsia="zh-CN"/>
        </w:rPr>
      </w:pPr>
      <w:r>
        <w:rPr>
          <w:rFonts w:hint="default" w:ascii="Times New Roman" w:hAnsi="Times New Roman" w:eastAsia="宋体" w:cs="Times New Roman"/>
          <w:b w:val="0"/>
          <w:bCs w:val="0"/>
          <w:color w:val="auto"/>
          <w:highlight w:val="none"/>
          <w:u w:val="none" w:color="auto"/>
          <w:lang w:eastAsia="zh-CN"/>
        </w:rPr>
        <w:t>项目主要施工区域下风向</w:t>
      </w:r>
      <w:r>
        <w:rPr>
          <w:rFonts w:hint="default" w:ascii="Times New Roman" w:hAnsi="Times New Roman" w:eastAsia="宋体" w:cs="Times New Roman"/>
          <w:b w:val="0"/>
          <w:bCs w:val="0"/>
          <w:color w:val="auto"/>
          <w:highlight w:val="none"/>
          <w:u w:val="none" w:color="auto"/>
          <w:lang w:val="en-US" w:eastAsia="zh-CN"/>
        </w:rPr>
        <w:t>南面</w:t>
      </w:r>
      <w:r>
        <w:rPr>
          <w:rFonts w:hint="default" w:ascii="Times New Roman" w:hAnsi="Times New Roman" w:eastAsia="宋体" w:cs="Times New Roman"/>
          <w:b w:val="0"/>
          <w:bCs w:val="0"/>
          <w:color w:val="auto"/>
          <w:highlight w:val="none"/>
          <w:u w:val="none" w:color="auto"/>
          <w:lang w:eastAsia="zh-CN"/>
        </w:rPr>
        <w:t>50m范围内</w:t>
      </w:r>
      <w:r>
        <w:rPr>
          <w:rFonts w:hint="default" w:ascii="Times New Roman" w:hAnsi="Times New Roman" w:eastAsia="宋体" w:cs="Times New Roman"/>
          <w:b w:val="0"/>
          <w:bCs w:val="0"/>
          <w:color w:val="auto"/>
          <w:highlight w:val="none"/>
          <w:u w:val="none" w:color="auto"/>
          <w:lang w:val="en-US" w:eastAsia="zh-CN"/>
        </w:rPr>
        <w:t>无保护目标，距离最近的保护目标为位于项目西侧相邻的大岭脚村</w:t>
      </w:r>
      <w:r>
        <w:rPr>
          <w:rFonts w:hint="default" w:ascii="Times New Roman" w:hAnsi="Times New Roman" w:eastAsia="宋体" w:cs="Times New Roman"/>
          <w:b w:val="0"/>
          <w:bCs w:val="0"/>
          <w:color w:val="auto"/>
          <w:highlight w:val="none"/>
          <w:u w:val="none" w:color="auto"/>
          <w:lang w:eastAsia="zh-CN"/>
        </w:rPr>
        <w:t>。施工过程中空气中TSP的浓度会在现有基础上有所增加，距离施工区50m范围内的部分居民点等敏感点受的影响较大，应采取措施加以防护。</w:t>
      </w:r>
    </w:p>
    <w:p w14:paraId="48A51388">
      <w:pPr>
        <w:pStyle w:val="410"/>
        <w:rPr>
          <w:rFonts w:hint="default" w:ascii="Times New Roman" w:hAnsi="Times New Roman" w:eastAsia="宋体" w:cs="Times New Roman"/>
          <w:b w:val="0"/>
          <w:bCs w:val="0"/>
          <w:color w:val="auto"/>
          <w:highlight w:val="none"/>
          <w:u w:val="none" w:color="auto"/>
          <w:lang w:eastAsia="zh-CN"/>
        </w:rPr>
      </w:pPr>
      <w:r>
        <w:rPr>
          <w:rFonts w:hint="default" w:ascii="Times New Roman" w:hAnsi="Times New Roman" w:eastAsia="宋体" w:cs="Times New Roman"/>
          <w:b w:val="0"/>
          <w:bCs w:val="0"/>
          <w:color w:val="auto"/>
          <w:highlight w:val="none"/>
          <w:u w:val="none" w:color="auto"/>
          <w:lang w:eastAsia="zh-CN"/>
        </w:rPr>
        <w:t>对类似施工现场及周边的TSP监测，在施工现场处于良好管理水平的情况下，如物料文明装卸、施工便道和施工现场内经常洒水保持湿润，距施工现场20m外的TSP浓度值即可达到《环境空气质量标准》（GB3095-2012）日均值二级标准。</w:t>
      </w:r>
    </w:p>
    <w:p w14:paraId="365F3EBA">
      <w:pPr>
        <w:pStyle w:val="410"/>
        <w:rPr>
          <w:rFonts w:hint="default" w:ascii="Times New Roman" w:hAnsi="Times New Roman" w:eastAsia="宋体" w:cs="Times New Roman"/>
          <w:b w:val="0"/>
          <w:bCs w:val="0"/>
          <w:color w:val="auto"/>
          <w:highlight w:val="none"/>
          <w:u w:val="none" w:color="auto"/>
          <w:lang w:eastAsia="zh-CN"/>
        </w:rPr>
      </w:pPr>
      <w:r>
        <w:rPr>
          <w:rFonts w:hint="default" w:ascii="Times New Roman" w:hAnsi="Times New Roman" w:eastAsia="宋体" w:cs="Times New Roman"/>
          <w:b w:val="0"/>
          <w:bCs w:val="0"/>
          <w:color w:val="auto"/>
          <w:highlight w:val="none"/>
          <w:u w:val="none" w:color="auto"/>
          <w:lang w:eastAsia="zh-CN"/>
        </w:rPr>
        <w:t>在施工期间对开挖土方集中堆放或及时回填，合理设置建筑材料堆放并采用适当的遮盖措施，同时采取相应的滞尘网、禁止高处凌空抛掷建筑垃圾等，对施工场地实施洒水抑尘，每天洒水4～5次，则可使扬尘减少70%左右，施工区设置2m以上围挡，临近敏感点施工同时增加喷淋洒水频率，设置雾炮除尘，可将TSP的污染距离缩小到15m范围，可大大减少项目施工扬尘对周边敏感点的影响。</w:t>
      </w:r>
    </w:p>
    <w:p w14:paraId="5D362410">
      <w:pPr>
        <w:pStyle w:val="410"/>
        <w:rPr>
          <w:rFonts w:hint="default" w:ascii="Times New Roman" w:hAnsi="Times New Roman" w:eastAsia="宋体" w:cs="Times New Roman"/>
          <w:b w:val="0"/>
          <w:bCs w:val="0"/>
          <w:color w:val="auto"/>
          <w:highlight w:val="none"/>
          <w:u w:val="none" w:color="auto"/>
          <w:lang w:eastAsia="zh-CN"/>
        </w:rPr>
      </w:pPr>
      <w:r>
        <w:rPr>
          <w:rFonts w:hint="default" w:ascii="Times New Roman" w:hAnsi="Times New Roman" w:eastAsia="宋体" w:cs="Times New Roman"/>
          <w:b w:val="0"/>
          <w:bCs w:val="0"/>
          <w:color w:val="auto"/>
          <w:highlight w:val="none"/>
          <w:u w:val="none" w:color="auto"/>
          <w:lang w:eastAsia="zh-CN"/>
        </w:rPr>
        <w:t>根据施工区域周边敏感目标的分布情况，在采取措施的情况下，项目施工产生的扬尘对周边居民点的环境空气质量影响较小。</w:t>
      </w:r>
    </w:p>
    <w:p w14:paraId="417DF565">
      <w:pPr>
        <w:pStyle w:val="6"/>
        <w:numPr>
          <w:ilvl w:val="3"/>
          <w:numId w:val="40"/>
        </w:numPr>
        <w:bidi w:val="0"/>
        <w:ind w:left="0" w:leftChars="0" w:firstLine="0" w:firstLineChars="0"/>
        <w:rPr>
          <w:rFonts w:hint="default"/>
          <w:color w:val="auto"/>
          <w:highlight w:val="none"/>
          <w:lang w:eastAsia="zh-CN"/>
        </w:rPr>
      </w:pPr>
      <w:r>
        <w:rPr>
          <w:rFonts w:hint="default"/>
          <w:color w:val="auto"/>
          <w:highlight w:val="none"/>
          <w:lang w:eastAsia="zh-CN"/>
        </w:rPr>
        <w:t>交通运输扬尘影响分析</w:t>
      </w:r>
    </w:p>
    <w:p w14:paraId="2F51FFB1">
      <w:pPr>
        <w:pStyle w:val="410"/>
        <w:rPr>
          <w:rFonts w:hint="default" w:ascii="Times New Roman" w:hAnsi="Times New Roman" w:eastAsia="宋体" w:cs="Times New Roman"/>
          <w:color w:val="auto"/>
          <w:highlight w:val="none"/>
          <w:u w:val="none"/>
          <w:lang w:eastAsia="zh-CN"/>
        </w:rPr>
      </w:pPr>
      <w:r>
        <w:rPr>
          <w:rFonts w:hint="default" w:ascii="Times New Roman" w:hAnsi="Times New Roman" w:eastAsia="宋体" w:cs="Times New Roman"/>
          <w:color w:val="auto"/>
          <w:highlight w:val="none"/>
          <w:u w:val="none"/>
          <w:lang w:eastAsia="zh-CN"/>
        </w:rPr>
        <w:t>本工程需要运输大量土方、材料，场外交通主要依靠现状锦绣大道等附近市政道路。</w:t>
      </w:r>
    </w:p>
    <w:p w14:paraId="45650424">
      <w:pPr>
        <w:pStyle w:val="410"/>
        <w:rPr>
          <w:rFonts w:hint="default" w:ascii="Times New Roman" w:hAnsi="Times New Roman" w:eastAsia="宋体" w:cs="Times New Roman"/>
          <w:color w:val="auto"/>
          <w:highlight w:val="none"/>
          <w:u w:val="none"/>
          <w:lang w:eastAsia="zh-CN"/>
        </w:rPr>
      </w:pPr>
      <w:r>
        <w:rPr>
          <w:rFonts w:hint="default" w:ascii="Times New Roman" w:hAnsi="Times New Roman" w:eastAsia="宋体" w:cs="Times New Roman"/>
          <w:color w:val="auto"/>
          <w:highlight w:val="none"/>
          <w:u w:val="none"/>
          <w:lang w:eastAsia="zh-CN"/>
        </w:rPr>
        <w:t>运输过程中渣土的散落、车辆行驶带起地面的尘土易造成道路沿线区域的扬尘。类比同类工程，一般情况下施工场地内交通道路两侧50～150m范围内TSP可达490微克/立方米，在200-~300m范围外TSP隆至300微克/立方米，可达到《环境空气质量标准》（GB3095-2012）二级标准的要求。在同样路面清洁情况下，车速越快，扬尘量越大；而在同样车速情况下，路面清洁度越差，则扬尘量越大。若在施工时采取洒水降尘、减速行驶、清洗车轮和车体、用帆布覆盖易起扬尘的物料等措施，则40m外可满足二级标准要求，工地扬尘量可减少70%以上。因此限速行驶及保持路面的清洁是减少汽车扬尘的有效手段。同时抑制扬尘的一个简捷有效的措施是运输道路定期洒水。</w:t>
      </w:r>
    </w:p>
    <w:p w14:paraId="77D16C76">
      <w:pPr>
        <w:pStyle w:val="410"/>
        <w:rPr>
          <w:rFonts w:hint="default" w:ascii="Times New Roman" w:hAnsi="Times New Roman" w:eastAsia="宋体" w:cs="Times New Roman"/>
          <w:color w:val="auto"/>
          <w:highlight w:val="none"/>
          <w:u w:val="none"/>
          <w:lang w:eastAsia="zh-CN"/>
        </w:rPr>
      </w:pPr>
      <w:r>
        <w:rPr>
          <w:rFonts w:hint="default" w:ascii="Times New Roman" w:hAnsi="Times New Roman" w:eastAsia="宋体" w:cs="Times New Roman"/>
          <w:color w:val="auto"/>
          <w:highlight w:val="none"/>
          <w:u w:val="none"/>
          <w:lang w:eastAsia="zh-CN"/>
        </w:rPr>
        <w:t>项目可通过采取对施工场地定时洒水、对场地内运输通道及时清扫、运输车辆进入施工场地低速行驶等措施以减少施工场地内交通运输扬尘的产生；运输车设置挡板防止泥土洒漏、专人清扫运输线路并进行洒水，保持地面清洁，以减少建筑垃圾运输过程中产生的扬尘，从而减少车辆运输扬尘对运输线路两侧居民的影响。</w:t>
      </w:r>
    </w:p>
    <w:p w14:paraId="34A4E827">
      <w:pPr>
        <w:pStyle w:val="41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lang w:eastAsia="zh-CN"/>
        </w:rPr>
        <w:t>综上，采取洒水降尘、出场车辆清洗轮胎等措施，道路扬尘对周边居民敏感点及周边环境影响可得到较大程度地降低，项目施工期运输扬尘对周边环境不会产生</w:t>
      </w:r>
      <w:r>
        <w:rPr>
          <w:rFonts w:hint="default" w:ascii="Times New Roman" w:hAnsi="Times New Roman" w:eastAsia="宋体" w:cs="Times New Roman"/>
          <w:color w:val="auto"/>
          <w:highlight w:val="none"/>
          <w:u w:val="none"/>
        </w:rPr>
        <w:t>大的影响，且随着施工期的结束车辆行驶扬尘的影响也随之消失。</w:t>
      </w:r>
    </w:p>
    <w:p w14:paraId="6E9C1255">
      <w:pPr>
        <w:pStyle w:val="6"/>
        <w:numPr>
          <w:ilvl w:val="3"/>
          <w:numId w:val="40"/>
        </w:numPr>
        <w:bidi w:val="0"/>
        <w:ind w:left="0" w:leftChars="0" w:firstLine="0" w:firstLineChars="0"/>
        <w:rPr>
          <w:rFonts w:hint="default"/>
          <w:color w:val="auto"/>
          <w:highlight w:val="none"/>
        </w:rPr>
      </w:pPr>
      <w:r>
        <w:rPr>
          <w:rFonts w:hint="default"/>
          <w:color w:val="auto"/>
          <w:highlight w:val="none"/>
        </w:rPr>
        <w:t>施工机械尾气污染分析</w:t>
      </w:r>
    </w:p>
    <w:p w14:paraId="00104C08">
      <w:pPr>
        <w:pStyle w:val="41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施工机械及车辆，均为燃油机械，尾气排放中所含污染物主要有SO</w:t>
      </w:r>
      <w:r>
        <w:rPr>
          <w:rFonts w:hint="default" w:ascii="Times New Roman" w:hAnsi="Times New Roman" w:cs="Times New Roman"/>
          <w:color w:val="auto"/>
          <w:highlight w:val="none"/>
          <w:u w:val="none"/>
          <w:vertAlign w:val="subscript"/>
        </w:rPr>
        <w:t>2</w:t>
      </w:r>
      <w:r>
        <w:rPr>
          <w:rFonts w:hint="default" w:ascii="Times New Roman" w:hAnsi="Times New Roman" w:cs="Times New Roman"/>
          <w:color w:val="auto"/>
          <w:highlight w:val="none"/>
          <w:u w:val="none"/>
        </w:rPr>
        <w:t>、CO、NOx和烃类；由于施工机械多为大型机械，单车排放系数较大，但同时作业的机械数量少且分散，其污染程度相对较轻。</w:t>
      </w:r>
    </w:p>
    <w:p w14:paraId="21C7847D">
      <w:pPr>
        <w:pStyle w:val="41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eastAsia="zh-CN"/>
        </w:rPr>
        <w:t>据</w:t>
      </w:r>
      <w:r>
        <w:rPr>
          <w:rFonts w:hint="default" w:ascii="Times New Roman" w:hAnsi="Times New Roman" w:cs="Times New Roman"/>
          <w:color w:val="auto"/>
          <w:highlight w:val="none"/>
          <w:u w:val="none"/>
        </w:rPr>
        <w:t>类似工程施工现场监测结果，在距施工现场50m处NO</w:t>
      </w:r>
      <w:r>
        <w:rPr>
          <w:rFonts w:hint="default" w:ascii="Times New Roman" w:hAnsi="Times New Roman" w:cs="Times New Roman"/>
          <w:color w:val="auto"/>
          <w:highlight w:val="none"/>
          <w:u w:val="none"/>
          <w:vertAlign w:val="subscript"/>
        </w:rPr>
        <w:t>2</w:t>
      </w:r>
      <w:r>
        <w:rPr>
          <w:rFonts w:hint="default" w:ascii="Times New Roman" w:hAnsi="Times New Roman" w:cs="Times New Roman"/>
          <w:color w:val="auto"/>
          <w:highlight w:val="none"/>
          <w:u w:val="none"/>
        </w:rPr>
        <w:t>1小时平均浓度为0.13mg/m</w:t>
      </w:r>
      <w:r>
        <w:rPr>
          <w:rFonts w:hint="default" w:ascii="Times New Roman" w:hAnsi="Times New Roman" w:cs="Times New Roman"/>
          <w:color w:val="auto"/>
          <w:highlight w:val="none"/>
          <w:u w:val="none"/>
          <w:vertAlign w:val="superscript"/>
        </w:rPr>
        <w:t>3</w:t>
      </w:r>
      <w:r>
        <w:rPr>
          <w:rFonts w:hint="default" w:ascii="Times New Roman" w:hAnsi="Times New Roman" w:cs="Times New Roman"/>
          <w:color w:val="auto"/>
          <w:highlight w:val="none"/>
          <w:u w:val="none"/>
        </w:rPr>
        <w:t>；日平均浓度为0.062mg/m</w:t>
      </w:r>
      <w:r>
        <w:rPr>
          <w:rFonts w:hint="default" w:ascii="Times New Roman" w:hAnsi="Times New Roman" w:cs="Times New Roman"/>
          <w:color w:val="auto"/>
          <w:highlight w:val="none"/>
          <w:u w:val="none"/>
          <w:vertAlign w:val="superscript"/>
        </w:rPr>
        <w:t>3</w:t>
      </w:r>
      <w:r>
        <w:rPr>
          <w:rFonts w:hint="default" w:ascii="Times New Roman" w:hAnsi="Times New Roman" w:cs="Times New Roman"/>
          <w:color w:val="auto"/>
          <w:highlight w:val="none"/>
          <w:u w:val="none"/>
        </w:rPr>
        <w:t>。能满足《环境空气质量标准》（GB3095-</w:t>
      </w:r>
      <w:r>
        <w:rPr>
          <w:rFonts w:hint="eastAsia" w:ascii="Times New Roman" w:cs="Times New Roman"/>
          <w:color w:val="auto"/>
          <w:highlight w:val="none"/>
          <w:u w:val="none"/>
          <w:lang w:val="en-US" w:eastAsia="zh-CN"/>
        </w:rPr>
        <w:t>-2012</w:t>
      </w:r>
      <w:r>
        <w:rPr>
          <w:rFonts w:hint="default" w:ascii="Times New Roman" w:hAnsi="Times New Roman" w:cs="Times New Roman"/>
          <w:color w:val="auto"/>
          <w:highlight w:val="none"/>
          <w:u w:val="none"/>
        </w:rPr>
        <w:t>）中二级标准的要求，对评价区空气环境不利影响有限；随着施工结束，机械停止作业，该类影响即可消失。</w:t>
      </w:r>
    </w:p>
    <w:p w14:paraId="094EC6A0">
      <w:pPr>
        <w:pStyle w:val="6"/>
        <w:numPr>
          <w:ilvl w:val="3"/>
          <w:numId w:val="40"/>
        </w:numPr>
        <w:bidi w:val="0"/>
        <w:ind w:left="0" w:leftChars="0" w:firstLine="0" w:firstLineChars="0"/>
        <w:rPr>
          <w:rFonts w:hint="default"/>
          <w:color w:val="auto"/>
          <w:highlight w:val="none"/>
          <w:lang w:eastAsia="zh-CN"/>
        </w:rPr>
      </w:pPr>
      <w:r>
        <w:rPr>
          <w:rFonts w:hint="eastAsia"/>
          <w:color w:val="auto"/>
          <w:highlight w:val="none"/>
          <w:lang w:eastAsia="zh-CN"/>
        </w:rPr>
        <w:t>临时中转场及规划道路回填区扬尘影响分析</w:t>
      </w:r>
    </w:p>
    <w:p w14:paraId="4118278B">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经验公式，起尘风速跟尘粒粒径和含水率有关，因此，减少露天堆放和保证一定的含水率及减少裸露地面是减少风力起尘的有效手段。尘粒在空气中的传播扩散情况与风速等气象条件有关，也与尘粒本身的沉降速度有关。</w:t>
      </w:r>
    </w:p>
    <w:p w14:paraId="05A813D4">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lang w:eastAsia="zh-CN"/>
        </w:rPr>
      </w:pPr>
      <w:r>
        <w:rPr>
          <w:rFonts w:hint="default"/>
          <w:color w:val="auto"/>
          <w:highlight w:val="none"/>
          <w:lang w:eastAsia="zh-CN"/>
        </w:rPr>
        <w:t>不同粒径尘粒的沉降速度</w:t>
      </w:r>
    </w:p>
    <w:tbl>
      <w:tblPr>
        <w:tblStyle w:val="1679"/>
        <w:tblW w:w="0" w:type="auto"/>
        <w:tblInd w:w="0" w:type="dxa"/>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0" w:type="dxa"/>
          <w:bottom w:w="0" w:type="dxa"/>
          <w:right w:w="0" w:type="dxa"/>
        </w:tblCellMar>
      </w:tblPr>
      <w:tblGrid>
        <w:gridCol w:w="1492"/>
        <w:gridCol w:w="680"/>
        <w:gridCol w:w="1077"/>
        <w:gridCol w:w="1077"/>
        <w:gridCol w:w="1076"/>
        <w:gridCol w:w="1079"/>
        <w:gridCol w:w="1078"/>
        <w:gridCol w:w="1078"/>
      </w:tblGrid>
      <w:tr w14:paraId="5897C983">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43" w:hRule="atLeast"/>
        </w:trPr>
        <w:tc>
          <w:tcPr>
            <w:tcW w:w="1492" w:type="dxa"/>
            <w:noWrap w:val="0"/>
            <w:vAlign w:val="top"/>
          </w:tcPr>
          <w:p w14:paraId="5D5D4D54">
            <w:pPr>
              <w:pStyle w:val="1647"/>
              <w:spacing w:before="33" w:line="175" w:lineRule="auto"/>
              <w:ind w:left="296"/>
              <w:rPr>
                <w:rFonts w:hint="default" w:ascii="Times New Roman" w:hAnsi="Times New Roman" w:cs="Times New Roman"/>
                <w:color w:val="auto"/>
                <w:highlight w:val="none"/>
                <w:u w:val="none" w:color="auto"/>
              </w:rPr>
            </w:pPr>
            <w:r>
              <w:rPr>
                <w:rFonts w:hint="default" w:ascii="Times New Roman" w:hAnsi="Times New Roman" w:cs="Times New Roman"/>
                <w:color w:val="auto"/>
                <w:spacing w:val="16"/>
                <w:highlight w:val="none"/>
                <w:u w:val="none" w:color="auto"/>
              </w:rPr>
              <w:t>粒径(</w:t>
            </w:r>
            <w:r>
              <w:rPr>
                <w:rFonts w:hint="default" w:ascii="Times New Roman" w:hAnsi="Times New Roman" w:eastAsia="Times New Roman" w:cs="Times New Roman"/>
                <w:color w:val="auto"/>
                <w:spacing w:val="16"/>
                <w:highlight w:val="none"/>
                <w:u w:val="none" w:color="auto"/>
              </w:rPr>
              <w:t>μm</w:t>
            </w:r>
            <w:r>
              <w:rPr>
                <w:rFonts w:hint="default" w:ascii="Times New Roman" w:hAnsi="Times New Roman" w:cs="Times New Roman"/>
                <w:color w:val="auto"/>
                <w:spacing w:val="16"/>
                <w:highlight w:val="none"/>
                <w:u w:val="none" w:color="auto"/>
              </w:rPr>
              <w:t>）</w:t>
            </w:r>
          </w:p>
        </w:tc>
        <w:tc>
          <w:tcPr>
            <w:tcW w:w="680" w:type="dxa"/>
            <w:noWrap w:val="0"/>
            <w:vAlign w:val="top"/>
          </w:tcPr>
          <w:p w14:paraId="4C3CDD90">
            <w:pPr>
              <w:spacing w:before="63" w:line="168" w:lineRule="auto"/>
              <w:ind w:left="298"/>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6"/>
                <w:sz w:val="21"/>
                <w:szCs w:val="21"/>
                <w:highlight w:val="none"/>
                <w:u w:val="none" w:color="auto"/>
              </w:rPr>
              <w:t>10</w:t>
            </w:r>
          </w:p>
        </w:tc>
        <w:tc>
          <w:tcPr>
            <w:tcW w:w="1077" w:type="dxa"/>
            <w:noWrap w:val="0"/>
            <w:vAlign w:val="top"/>
          </w:tcPr>
          <w:p w14:paraId="6C4F966C">
            <w:pPr>
              <w:spacing w:before="63" w:line="168" w:lineRule="auto"/>
              <w:ind w:left="504"/>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1"/>
                <w:sz w:val="21"/>
                <w:szCs w:val="21"/>
                <w:highlight w:val="none"/>
                <w:u w:val="none" w:color="auto"/>
              </w:rPr>
              <w:t>20</w:t>
            </w:r>
          </w:p>
        </w:tc>
        <w:tc>
          <w:tcPr>
            <w:tcW w:w="1077" w:type="dxa"/>
            <w:noWrap w:val="0"/>
            <w:vAlign w:val="top"/>
          </w:tcPr>
          <w:p w14:paraId="269BBA29">
            <w:pPr>
              <w:spacing w:before="63" w:line="168" w:lineRule="auto"/>
              <w:ind w:left="509"/>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2"/>
                <w:sz w:val="21"/>
                <w:szCs w:val="21"/>
                <w:highlight w:val="none"/>
                <w:u w:val="none" w:color="auto"/>
              </w:rPr>
              <w:t>30</w:t>
            </w:r>
          </w:p>
        </w:tc>
        <w:tc>
          <w:tcPr>
            <w:tcW w:w="1076" w:type="dxa"/>
            <w:noWrap w:val="0"/>
            <w:vAlign w:val="top"/>
          </w:tcPr>
          <w:p w14:paraId="570D7303">
            <w:pPr>
              <w:spacing w:before="63" w:line="168" w:lineRule="auto"/>
              <w:ind w:left="504"/>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1"/>
                <w:sz w:val="21"/>
                <w:szCs w:val="21"/>
                <w:highlight w:val="none"/>
                <w:u w:val="none" w:color="auto"/>
              </w:rPr>
              <w:t>40</w:t>
            </w:r>
          </w:p>
        </w:tc>
        <w:tc>
          <w:tcPr>
            <w:tcW w:w="1079" w:type="dxa"/>
            <w:noWrap w:val="0"/>
            <w:vAlign w:val="top"/>
          </w:tcPr>
          <w:p w14:paraId="282D8C4C">
            <w:pPr>
              <w:spacing w:before="63" w:line="168" w:lineRule="auto"/>
              <w:ind w:left="514"/>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3"/>
                <w:sz w:val="21"/>
                <w:szCs w:val="21"/>
                <w:highlight w:val="none"/>
                <w:u w:val="none" w:color="auto"/>
              </w:rPr>
              <w:t>50</w:t>
            </w:r>
          </w:p>
        </w:tc>
        <w:tc>
          <w:tcPr>
            <w:tcW w:w="1078" w:type="dxa"/>
            <w:noWrap w:val="0"/>
            <w:vAlign w:val="top"/>
          </w:tcPr>
          <w:p w14:paraId="1AD3F189">
            <w:pPr>
              <w:spacing w:before="63" w:line="168" w:lineRule="auto"/>
              <w:ind w:left="513"/>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2"/>
                <w:sz w:val="21"/>
                <w:szCs w:val="21"/>
                <w:highlight w:val="none"/>
                <w:u w:val="none" w:color="auto"/>
              </w:rPr>
              <w:t>60</w:t>
            </w:r>
          </w:p>
        </w:tc>
        <w:tc>
          <w:tcPr>
            <w:tcW w:w="1078" w:type="dxa"/>
            <w:noWrap w:val="0"/>
            <w:vAlign w:val="top"/>
          </w:tcPr>
          <w:p w14:paraId="6A96B0BA">
            <w:pPr>
              <w:spacing w:before="63" w:line="168" w:lineRule="auto"/>
              <w:ind w:left="512"/>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2"/>
                <w:sz w:val="21"/>
                <w:szCs w:val="21"/>
                <w:highlight w:val="none"/>
                <w:u w:val="none" w:color="auto"/>
              </w:rPr>
              <w:t>70</w:t>
            </w:r>
          </w:p>
        </w:tc>
      </w:tr>
      <w:tr w14:paraId="44379E72">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1492" w:type="dxa"/>
            <w:noWrap w:val="0"/>
            <w:vAlign w:val="top"/>
          </w:tcPr>
          <w:p w14:paraId="0E1CF3C1">
            <w:pPr>
              <w:pStyle w:val="1647"/>
              <w:spacing w:before="68" w:line="169" w:lineRule="auto"/>
              <w:ind w:left="73"/>
              <w:rPr>
                <w:rFonts w:hint="default" w:ascii="Times New Roman" w:hAnsi="Times New Roman" w:cs="Times New Roman"/>
                <w:color w:val="auto"/>
                <w:highlight w:val="none"/>
                <w:u w:val="none" w:color="auto"/>
              </w:rPr>
            </w:pPr>
            <w:r>
              <w:rPr>
                <w:rFonts w:hint="default" w:ascii="Times New Roman" w:hAnsi="Times New Roman" w:cs="Times New Roman"/>
                <w:color w:val="auto"/>
                <w:spacing w:val="-1"/>
                <w:highlight w:val="none"/>
                <w:u w:val="none" w:color="auto"/>
              </w:rPr>
              <w:t>沉降速度（</w:t>
            </w:r>
            <w:r>
              <w:rPr>
                <w:rFonts w:hint="default" w:ascii="Times New Roman" w:hAnsi="Times New Roman" w:eastAsia="Times New Roman" w:cs="Times New Roman"/>
                <w:color w:val="auto"/>
                <w:spacing w:val="-1"/>
                <w:highlight w:val="none"/>
                <w:u w:val="none" w:color="auto"/>
              </w:rPr>
              <w:t>m/s</w:t>
            </w:r>
            <w:r>
              <w:rPr>
                <w:rFonts w:hint="default" w:ascii="Times New Roman" w:hAnsi="Times New Roman" w:cs="Times New Roman"/>
                <w:color w:val="auto"/>
                <w:spacing w:val="-1"/>
                <w:highlight w:val="none"/>
                <w:u w:val="none" w:color="auto"/>
              </w:rPr>
              <w:t>）</w:t>
            </w:r>
          </w:p>
        </w:tc>
        <w:tc>
          <w:tcPr>
            <w:tcW w:w="680" w:type="dxa"/>
            <w:noWrap w:val="0"/>
            <w:vAlign w:val="top"/>
          </w:tcPr>
          <w:p w14:paraId="51D81E10">
            <w:pPr>
              <w:spacing w:before="99" w:line="161" w:lineRule="auto"/>
              <w:ind w:left="151"/>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1"/>
                <w:sz w:val="21"/>
                <w:szCs w:val="21"/>
                <w:highlight w:val="none"/>
                <w:u w:val="none" w:color="auto"/>
              </w:rPr>
              <w:t>0.003</w:t>
            </w:r>
          </w:p>
        </w:tc>
        <w:tc>
          <w:tcPr>
            <w:tcW w:w="1077" w:type="dxa"/>
            <w:noWrap w:val="0"/>
            <w:vAlign w:val="top"/>
          </w:tcPr>
          <w:p w14:paraId="15073500">
            <w:pPr>
              <w:spacing w:before="99" w:line="161" w:lineRule="auto"/>
              <w:ind w:left="375"/>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1"/>
                <w:sz w:val="21"/>
                <w:szCs w:val="21"/>
                <w:highlight w:val="none"/>
                <w:u w:val="none" w:color="auto"/>
              </w:rPr>
              <w:t>0.012</w:t>
            </w:r>
          </w:p>
        </w:tc>
        <w:tc>
          <w:tcPr>
            <w:tcW w:w="1077" w:type="dxa"/>
            <w:noWrap w:val="0"/>
            <w:vAlign w:val="top"/>
          </w:tcPr>
          <w:p w14:paraId="7908B2A0">
            <w:pPr>
              <w:spacing w:before="99" w:line="161" w:lineRule="auto"/>
              <w:ind w:left="376"/>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1"/>
                <w:sz w:val="21"/>
                <w:szCs w:val="21"/>
                <w:highlight w:val="none"/>
                <w:u w:val="none" w:color="auto"/>
              </w:rPr>
              <w:t>0.027</w:t>
            </w:r>
          </w:p>
        </w:tc>
        <w:tc>
          <w:tcPr>
            <w:tcW w:w="1076" w:type="dxa"/>
            <w:noWrap w:val="0"/>
            <w:vAlign w:val="top"/>
          </w:tcPr>
          <w:p w14:paraId="45EE62AB">
            <w:pPr>
              <w:spacing w:before="99" w:line="161" w:lineRule="auto"/>
              <w:ind w:left="376"/>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1"/>
                <w:sz w:val="21"/>
                <w:szCs w:val="21"/>
                <w:highlight w:val="none"/>
                <w:u w:val="none" w:color="auto"/>
              </w:rPr>
              <w:t>0.048</w:t>
            </w:r>
          </w:p>
        </w:tc>
        <w:tc>
          <w:tcPr>
            <w:tcW w:w="1079" w:type="dxa"/>
            <w:noWrap w:val="0"/>
            <w:vAlign w:val="top"/>
          </w:tcPr>
          <w:p w14:paraId="27C99A12">
            <w:pPr>
              <w:spacing w:before="99" w:line="161" w:lineRule="auto"/>
              <w:ind w:left="379"/>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1"/>
                <w:sz w:val="21"/>
                <w:szCs w:val="21"/>
                <w:highlight w:val="none"/>
                <w:u w:val="none" w:color="auto"/>
              </w:rPr>
              <w:t>0.075</w:t>
            </w:r>
          </w:p>
        </w:tc>
        <w:tc>
          <w:tcPr>
            <w:tcW w:w="1078" w:type="dxa"/>
            <w:noWrap w:val="0"/>
            <w:vAlign w:val="top"/>
          </w:tcPr>
          <w:p w14:paraId="20E985BD">
            <w:pPr>
              <w:spacing w:before="99" w:line="161" w:lineRule="auto"/>
              <w:ind w:left="379"/>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1"/>
                <w:sz w:val="21"/>
                <w:szCs w:val="21"/>
                <w:highlight w:val="none"/>
                <w:u w:val="none" w:color="auto"/>
              </w:rPr>
              <w:t>0.108</w:t>
            </w:r>
          </w:p>
        </w:tc>
        <w:tc>
          <w:tcPr>
            <w:tcW w:w="1078" w:type="dxa"/>
            <w:noWrap w:val="0"/>
            <w:vAlign w:val="top"/>
          </w:tcPr>
          <w:p w14:paraId="3C971C6E">
            <w:pPr>
              <w:spacing w:before="99" w:line="161" w:lineRule="auto"/>
              <w:ind w:left="382"/>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1"/>
                <w:sz w:val="21"/>
                <w:szCs w:val="21"/>
                <w:highlight w:val="none"/>
                <w:u w:val="none" w:color="auto"/>
              </w:rPr>
              <w:t>0.147</w:t>
            </w:r>
          </w:p>
        </w:tc>
      </w:tr>
      <w:tr w14:paraId="355A8285">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492" w:type="dxa"/>
            <w:noWrap w:val="0"/>
            <w:vAlign w:val="top"/>
          </w:tcPr>
          <w:p w14:paraId="7E4D095F">
            <w:pPr>
              <w:pStyle w:val="1647"/>
              <w:spacing w:before="75" w:line="197" w:lineRule="auto"/>
              <w:ind w:left="296"/>
              <w:rPr>
                <w:rFonts w:hint="default" w:ascii="Times New Roman" w:hAnsi="Times New Roman" w:cs="Times New Roman"/>
                <w:color w:val="auto"/>
                <w:highlight w:val="none"/>
                <w:u w:val="none" w:color="auto"/>
              </w:rPr>
            </w:pPr>
            <w:r>
              <w:rPr>
                <w:rFonts w:hint="default" w:ascii="Times New Roman" w:hAnsi="Times New Roman" w:cs="Times New Roman"/>
                <w:color w:val="auto"/>
                <w:spacing w:val="16"/>
                <w:highlight w:val="none"/>
                <w:u w:val="none" w:color="auto"/>
              </w:rPr>
              <w:t>粒径(</w:t>
            </w:r>
            <w:r>
              <w:rPr>
                <w:rFonts w:hint="default" w:ascii="Times New Roman" w:hAnsi="Times New Roman" w:eastAsia="Times New Roman" w:cs="Times New Roman"/>
                <w:color w:val="auto"/>
                <w:spacing w:val="16"/>
                <w:highlight w:val="none"/>
                <w:u w:val="none" w:color="auto"/>
              </w:rPr>
              <w:t>μm</w:t>
            </w:r>
            <w:r>
              <w:rPr>
                <w:rFonts w:hint="default" w:ascii="Times New Roman" w:hAnsi="Times New Roman" w:cs="Times New Roman"/>
                <w:color w:val="auto"/>
                <w:spacing w:val="16"/>
                <w:highlight w:val="none"/>
                <w:u w:val="none" w:color="auto"/>
              </w:rPr>
              <w:t>）</w:t>
            </w:r>
          </w:p>
        </w:tc>
        <w:tc>
          <w:tcPr>
            <w:tcW w:w="680" w:type="dxa"/>
            <w:noWrap w:val="0"/>
            <w:vAlign w:val="top"/>
          </w:tcPr>
          <w:p w14:paraId="4717F059">
            <w:pPr>
              <w:spacing w:before="103" w:line="195" w:lineRule="auto"/>
              <w:ind w:left="286"/>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3"/>
                <w:sz w:val="21"/>
                <w:szCs w:val="21"/>
                <w:highlight w:val="none"/>
                <w:u w:val="none" w:color="auto"/>
              </w:rPr>
              <w:t>80</w:t>
            </w:r>
          </w:p>
        </w:tc>
        <w:tc>
          <w:tcPr>
            <w:tcW w:w="1077" w:type="dxa"/>
            <w:noWrap w:val="0"/>
            <w:vAlign w:val="top"/>
          </w:tcPr>
          <w:p w14:paraId="4EFCD77C">
            <w:pPr>
              <w:spacing w:before="103" w:line="195" w:lineRule="auto"/>
              <w:ind w:left="508"/>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2"/>
                <w:sz w:val="21"/>
                <w:szCs w:val="21"/>
                <w:highlight w:val="none"/>
                <w:u w:val="none" w:color="auto"/>
              </w:rPr>
              <w:t>90</w:t>
            </w:r>
          </w:p>
        </w:tc>
        <w:tc>
          <w:tcPr>
            <w:tcW w:w="1077" w:type="dxa"/>
            <w:noWrap w:val="0"/>
            <w:vAlign w:val="top"/>
          </w:tcPr>
          <w:p w14:paraId="7D2FA105">
            <w:pPr>
              <w:spacing w:before="103" w:line="195" w:lineRule="auto"/>
              <w:ind w:left="472"/>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6"/>
                <w:sz w:val="21"/>
                <w:szCs w:val="21"/>
                <w:highlight w:val="none"/>
                <w:u w:val="none" w:color="auto"/>
              </w:rPr>
              <w:t>100</w:t>
            </w:r>
          </w:p>
        </w:tc>
        <w:tc>
          <w:tcPr>
            <w:tcW w:w="1076" w:type="dxa"/>
            <w:noWrap w:val="0"/>
            <w:vAlign w:val="top"/>
          </w:tcPr>
          <w:p w14:paraId="46806C37">
            <w:pPr>
              <w:spacing w:before="103" w:line="195" w:lineRule="auto"/>
              <w:ind w:left="472"/>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6"/>
                <w:sz w:val="21"/>
                <w:szCs w:val="21"/>
                <w:highlight w:val="none"/>
                <w:u w:val="none" w:color="auto"/>
              </w:rPr>
              <w:t>150</w:t>
            </w:r>
          </w:p>
        </w:tc>
        <w:tc>
          <w:tcPr>
            <w:tcW w:w="1079" w:type="dxa"/>
            <w:noWrap w:val="0"/>
            <w:vAlign w:val="top"/>
          </w:tcPr>
          <w:p w14:paraId="5A43DC2B">
            <w:pPr>
              <w:spacing w:before="103" w:line="195" w:lineRule="auto"/>
              <w:ind w:left="455"/>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1"/>
                <w:sz w:val="21"/>
                <w:szCs w:val="21"/>
                <w:highlight w:val="none"/>
                <w:u w:val="none" w:color="auto"/>
              </w:rPr>
              <w:t>200</w:t>
            </w:r>
          </w:p>
        </w:tc>
        <w:tc>
          <w:tcPr>
            <w:tcW w:w="1078" w:type="dxa"/>
            <w:noWrap w:val="0"/>
            <w:vAlign w:val="top"/>
          </w:tcPr>
          <w:p w14:paraId="12DCB2A3">
            <w:pPr>
              <w:spacing w:before="103" w:line="195" w:lineRule="auto"/>
              <w:ind w:left="455"/>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1"/>
                <w:sz w:val="21"/>
                <w:szCs w:val="21"/>
                <w:highlight w:val="none"/>
                <w:u w:val="none" w:color="auto"/>
              </w:rPr>
              <w:t>250</w:t>
            </w:r>
          </w:p>
        </w:tc>
        <w:tc>
          <w:tcPr>
            <w:tcW w:w="1078" w:type="dxa"/>
            <w:noWrap w:val="0"/>
            <w:vAlign w:val="top"/>
          </w:tcPr>
          <w:p w14:paraId="30295998">
            <w:pPr>
              <w:spacing w:before="103" w:line="195" w:lineRule="auto"/>
              <w:ind w:left="462"/>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2"/>
                <w:sz w:val="21"/>
                <w:szCs w:val="21"/>
                <w:highlight w:val="none"/>
                <w:u w:val="none" w:color="auto"/>
              </w:rPr>
              <w:t>350</w:t>
            </w:r>
          </w:p>
        </w:tc>
      </w:tr>
      <w:tr w14:paraId="0A5A792B">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1492" w:type="dxa"/>
            <w:noWrap w:val="0"/>
            <w:vAlign w:val="top"/>
          </w:tcPr>
          <w:p w14:paraId="7CC7FE5E">
            <w:pPr>
              <w:pStyle w:val="1647"/>
              <w:spacing w:before="41" w:line="164" w:lineRule="auto"/>
              <w:ind w:left="73"/>
              <w:rPr>
                <w:rFonts w:hint="default" w:ascii="Times New Roman" w:hAnsi="Times New Roman" w:cs="Times New Roman"/>
                <w:color w:val="auto"/>
                <w:highlight w:val="none"/>
                <w:u w:val="none" w:color="auto"/>
              </w:rPr>
            </w:pPr>
            <w:r>
              <w:rPr>
                <w:rFonts w:hint="default" w:ascii="Times New Roman" w:hAnsi="Times New Roman" w:cs="Times New Roman"/>
                <w:color w:val="auto"/>
                <w:spacing w:val="-1"/>
                <w:highlight w:val="none"/>
                <w:u w:val="none" w:color="auto"/>
              </w:rPr>
              <w:t>沉降速度（</w:t>
            </w:r>
            <w:r>
              <w:rPr>
                <w:rFonts w:hint="default" w:ascii="Times New Roman" w:hAnsi="Times New Roman" w:eastAsia="Times New Roman" w:cs="Times New Roman"/>
                <w:color w:val="auto"/>
                <w:spacing w:val="-1"/>
                <w:highlight w:val="none"/>
                <w:u w:val="none" w:color="auto"/>
              </w:rPr>
              <w:t>m/s</w:t>
            </w:r>
            <w:r>
              <w:rPr>
                <w:rFonts w:hint="default" w:ascii="Times New Roman" w:hAnsi="Times New Roman" w:cs="Times New Roman"/>
                <w:color w:val="auto"/>
                <w:spacing w:val="-1"/>
                <w:highlight w:val="none"/>
                <w:u w:val="none" w:color="auto"/>
              </w:rPr>
              <w:t>）</w:t>
            </w:r>
          </w:p>
        </w:tc>
        <w:tc>
          <w:tcPr>
            <w:tcW w:w="680" w:type="dxa"/>
            <w:noWrap w:val="0"/>
            <w:vAlign w:val="top"/>
          </w:tcPr>
          <w:p w14:paraId="7A291C93">
            <w:pPr>
              <w:spacing w:before="72" w:line="155" w:lineRule="exact"/>
              <w:ind w:left="151"/>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1"/>
                <w:position w:val="-2"/>
                <w:sz w:val="21"/>
                <w:szCs w:val="21"/>
                <w:highlight w:val="none"/>
                <w:u w:val="none" w:color="auto"/>
              </w:rPr>
              <w:t>0.158</w:t>
            </w:r>
          </w:p>
        </w:tc>
        <w:tc>
          <w:tcPr>
            <w:tcW w:w="1077" w:type="dxa"/>
            <w:noWrap w:val="0"/>
            <w:vAlign w:val="top"/>
          </w:tcPr>
          <w:p w14:paraId="26AF1913">
            <w:pPr>
              <w:spacing w:before="72" w:line="155" w:lineRule="exact"/>
              <w:ind w:left="375"/>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1"/>
                <w:position w:val="-2"/>
                <w:sz w:val="21"/>
                <w:szCs w:val="21"/>
                <w:highlight w:val="none"/>
                <w:u w:val="none" w:color="auto"/>
              </w:rPr>
              <w:t>0.170</w:t>
            </w:r>
          </w:p>
        </w:tc>
        <w:tc>
          <w:tcPr>
            <w:tcW w:w="1077" w:type="dxa"/>
            <w:noWrap w:val="0"/>
            <w:vAlign w:val="top"/>
          </w:tcPr>
          <w:p w14:paraId="41475591">
            <w:pPr>
              <w:spacing w:before="72" w:line="155" w:lineRule="exact"/>
              <w:ind w:left="376"/>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1"/>
                <w:position w:val="-2"/>
                <w:sz w:val="21"/>
                <w:szCs w:val="21"/>
                <w:highlight w:val="none"/>
                <w:u w:val="none" w:color="auto"/>
              </w:rPr>
              <w:t>0.182</w:t>
            </w:r>
          </w:p>
        </w:tc>
        <w:tc>
          <w:tcPr>
            <w:tcW w:w="1076" w:type="dxa"/>
            <w:noWrap w:val="0"/>
            <w:vAlign w:val="top"/>
          </w:tcPr>
          <w:p w14:paraId="132BA685">
            <w:pPr>
              <w:spacing w:before="72" w:line="155" w:lineRule="exact"/>
              <w:ind w:left="376"/>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1"/>
                <w:position w:val="-2"/>
                <w:sz w:val="21"/>
                <w:szCs w:val="21"/>
                <w:highlight w:val="none"/>
                <w:u w:val="none" w:color="auto"/>
              </w:rPr>
              <w:t>0.239</w:t>
            </w:r>
          </w:p>
        </w:tc>
        <w:tc>
          <w:tcPr>
            <w:tcW w:w="1079" w:type="dxa"/>
            <w:noWrap w:val="0"/>
            <w:vAlign w:val="top"/>
          </w:tcPr>
          <w:p w14:paraId="7207F78B">
            <w:pPr>
              <w:spacing w:before="72" w:line="155" w:lineRule="exact"/>
              <w:ind w:left="379"/>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1"/>
                <w:position w:val="-2"/>
                <w:sz w:val="21"/>
                <w:szCs w:val="21"/>
                <w:highlight w:val="none"/>
                <w:u w:val="none" w:color="auto"/>
              </w:rPr>
              <w:t>0.804</w:t>
            </w:r>
          </w:p>
        </w:tc>
        <w:tc>
          <w:tcPr>
            <w:tcW w:w="1078" w:type="dxa"/>
            <w:noWrap w:val="0"/>
            <w:vAlign w:val="top"/>
          </w:tcPr>
          <w:p w14:paraId="11C12D54">
            <w:pPr>
              <w:spacing w:before="72" w:line="155" w:lineRule="exact"/>
              <w:ind w:left="396"/>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4"/>
                <w:position w:val="-2"/>
                <w:sz w:val="21"/>
                <w:szCs w:val="21"/>
                <w:highlight w:val="none"/>
                <w:u w:val="none" w:color="auto"/>
              </w:rPr>
              <w:t>1.005</w:t>
            </w:r>
          </w:p>
        </w:tc>
        <w:tc>
          <w:tcPr>
            <w:tcW w:w="1078" w:type="dxa"/>
            <w:noWrap w:val="0"/>
            <w:vAlign w:val="top"/>
          </w:tcPr>
          <w:p w14:paraId="063FB2EE">
            <w:pPr>
              <w:spacing w:before="72" w:line="155" w:lineRule="exact"/>
              <w:ind w:left="399"/>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4"/>
                <w:position w:val="-2"/>
                <w:sz w:val="21"/>
                <w:szCs w:val="21"/>
                <w:highlight w:val="none"/>
                <w:u w:val="none" w:color="auto"/>
              </w:rPr>
              <w:t>1.829</w:t>
            </w:r>
          </w:p>
        </w:tc>
      </w:tr>
      <w:tr w14:paraId="262537EA">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1492" w:type="dxa"/>
            <w:noWrap w:val="0"/>
            <w:vAlign w:val="top"/>
          </w:tcPr>
          <w:p w14:paraId="617D15F4">
            <w:pPr>
              <w:pStyle w:val="1647"/>
              <w:spacing w:before="81" w:line="176" w:lineRule="exact"/>
              <w:ind w:left="296"/>
              <w:rPr>
                <w:rFonts w:hint="default" w:ascii="Times New Roman" w:hAnsi="Times New Roman" w:cs="Times New Roman"/>
                <w:color w:val="auto"/>
                <w:highlight w:val="none"/>
                <w:u w:val="none" w:color="auto"/>
              </w:rPr>
            </w:pPr>
            <w:r>
              <w:rPr>
                <w:rFonts w:hint="default" w:ascii="Times New Roman" w:hAnsi="Times New Roman" w:cs="Times New Roman"/>
                <w:color w:val="auto"/>
                <w:spacing w:val="16"/>
                <w:position w:val="-3"/>
                <w:highlight w:val="none"/>
                <w:u w:val="none" w:color="auto"/>
              </w:rPr>
              <w:t>粒径(</w:t>
            </w:r>
            <w:r>
              <w:rPr>
                <w:rFonts w:hint="default" w:ascii="Times New Roman" w:hAnsi="Times New Roman" w:eastAsia="Times New Roman" w:cs="Times New Roman"/>
                <w:color w:val="auto"/>
                <w:spacing w:val="16"/>
                <w:position w:val="-3"/>
                <w:highlight w:val="none"/>
                <w:u w:val="none" w:color="auto"/>
              </w:rPr>
              <w:t>μm</w:t>
            </w:r>
            <w:r>
              <w:rPr>
                <w:rFonts w:hint="default" w:ascii="Times New Roman" w:hAnsi="Times New Roman" w:cs="Times New Roman"/>
                <w:color w:val="auto"/>
                <w:spacing w:val="16"/>
                <w:position w:val="-3"/>
                <w:highlight w:val="none"/>
                <w:u w:val="none" w:color="auto"/>
              </w:rPr>
              <w:t>）</w:t>
            </w:r>
          </w:p>
        </w:tc>
        <w:tc>
          <w:tcPr>
            <w:tcW w:w="680" w:type="dxa"/>
            <w:noWrap w:val="0"/>
            <w:vAlign w:val="top"/>
          </w:tcPr>
          <w:p w14:paraId="2C53FF44">
            <w:pPr>
              <w:spacing w:before="109" w:line="148" w:lineRule="exact"/>
              <w:ind w:left="226"/>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1"/>
                <w:position w:val="-3"/>
                <w:sz w:val="21"/>
                <w:szCs w:val="21"/>
                <w:highlight w:val="none"/>
                <w:u w:val="none" w:color="auto"/>
              </w:rPr>
              <w:t>450</w:t>
            </w:r>
          </w:p>
        </w:tc>
        <w:tc>
          <w:tcPr>
            <w:tcW w:w="1077" w:type="dxa"/>
            <w:noWrap w:val="0"/>
            <w:vAlign w:val="top"/>
          </w:tcPr>
          <w:p w14:paraId="10CE28C6">
            <w:pPr>
              <w:spacing w:before="109" w:line="148" w:lineRule="exact"/>
              <w:ind w:left="457"/>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2"/>
                <w:position w:val="-3"/>
                <w:sz w:val="21"/>
                <w:szCs w:val="21"/>
                <w:highlight w:val="none"/>
                <w:u w:val="none" w:color="auto"/>
              </w:rPr>
              <w:t>550</w:t>
            </w:r>
          </w:p>
        </w:tc>
        <w:tc>
          <w:tcPr>
            <w:tcW w:w="1077" w:type="dxa"/>
            <w:noWrap w:val="0"/>
            <w:vAlign w:val="top"/>
          </w:tcPr>
          <w:p w14:paraId="3D071E3A">
            <w:pPr>
              <w:spacing w:before="109" w:line="148" w:lineRule="exact"/>
              <w:ind w:left="456"/>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2"/>
                <w:position w:val="-3"/>
                <w:sz w:val="21"/>
                <w:szCs w:val="21"/>
                <w:highlight w:val="none"/>
                <w:u w:val="none" w:color="auto"/>
              </w:rPr>
              <w:t>650</w:t>
            </w:r>
          </w:p>
        </w:tc>
        <w:tc>
          <w:tcPr>
            <w:tcW w:w="1076" w:type="dxa"/>
            <w:noWrap w:val="0"/>
            <w:vAlign w:val="top"/>
          </w:tcPr>
          <w:p w14:paraId="42BF2B4A">
            <w:pPr>
              <w:spacing w:before="109" w:line="148" w:lineRule="exact"/>
              <w:ind w:left="456"/>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2"/>
                <w:position w:val="-3"/>
                <w:sz w:val="21"/>
                <w:szCs w:val="21"/>
                <w:highlight w:val="none"/>
                <w:u w:val="none" w:color="auto"/>
              </w:rPr>
              <w:t>750</w:t>
            </w:r>
          </w:p>
        </w:tc>
        <w:tc>
          <w:tcPr>
            <w:tcW w:w="1079" w:type="dxa"/>
            <w:noWrap w:val="0"/>
            <w:vAlign w:val="top"/>
          </w:tcPr>
          <w:p w14:paraId="33BD813A">
            <w:pPr>
              <w:spacing w:before="109" w:line="148" w:lineRule="exact"/>
              <w:ind w:left="464"/>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3"/>
                <w:position w:val="-3"/>
                <w:sz w:val="21"/>
                <w:szCs w:val="21"/>
                <w:highlight w:val="none"/>
                <w:u w:val="none" w:color="auto"/>
              </w:rPr>
              <w:t>850</w:t>
            </w:r>
          </w:p>
        </w:tc>
        <w:tc>
          <w:tcPr>
            <w:tcW w:w="1078" w:type="dxa"/>
            <w:noWrap w:val="0"/>
            <w:vAlign w:val="top"/>
          </w:tcPr>
          <w:p w14:paraId="60FE93E0">
            <w:pPr>
              <w:spacing w:before="109" w:line="148" w:lineRule="exact"/>
              <w:ind w:left="459"/>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2"/>
                <w:position w:val="-3"/>
                <w:sz w:val="21"/>
                <w:szCs w:val="21"/>
                <w:highlight w:val="none"/>
                <w:u w:val="none" w:color="auto"/>
              </w:rPr>
              <w:t>950</w:t>
            </w:r>
          </w:p>
        </w:tc>
        <w:tc>
          <w:tcPr>
            <w:tcW w:w="1078" w:type="dxa"/>
            <w:noWrap w:val="0"/>
            <w:vAlign w:val="top"/>
          </w:tcPr>
          <w:p w14:paraId="763A1F99">
            <w:pPr>
              <w:spacing w:before="109" w:line="148" w:lineRule="exact"/>
              <w:ind w:left="426"/>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5"/>
                <w:position w:val="-3"/>
                <w:sz w:val="21"/>
                <w:szCs w:val="21"/>
                <w:highlight w:val="none"/>
                <w:u w:val="none" w:color="auto"/>
              </w:rPr>
              <w:t>1050</w:t>
            </w:r>
          </w:p>
        </w:tc>
      </w:tr>
      <w:tr w14:paraId="2C89B37D">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492" w:type="dxa"/>
            <w:noWrap w:val="0"/>
            <w:vAlign w:val="top"/>
          </w:tcPr>
          <w:p w14:paraId="3A201EA6">
            <w:pPr>
              <w:pStyle w:val="1647"/>
              <w:spacing w:before="92" w:line="208" w:lineRule="auto"/>
              <w:ind w:left="73"/>
              <w:rPr>
                <w:rFonts w:hint="default" w:ascii="Times New Roman" w:hAnsi="Times New Roman" w:cs="Times New Roman"/>
                <w:color w:val="auto"/>
                <w:highlight w:val="none"/>
                <w:u w:val="none" w:color="auto"/>
              </w:rPr>
            </w:pPr>
            <w:r>
              <w:rPr>
                <w:rFonts w:hint="default" w:ascii="Times New Roman" w:hAnsi="Times New Roman" w:cs="Times New Roman"/>
                <w:color w:val="auto"/>
                <w:spacing w:val="-1"/>
                <w:highlight w:val="none"/>
                <w:u w:val="none" w:color="auto"/>
              </w:rPr>
              <w:t>沉降速度（</w:t>
            </w:r>
            <w:r>
              <w:rPr>
                <w:rFonts w:hint="default" w:ascii="Times New Roman" w:hAnsi="Times New Roman" w:eastAsia="Times New Roman" w:cs="Times New Roman"/>
                <w:color w:val="auto"/>
                <w:spacing w:val="-1"/>
                <w:highlight w:val="none"/>
                <w:u w:val="none" w:color="auto"/>
              </w:rPr>
              <w:t>m/s</w:t>
            </w:r>
            <w:r>
              <w:rPr>
                <w:rFonts w:hint="default" w:ascii="Times New Roman" w:hAnsi="Times New Roman" w:cs="Times New Roman"/>
                <w:color w:val="auto"/>
                <w:spacing w:val="-1"/>
                <w:highlight w:val="none"/>
                <w:u w:val="none" w:color="auto"/>
              </w:rPr>
              <w:t>）</w:t>
            </w:r>
          </w:p>
        </w:tc>
        <w:tc>
          <w:tcPr>
            <w:tcW w:w="680" w:type="dxa"/>
            <w:noWrap w:val="0"/>
            <w:vAlign w:val="top"/>
          </w:tcPr>
          <w:p w14:paraId="3F606BAE">
            <w:pPr>
              <w:spacing w:before="119" w:line="208" w:lineRule="auto"/>
              <w:ind w:left="150"/>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1"/>
                <w:sz w:val="21"/>
                <w:szCs w:val="21"/>
                <w:highlight w:val="none"/>
                <w:u w:val="none" w:color="auto"/>
              </w:rPr>
              <w:t>2.211</w:t>
            </w:r>
          </w:p>
        </w:tc>
        <w:tc>
          <w:tcPr>
            <w:tcW w:w="1077" w:type="dxa"/>
            <w:noWrap w:val="0"/>
            <w:vAlign w:val="top"/>
          </w:tcPr>
          <w:p w14:paraId="0DD473E6">
            <w:pPr>
              <w:spacing w:before="119" w:line="208" w:lineRule="auto"/>
              <w:ind w:left="372"/>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1"/>
                <w:sz w:val="21"/>
                <w:szCs w:val="21"/>
                <w:highlight w:val="none"/>
                <w:u w:val="none" w:color="auto"/>
              </w:rPr>
              <w:t>2.614</w:t>
            </w:r>
          </w:p>
        </w:tc>
        <w:tc>
          <w:tcPr>
            <w:tcW w:w="1077" w:type="dxa"/>
            <w:noWrap w:val="0"/>
            <w:vAlign w:val="top"/>
          </w:tcPr>
          <w:p w14:paraId="6C4830D3">
            <w:pPr>
              <w:spacing w:before="119" w:line="208" w:lineRule="auto"/>
              <w:ind w:left="377"/>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1"/>
                <w:sz w:val="21"/>
                <w:szCs w:val="21"/>
                <w:highlight w:val="none"/>
                <w:u w:val="none" w:color="auto"/>
              </w:rPr>
              <w:t>3.106</w:t>
            </w:r>
          </w:p>
        </w:tc>
        <w:tc>
          <w:tcPr>
            <w:tcW w:w="1076" w:type="dxa"/>
            <w:noWrap w:val="0"/>
            <w:vAlign w:val="top"/>
          </w:tcPr>
          <w:p w14:paraId="6E8E13C1">
            <w:pPr>
              <w:spacing w:before="119" w:line="208" w:lineRule="auto"/>
              <w:ind w:left="377"/>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1"/>
                <w:sz w:val="21"/>
                <w:szCs w:val="21"/>
                <w:highlight w:val="none"/>
                <w:u w:val="none" w:color="auto"/>
              </w:rPr>
              <w:t>3.418</w:t>
            </w:r>
          </w:p>
        </w:tc>
        <w:tc>
          <w:tcPr>
            <w:tcW w:w="1079" w:type="dxa"/>
            <w:noWrap w:val="0"/>
            <w:vAlign w:val="top"/>
          </w:tcPr>
          <w:p w14:paraId="0C305C63">
            <w:pPr>
              <w:spacing w:before="119" w:line="208" w:lineRule="auto"/>
              <w:ind w:left="380"/>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1"/>
                <w:sz w:val="21"/>
                <w:szCs w:val="21"/>
                <w:highlight w:val="none"/>
                <w:u w:val="none" w:color="auto"/>
              </w:rPr>
              <w:t>3.820</w:t>
            </w:r>
          </w:p>
        </w:tc>
        <w:tc>
          <w:tcPr>
            <w:tcW w:w="1078" w:type="dxa"/>
            <w:noWrap w:val="0"/>
            <w:vAlign w:val="top"/>
          </w:tcPr>
          <w:p w14:paraId="14624035">
            <w:pPr>
              <w:spacing w:before="119" w:line="208" w:lineRule="auto"/>
              <w:ind w:left="375"/>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1"/>
                <w:sz w:val="21"/>
                <w:szCs w:val="21"/>
                <w:highlight w:val="none"/>
                <w:u w:val="none" w:color="auto"/>
              </w:rPr>
              <w:t>4.222</w:t>
            </w:r>
          </w:p>
        </w:tc>
        <w:tc>
          <w:tcPr>
            <w:tcW w:w="1078" w:type="dxa"/>
            <w:noWrap w:val="0"/>
            <w:vAlign w:val="top"/>
          </w:tcPr>
          <w:p w14:paraId="1A321265">
            <w:pPr>
              <w:spacing w:before="119" w:line="208" w:lineRule="auto"/>
              <w:ind w:left="378"/>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1"/>
                <w:sz w:val="21"/>
                <w:szCs w:val="21"/>
                <w:highlight w:val="none"/>
                <w:u w:val="none" w:color="auto"/>
              </w:rPr>
              <w:t>4.624</w:t>
            </w:r>
          </w:p>
        </w:tc>
      </w:tr>
    </w:tbl>
    <w:p w14:paraId="603CC22F">
      <w:pPr>
        <w:pStyle w:val="410"/>
        <w:rPr>
          <w:rFonts w:hint="default" w:ascii="Times New Roman" w:hAnsi="Times New Roman" w:cs="Times New Roman"/>
          <w:b w:val="0"/>
          <w:bCs w:val="0"/>
          <w:color w:val="auto"/>
          <w:highlight w:val="none"/>
          <w:u w:val="none" w:color="auto"/>
        </w:rPr>
      </w:pPr>
      <w:r>
        <w:rPr>
          <w:rFonts w:hint="default" w:ascii="Times New Roman" w:hAnsi="Times New Roman" w:cs="Times New Roman"/>
          <w:b w:val="0"/>
          <w:bCs w:val="0"/>
          <w:color w:val="auto"/>
          <w:highlight w:val="none"/>
          <w:u w:val="none" w:color="auto"/>
        </w:rPr>
        <w:t>一定风速条件下，尘粒的沉降速度随粒径的增大而迅速增大，当粒径为250μm时，沉降速度为1.005m/s，因此可以认为当尘粒大于250μm时，主要影响范围在扬尘点下风向近距离范围内，扬尘主要影响范围在扬尘点下风向近距离范围内，而真正对环境产生影响的是一些微小尘粒。</w:t>
      </w:r>
    </w:p>
    <w:p w14:paraId="21A9AB4D">
      <w:pPr>
        <w:pStyle w:val="410"/>
        <w:rPr>
          <w:rFonts w:hint="default" w:ascii="Times New Roman" w:hAnsi="Times New Roman" w:eastAsia="宋体" w:cs="Times New Roman"/>
          <w:color w:val="auto"/>
          <w:spacing w:val="-1"/>
          <w:sz w:val="24"/>
          <w:szCs w:val="24"/>
          <w:highlight w:val="none"/>
          <w:u w:val="none" w:color="auto"/>
        </w:rPr>
      </w:pPr>
      <w:r>
        <w:rPr>
          <w:rFonts w:hint="default" w:ascii="Times New Roman" w:hAnsi="Times New Roman" w:cs="Times New Roman"/>
          <w:b w:val="0"/>
          <w:bCs w:val="0"/>
          <w:color w:val="auto"/>
          <w:highlight w:val="none"/>
          <w:u w:val="none" w:color="auto"/>
        </w:rPr>
        <w:t>通过与同类型项目对比，在一般气象，平均风速为</w:t>
      </w:r>
      <w:r>
        <w:rPr>
          <w:rFonts w:hint="eastAsia" w:ascii="Times New Roman" w:cs="Times New Roman"/>
          <w:b w:val="0"/>
          <w:bCs w:val="0"/>
          <w:color w:val="auto"/>
          <w:highlight w:val="none"/>
          <w:u w:val="none" w:color="auto"/>
          <w:lang w:val="en-US" w:eastAsia="zh-CN"/>
        </w:rPr>
        <w:t>3</w:t>
      </w:r>
      <w:r>
        <w:rPr>
          <w:rFonts w:hint="default" w:ascii="Times New Roman" w:hAnsi="Times New Roman" w:cs="Times New Roman"/>
          <w:b w:val="0"/>
          <w:bCs w:val="0"/>
          <w:color w:val="auto"/>
          <w:highlight w:val="none"/>
          <w:u w:val="none" w:color="auto"/>
        </w:rPr>
        <w:t>m/s的情况下，工地内的TSP浓度是上风向对照点的1.5～2.3倍，影响范围一般在下风向150m之内：下风向0～50m为重污染带、50～100m为较重污染带、100～150m为轻污染带。在项目建设用地周边环境敏感点将受</w:t>
      </w:r>
      <w:r>
        <w:rPr>
          <w:rFonts w:hint="default" w:ascii="Times New Roman" w:hAnsi="Times New Roman" w:eastAsia="宋体" w:cs="Times New Roman"/>
          <w:color w:val="auto"/>
          <w:spacing w:val="-1"/>
          <w:sz w:val="24"/>
          <w:szCs w:val="24"/>
          <w:highlight w:val="none"/>
          <w:u w:val="none" w:color="auto"/>
        </w:rPr>
        <w:t>到不同程度的施工扬尘影响。施工扬尘影响强度和范围见表</w:t>
      </w:r>
    </w:p>
    <w:p w14:paraId="014D4CC6">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lang w:eastAsia="zh-CN"/>
        </w:rPr>
      </w:pPr>
      <w:r>
        <w:rPr>
          <w:rFonts w:hint="default"/>
          <w:color w:val="auto"/>
          <w:highlight w:val="none"/>
          <w:lang w:eastAsia="zh-CN"/>
        </w:rPr>
        <w:t>施工现场扬尘对环境的污染情况</w:t>
      </w:r>
      <w:r>
        <w:rPr>
          <w:rFonts w:hint="default"/>
          <w:color w:val="auto"/>
          <w:highlight w:val="none"/>
          <w:lang w:val="en-US" w:eastAsia="zh-CN"/>
        </w:rPr>
        <w:t>μg/m</w:t>
      </w:r>
      <w:r>
        <w:rPr>
          <w:rFonts w:hint="default"/>
          <w:color w:val="auto"/>
          <w:highlight w:val="none"/>
          <w:vertAlign w:val="superscript"/>
          <w:lang w:val="en-US" w:eastAsia="zh-CN"/>
        </w:rPr>
        <w:t>3</w:t>
      </w:r>
    </w:p>
    <w:tbl>
      <w:tblPr>
        <w:tblStyle w:val="1679"/>
        <w:tblW w:w="8640" w:type="dxa"/>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1781"/>
        <w:gridCol w:w="788"/>
        <w:gridCol w:w="973"/>
        <w:gridCol w:w="914"/>
        <w:gridCol w:w="1029"/>
        <w:gridCol w:w="968"/>
        <w:gridCol w:w="852"/>
        <w:gridCol w:w="1335"/>
      </w:tblGrid>
      <w:tr w14:paraId="6153020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1781" w:type="dxa"/>
            <w:vMerge w:val="restart"/>
            <w:tcBorders>
              <w:bottom w:val="nil"/>
            </w:tcBorders>
            <w:noWrap w:val="0"/>
            <w:vAlign w:val="top"/>
          </w:tcPr>
          <w:p w14:paraId="46E4CAD8">
            <w:pPr>
              <w:pStyle w:val="1647"/>
              <w:spacing w:before="254" w:line="221" w:lineRule="auto"/>
              <w:ind w:left="557"/>
              <w:rPr>
                <w:rFonts w:hint="default" w:ascii="Times New Roman" w:hAnsi="Times New Roman" w:cs="Times New Roman"/>
                <w:color w:val="auto"/>
                <w:highlight w:val="none"/>
                <w:u w:val="none" w:color="auto"/>
              </w:rPr>
            </w:pPr>
            <w:r>
              <w:rPr>
                <w:rFonts w:hint="default" w:ascii="Times New Roman" w:hAnsi="Times New Roman" w:cs="Times New Roman"/>
                <w:color w:val="auto"/>
                <w:spacing w:val="-5"/>
                <w:highlight w:val="none"/>
                <w:u w:val="none" w:color="auto"/>
              </w:rPr>
              <w:t>防尘措施</w:t>
            </w:r>
          </w:p>
        </w:tc>
        <w:tc>
          <w:tcPr>
            <w:tcW w:w="5524" w:type="dxa"/>
            <w:gridSpan w:val="6"/>
            <w:tcBorders>
              <w:bottom w:val="single" w:color="000000" w:sz="10" w:space="0"/>
            </w:tcBorders>
            <w:noWrap w:val="0"/>
            <w:vAlign w:val="top"/>
          </w:tcPr>
          <w:p w14:paraId="6EC1F1A5">
            <w:pPr>
              <w:pStyle w:val="1647"/>
              <w:spacing w:before="67" w:line="221" w:lineRule="auto"/>
              <w:ind w:left="2528"/>
              <w:rPr>
                <w:rFonts w:hint="default" w:ascii="Times New Roman" w:hAnsi="Times New Roman" w:cs="Times New Roman"/>
                <w:color w:val="auto"/>
                <w:highlight w:val="none"/>
                <w:u w:val="none" w:color="auto"/>
              </w:rPr>
            </w:pPr>
            <w:r>
              <w:rPr>
                <w:rFonts w:hint="default" w:ascii="Times New Roman" w:hAnsi="Times New Roman" w:cs="Times New Roman"/>
                <w:color w:val="auto"/>
                <w:spacing w:val="-2"/>
                <w:highlight w:val="none"/>
                <w:u w:val="none" w:color="auto"/>
              </w:rPr>
              <w:t>工地下风向距离</w:t>
            </w:r>
          </w:p>
        </w:tc>
        <w:tc>
          <w:tcPr>
            <w:tcW w:w="1335" w:type="dxa"/>
            <w:vMerge w:val="restart"/>
            <w:tcBorders>
              <w:bottom w:val="nil"/>
            </w:tcBorders>
            <w:noWrap w:val="0"/>
            <w:vAlign w:val="top"/>
          </w:tcPr>
          <w:p w14:paraId="4A78BC0A">
            <w:pPr>
              <w:pStyle w:val="1647"/>
              <w:spacing w:before="117" w:line="221" w:lineRule="auto"/>
              <w:ind w:left="253"/>
              <w:rPr>
                <w:rFonts w:hint="default" w:ascii="Times New Roman" w:hAnsi="Times New Roman" w:cs="Times New Roman"/>
                <w:color w:val="auto"/>
                <w:highlight w:val="none"/>
                <w:u w:val="none" w:color="auto"/>
              </w:rPr>
            </w:pPr>
            <w:r>
              <w:rPr>
                <w:rFonts w:hint="default" w:ascii="Times New Roman" w:hAnsi="Times New Roman" w:cs="Times New Roman"/>
                <w:color w:val="auto"/>
                <w:spacing w:val="-2"/>
                <w:highlight w:val="none"/>
                <w:u w:val="none" w:color="auto"/>
              </w:rPr>
              <w:t>工地上风向</w:t>
            </w:r>
            <w:r>
              <w:rPr>
                <w:rFonts w:hint="default" w:ascii="Times New Roman" w:hAnsi="Times New Roman" w:cs="Times New Roman"/>
                <w:color w:val="auto"/>
                <w:highlight w:val="none"/>
                <w:u w:val="none" w:color="auto"/>
              </w:rPr>
              <w:tab/>
            </w:r>
            <w:r>
              <w:rPr>
                <w:rFonts w:hint="default" w:ascii="Times New Roman" w:hAnsi="Times New Roman" w:cs="Times New Roman"/>
                <w:color w:val="auto"/>
                <w:spacing w:val="-24"/>
                <w:highlight w:val="none"/>
                <w:u w:val="none" w:color="auto"/>
              </w:rPr>
              <w:t>（对照点）</w:t>
            </w:r>
          </w:p>
        </w:tc>
      </w:tr>
      <w:tr w14:paraId="6D1225C5">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781" w:type="dxa"/>
            <w:vMerge w:val="continue"/>
            <w:tcBorders>
              <w:top w:val="nil"/>
              <w:bottom w:val="single" w:color="000000" w:sz="2" w:space="0"/>
            </w:tcBorders>
            <w:noWrap w:val="0"/>
            <w:vAlign w:val="top"/>
          </w:tcPr>
          <w:p w14:paraId="77708C4C">
            <w:pPr>
              <w:rPr>
                <w:rFonts w:hint="default" w:ascii="Times New Roman" w:hAnsi="Times New Roman" w:cs="Times New Roman"/>
                <w:color w:val="auto"/>
                <w:sz w:val="21"/>
                <w:szCs w:val="22"/>
                <w:highlight w:val="none"/>
                <w:u w:val="none" w:color="auto"/>
              </w:rPr>
            </w:pPr>
          </w:p>
        </w:tc>
        <w:tc>
          <w:tcPr>
            <w:tcW w:w="788" w:type="dxa"/>
            <w:tcBorders>
              <w:top w:val="single" w:color="000000" w:sz="10" w:space="0"/>
              <w:bottom w:val="single" w:color="000000" w:sz="2" w:space="0"/>
            </w:tcBorders>
            <w:noWrap w:val="0"/>
            <w:vAlign w:val="top"/>
          </w:tcPr>
          <w:p w14:paraId="640D2B4C">
            <w:pPr>
              <w:spacing w:before="88" w:line="229" w:lineRule="auto"/>
              <w:ind w:left="340"/>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1"/>
                <w:sz w:val="21"/>
                <w:szCs w:val="21"/>
                <w:highlight w:val="none"/>
                <w:u w:val="none" w:color="auto"/>
              </w:rPr>
              <w:t>20m</w:t>
            </w:r>
          </w:p>
        </w:tc>
        <w:tc>
          <w:tcPr>
            <w:tcW w:w="973" w:type="dxa"/>
            <w:tcBorders>
              <w:top w:val="single" w:color="000000" w:sz="10" w:space="0"/>
              <w:bottom w:val="single" w:color="000000" w:sz="2" w:space="0"/>
            </w:tcBorders>
            <w:noWrap w:val="0"/>
            <w:vAlign w:val="top"/>
          </w:tcPr>
          <w:p w14:paraId="5852D6E3">
            <w:pPr>
              <w:spacing w:before="88" w:line="229" w:lineRule="auto"/>
              <w:ind w:left="379"/>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2"/>
                <w:sz w:val="21"/>
                <w:szCs w:val="21"/>
                <w:highlight w:val="none"/>
                <w:u w:val="none" w:color="auto"/>
              </w:rPr>
              <w:t>50m</w:t>
            </w:r>
          </w:p>
        </w:tc>
        <w:tc>
          <w:tcPr>
            <w:tcW w:w="914" w:type="dxa"/>
            <w:tcBorders>
              <w:top w:val="single" w:color="000000" w:sz="10" w:space="0"/>
              <w:bottom w:val="single" w:color="000000" w:sz="2" w:space="0"/>
            </w:tcBorders>
            <w:noWrap w:val="0"/>
            <w:vAlign w:val="top"/>
          </w:tcPr>
          <w:p w14:paraId="6C6059EE">
            <w:pPr>
              <w:spacing w:before="88" w:line="229" w:lineRule="auto"/>
              <w:ind w:left="310"/>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4"/>
                <w:sz w:val="21"/>
                <w:szCs w:val="21"/>
                <w:highlight w:val="none"/>
                <w:u w:val="none" w:color="auto"/>
              </w:rPr>
              <w:t>100m</w:t>
            </w:r>
          </w:p>
        </w:tc>
        <w:tc>
          <w:tcPr>
            <w:tcW w:w="1029" w:type="dxa"/>
            <w:tcBorders>
              <w:top w:val="single" w:color="000000" w:sz="10" w:space="0"/>
              <w:bottom w:val="single" w:color="000000" w:sz="2" w:space="0"/>
            </w:tcBorders>
            <w:noWrap w:val="0"/>
            <w:vAlign w:val="top"/>
          </w:tcPr>
          <w:p w14:paraId="549EEDD7">
            <w:pPr>
              <w:spacing w:before="88" w:line="229" w:lineRule="auto"/>
              <w:ind w:left="375"/>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4"/>
                <w:sz w:val="21"/>
                <w:szCs w:val="21"/>
                <w:highlight w:val="none"/>
                <w:u w:val="none" w:color="auto"/>
              </w:rPr>
              <w:t>150m</w:t>
            </w:r>
          </w:p>
        </w:tc>
        <w:tc>
          <w:tcPr>
            <w:tcW w:w="968" w:type="dxa"/>
            <w:tcBorders>
              <w:top w:val="single" w:color="000000" w:sz="10" w:space="0"/>
              <w:bottom w:val="single" w:color="000000" w:sz="2" w:space="0"/>
            </w:tcBorders>
            <w:noWrap w:val="0"/>
            <w:vAlign w:val="top"/>
          </w:tcPr>
          <w:p w14:paraId="16B0EA27">
            <w:pPr>
              <w:spacing w:before="88" w:line="229" w:lineRule="auto"/>
              <w:ind w:left="321"/>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1"/>
                <w:sz w:val="21"/>
                <w:szCs w:val="21"/>
                <w:highlight w:val="none"/>
                <w:u w:val="none" w:color="auto"/>
              </w:rPr>
              <w:t>200m</w:t>
            </w:r>
          </w:p>
        </w:tc>
        <w:tc>
          <w:tcPr>
            <w:tcW w:w="852" w:type="dxa"/>
            <w:tcBorders>
              <w:top w:val="single" w:color="000000" w:sz="10" w:space="0"/>
              <w:bottom w:val="single" w:color="000000" w:sz="2" w:space="0"/>
            </w:tcBorders>
            <w:noWrap w:val="0"/>
            <w:vAlign w:val="top"/>
          </w:tcPr>
          <w:p w14:paraId="424EF464">
            <w:pPr>
              <w:spacing w:before="88" w:line="229" w:lineRule="auto"/>
              <w:ind w:left="252"/>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1"/>
                <w:sz w:val="21"/>
                <w:szCs w:val="21"/>
                <w:highlight w:val="none"/>
                <w:u w:val="none" w:color="auto"/>
              </w:rPr>
              <w:t>250m</w:t>
            </w:r>
          </w:p>
        </w:tc>
        <w:tc>
          <w:tcPr>
            <w:tcW w:w="1335" w:type="dxa"/>
            <w:vMerge w:val="continue"/>
            <w:tcBorders>
              <w:top w:val="nil"/>
              <w:bottom w:val="single" w:color="000000" w:sz="2" w:space="0"/>
            </w:tcBorders>
            <w:noWrap w:val="0"/>
            <w:vAlign w:val="top"/>
          </w:tcPr>
          <w:p w14:paraId="17D64E9B">
            <w:pPr>
              <w:rPr>
                <w:rFonts w:hint="default" w:ascii="Times New Roman" w:hAnsi="Times New Roman" w:cs="Times New Roman"/>
                <w:color w:val="auto"/>
                <w:sz w:val="21"/>
                <w:szCs w:val="22"/>
                <w:highlight w:val="none"/>
                <w:u w:val="none" w:color="auto"/>
              </w:rPr>
            </w:pPr>
          </w:p>
        </w:tc>
      </w:tr>
      <w:tr w14:paraId="0452A6F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781" w:type="dxa"/>
            <w:tcBorders>
              <w:top w:val="single" w:color="000000" w:sz="2" w:space="0"/>
              <w:bottom w:val="single" w:color="000000" w:sz="2" w:space="0"/>
            </w:tcBorders>
            <w:noWrap w:val="0"/>
            <w:vAlign w:val="top"/>
          </w:tcPr>
          <w:p w14:paraId="429A68DB">
            <w:pPr>
              <w:pStyle w:val="1647"/>
              <w:spacing w:before="75" w:line="221" w:lineRule="auto"/>
              <w:ind w:left="86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无</w:t>
            </w:r>
          </w:p>
        </w:tc>
        <w:tc>
          <w:tcPr>
            <w:tcW w:w="788" w:type="dxa"/>
            <w:tcBorders>
              <w:top w:val="single" w:color="000000" w:sz="2" w:space="0"/>
              <w:bottom w:val="single" w:color="000000" w:sz="2" w:space="0"/>
            </w:tcBorders>
            <w:noWrap w:val="0"/>
            <w:vAlign w:val="top"/>
          </w:tcPr>
          <w:p w14:paraId="5476F34C">
            <w:pPr>
              <w:spacing w:before="105" w:line="222" w:lineRule="auto"/>
              <w:ind w:left="341"/>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7"/>
                <w:sz w:val="21"/>
                <w:szCs w:val="21"/>
                <w:highlight w:val="none"/>
                <w:u w:val="none" w:color="auto"/>
              </w:rPr>
              <w:t>1188</w:t>
            </w:r>
          </w:p>
        </w:tc>
        <w:tc>
          <w:tcPr>
            <w:tcW w:w="973" w:type="dxa"/>
            <w:tcBorders>
              <w:top w:val="single" w:color="000000" w:sz="2" w:space="0"/>
              <w:bottom w:val="single" w:color="000000" w:sz="2" w:space="0"/>
            </w:tcBorders>
            <w:noWrap w:val="0"/>
            <w:vAlign w:val="top"/>
          </w:tcPr>
          <w:p w14:paraId="42AEA212">
            <w:pPr>
              <w:spacing w:before="105" w:line="222" w:lineRule="auto"/>
              <w:ind w:left="409"/>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2"/>
                <w:sz w:val="21"/>
                <w:szCs w:val="21"/>
                <w:highlight w:val="none"/>
                <w:u w:val="none" w:color="auto"/>
              </w:rPr>
              <w:t>607</w:t>
            </w:r>
          </w:p>
        </w:tc>
        <w:tc>
          <w:tcPr>
            <w:tcW w:w="914" w:type="dxa"/>
            <w:tcBorders>
              <w:top w:val="single" w:color="000000" w:sz="2" w:space="0"/>
              <w:bottom w:val="single" w:color="000000" w:sz="2" w:space="0"/>
            </w:tcBorders>
            <w:noWrap w:val="0"/>
            <w:vAlign w:val="top"/>
          </w:tcPr>
          <w:p w14:paraId="298FF9C3">
            <w:pPr>
              <w:spacing w:before="105" w:line="222" w:lineRule="auto"/>
              <w:ind w:left="371"/>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1"/>
                <w:sz w:val="21"/>
                <w:szCs w:val="21"/>
                <w:highlight w:val="none"/>
                <w:u w:val="none" w:color="auto"/>
              </w:rPr>
              <w:t>287</w:t>
            </w:r>
          </w:p>
        </w:tc>
        <w:tc>
          <w:tcPr>
            <w:tcW w:w="1029" w:type="dxa"/>
            <w:tcBorders>
              <w:top w:val="single" w:color="000000" w:sz="2" w:space="0"/>
              <w:bottom w:val="single" w:color="000000" w:sz="2" w:space="0"/>
            </w:tcBorders>
            <w:noWrap w:val="0"/>
            <w:vAlign w:val="top"/>
          </w:tcPr>
          <w:p w14:paraId="384648DA">
            <w:pPr>
              <w:spacing w:before="105" w:line="222" w:lineRule="auto"/>
              <w:ind w:left="457"/>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6"/>
                <w:sz w:val="21"/>
                <w:szCs w:val="21"/>
                <w:highlight w:val="none"/>
                <w:u w:val="none" w:color="auto"/>
              </w:rPr>
              <w:t>196</w:t>
            </w:r>
          </w:p>
        </w:tc>
        <w:tc>
          <w:tcPr>
            <w:tcW w:w="968" w:type="dxa"/>
            <w:tcBorders>
              <w:top w:val="single" w:color="000000" w:sz="2" w:space="0"/>
              <w:bottom w:val="single" w:color="000000" w:sz="2" w:space="0"/>
            </w:tcBorders>
            <w:noWrap w:val="0"/>
            <w:vAlign w:val="top"/>
          </w:tcPr>
          <w:p w14:paraId="26AB093C">
            <w:pPr>
              <w:spacing w:before="105" w:line="222" w:lineRule="auto"/>
              <w:ind w:left="424"/>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6"/>
                <w:sz w:val="21"/>
                <w:szCs w:val="21"/>
                <w:highlight w:val="none"/>
                <w:u w:val="none" w:color="auto"/>
              </w:rPr>
              <w:t>155</w:t>
            </w:r>
          </w:p>
        </w:tc>
        <w:tc>
          <w:tcPr>
            <w:tcW w:w="852" w:type="dxa"/>
            <w:tcBorders>
              <w:top w:val="single" w:color="000000" w:sz="2" w:space="0"/>
              <w:bottom w:val="single" w:color="000000" w:sz="2" w:space="0"/>
            </w:tcBorders>
            <w:noWrap w:val="0"/>
            <w:vAlign w:val="top"/>
          </w:tcPr>
          <w:p w14:paraId="6B7F9A0E">
            <w:pPr>
              <w:spacing w:before="105" w:line="222" w:lineRule="auto"/>
              <w:ind w:left="388"/>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2"/>
                <w:sz w:val="21"/>
                <w:szCs w:val="21"/>
                <w:highlight w:val="none"/>
                <w:u w:val="none" w:color="auto"/>
              </w:rPr>
              <w:t>95</w:t>
            </w:r>
          </w:p>
        </w:tc>
        <w:tc>
          <w:tcPr>
            <w:tcW w:w="1335" w:type="dxa"/>
            <w:vMerge w:val="restart"/>
            <w:tcBorders>
              <w:top w:val="single" w:color="000000" w:sz="2" w:space="0"/>
              <w:bottom w:val="nil"/>
            </w:tcBorders>
            <w:noWrap w:val="0"/>
            <w:vAlign w:val="top"/>
          </w:tcPr>
          <w:p w14:paraId="77B8ED36">
            <w:pPr>
              <w:spacing w:before="290" w:line="233" w:lineRule="auto"/>
              <w:ind w:left="675"/>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3"/>
                <w:sz w:val="21"/>
                <w:szCs w:val="21"/>
                <w:highlight w:val="none"/>
                <w:u w:val="none" w:color="auto"/>
              </w:rPr>
              <w:t>89</w:t>
            </w:r>
          </w:p>
        </w:tc>
      </w:tr>
      <w:tr w14:paraId="4271028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781" w:type="dxa"/>
            <w:tcBorders>
              <w:top w:val="single" w:color="000000" w:sz="2" w:space="0"/>
            </w:tcBorders>
            <w:noWrap w:val="0"/>
            <w:vAlign w:val="top"/>
          </w:tcPr>
          <w:p w14:paraId="23EA61BA">
            <w:pPr>
              <w:pStyle w:val="1647"/>
              <w:spacing w:before="103" w:line="220" w:lineRule="auto"/>
              <w:ind w:left="124"/>
              <w:rPr>
                <w:rFonts w:hint="default" w:ascii="Times New Roman" w:hAnsi="Times New Roman" w:cs="Times New Roman"/>
                <w:color w:val="auto"/>
                <w:highlight w:val="none"/>
                <w:u w:val="none" w:color="auto"/>
              </w:rPr>
            </w:pPr>
            <w:r>
              <w:rPr>
                <w:rFonts w:hint="default" w:ascii="Times New Roman" w:hAnsi="Times New Roman" w:cs="Times New Roman"/>
                <w:color w:val="auto"/>
                <w:spacing w:val="-1"/>
                <w:highlight w:val="none"/>
                <w:u w:val="none" w:color="auto"/>
              </w:rPr>
              <w:t>有（金属板围挡）</w:t>
            </w:r>
          </w:p>
        </w:tc>
        <w:tc>
          <w:tcPr>
            <w:tcW w:w="788" w:type="dxa"/>
            <w:tcBorders>
              <w:top w:val="single" w:color="000000" w:sz="2" w:space="0"/>
            </w:tcBorders>
            <w:noWrap w:val="0"/>
            <w:vAlign w:val="top"/>
          </w:tcPr>
          <w:p w14:paraId="15D6E9D2">
            <w:pPr>
              <w:spacing w:before="131" w:line="233" w:lineRule="auto"/>
              <w:ind w:left="372"/>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2"/>
                <w:sz w:val="21"/>
                <w:szCs w:val="21"/>
                <w:highlight w:val="none"/>
                <w:u w:val="none" w:color="auto"/>
              </w:rPr>
              <w:t>709</w:t>
            </w:r>
          </w:p>
        </w:tc>
        <w:tc>
          <w:tcPr>
            <w:tcW w:w="973" w:type="dxa"/>
            <w:tcBorders>
              <w:top w:val="single" w:color="000000" w:sz="2" w:space="0"/>
            </w:tcBorders>
            <w:noWrap w:val="0"/>
            <w:vAlign w:val="top"/>
          </w:tcPr>
          <w:p w14:paraId="047F5A64">
            <w:pPr>
              <w:spacing w:before="130" w:line="234" w:lineRule="auto"/>
              <w:ind w:left="411"/>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3"/>
                <w:sz w:val="21"/>
                <w:szCs w:val="21"/>
                <w:highlight w:val="none"/>
                <w:u w:val="none" w:color="auto"/>
              </w:rPr>
              <w:t>311</w:t>
            </w:r>
          </w:p>
        </w:tc>
        <w:tc>
          <w:tcPr>
            <w:tcW w:w="914" w:type="dxa"/>
            <w:tcBorders>
              <w:top w:val="single" w:color="000000" w:sz="2" w:space="0"/>
            </w:tcBorders>
            <w:noWrap w:val="0"/>
            <w:vAlign w:val="top"/>
          </w:tcPr>
          <w:p w14:paraId="0B5D74A5">
            <w:pPr>
              <w:spacing w:before="130" w:line="234" w:lineRule="auto"/>
              <w:ind w:left="391"/>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6"/>
                <w:sz w:val="21"/>
                <w:szCs w:val="21"/>
                <w:highlight w:val="none"/>
                <w:u w:val="none" w:color="auto"/>
              </w:rPr>
              <w:t>120</w:t>
            </w:r>
          </w:p>
        </w:tc>
        <w:tc>
          <w:tcPr>
            <w:tcW w:w="1029" w:type="dxa"/>
            <w:tcBorders>
              <w:top w:val="single" w:color="000000" w:sz="2" w:space="0"/>
            </w:tcBorders>
            <w:noWrap w:val="0"/>
            <w:vAlign w:val="top"/>
          </w:tcPr>
          <w:p w14:paraId="774C440D">
            <w:pPr>
              <w:spacing w:before="130" w:line="234" w:lineRule="auto"/>
              <w:ind w:left="457"/>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6"/>
                <w:sz w:val="21"/>
                <w:szCs w:val="21"/>
                <w:highlight w:val="none"/>
                <w:u w:val="none" w:color="auto"/>
              </w:rPr>
              <w:t>106</w:t>
            </w:r>
          </w:p>
        </w:tc>
        <w:tc>
          <w:tcPr>
            <w:tcW w:w="968" w:type="dxa"/>
            <w:tcBorders>
              <w:top w:val="single" w:color="000000" w:sz="2" w:space="0"/>
            </w:tcBorders>
            <w:noWrap w:val="0"/>
            <w:vAlign w:val="top"/>
          </w:tcPr>
          <w:p w14:paraId="1EB33A3A">
            <w:pPr>
              <w:spacing w:before="130" w:line="234" w:lineRule="auto"/>
              <w:ind w:left="424"/>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6"/>
                <w:sz w:val="21"/>
                <w:szCs w:val="21"/>
                <w:highlight w:val="none"/>
                <w:u w:val="none" w:color="auto"/>
              </w:rPr>
              <w:t>100</w:t>
            </w:r>
          </w:p>
        </w:tc>
        <w:tc>
          <w:tcPr>
            <w:tcW w:w="852" w:type="dxa"/>
            <w:tcBorders>
              <w:top w:val="single" w:color="000000" w:sz="2" w:space="0"/>
            </w:tcBorders>
            <w:noWrap w:val="0"/>
            <w:vAlign w:val="top"/>
          </w:tcPr>
          <w:p w14:paraId="05EF1C97">
            <w:pPr>
              <w:spacing w:before="131" w:line="233" w:lineRule="auto"/>
              <w:ind w:left="388"/>
              <w:rPr>
                <w:rFonts w:hint="default" w:ascii="Times New Roman" w:hAnsi="Times New Roman" w:eastAsia="Times New Roman" w:cs="Times New Roman"/>
                <w:color w:val="auto"/>
                <w:sz w:val="21"/>
                <w:szCs w:val="21"/>
                <w:highlight w:val="none"/>
                <w:u w:val="none" w:color="auto"/>
              </w:rPr>
            </w:pPr>
            <w:r>
              <w:rPr>
                <w:rFonts w:hint="default" w:ascii="Times New Roman" w:hAnsi="Times New Roman" w:eastAsia="Times New Roman" w:cs="Times New Roman"/>
                <w:color w:val="auto"/>
                <w:spacing w:val="-2"/>
                <w:sz w:val="21"/>
                <w:szCs w:val="21"/>
                <w:highlight w:val="none"/>
                <w:u w:val="none" w:color="auto"/>
              </w:rPr>
              <w:t>91</w:t>
            </w:r>
          </w:p>
        </w:tc>
        <w:tc>
          <w:tcPr>
            <w:tcW w:w="1335" w:type="dxa"/>
            <w:vMerge w:val="continue"/>
            <w:tcBorders>
              <w:top w:val="nil"/>
            </w:tcBorders>
            <w:noWrap w:val="0"/>
            <w:vAlign w:val="top"/>
          </w:tcPr>
          <w:p w14:paraId="12F82774">
            <w:pPr>
              <w:rPr>
                <w:rFonts w:hint="default" w:ascii="Times New Roman" w:hAnsi="Times New Roman" w:cs="Times New Roman"/>
                <w:color w:val="auto"/>
                <w:sz w:val="21"/>
                <w:szCs w:val="22"/>
                <w:highlight w:val="none"/>
              </w:rPr>
            </w:pPr>
          </w:p>
        </w:tc>
      </w:tr>
    </w:tbl>
    <w:p w14:paraId="4BB83348">
      <w:pPr>
        <w:pStyle w:val="41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根据钦州气象资料，全年主导风向为北风，因此</w:t>
      </w:r>
      <w:r>
        <w:rPr>
          <w:rFonts w:hint="eastAsia" w:ascii="Times New Roman" w:cs="Times New Roman"/>
          <w:color w:val="auto"/>
          <w:highlight w:val="none"/>
          <w:u w:val="none"/>
          <w:lang w:eastAsia="zh-CN"/>
        </w:rPr>
        <w:t>临时中转场及规划道路回填区扬尘</w:t>
      </w:r>
      <w:r>
        <w:rPr>
          <w:rFonts w:hint="default" w:ascii="Times New Roman" w:hAnsi="Times New Roman" w:eastAsia="宋体" w:cs="Times New Roman"/>
          <w:color w:val="auto"/>
          <w:highlight w:val="none"/>
          <w:u w:val="none"/>
        </w:rPr>
        <w:t>主要影响南面区域，村民多分布在</w:t>
      </w:r>
      <w:r>
        <w:rPr>
          <w:rFonts w:hint="eastAsia" w:ascii="Times New Roman" w:cs="Times New Roman"/>
          <w:color w:val="auto"/>
          <w:highlight w:val="none"/>
          <w:u w:val="none"/>
          <w:lang w:eastAsia="zh-CN"/>
        </w:rPr>
        <w:t>项目</w:t>
      </w:r>
      <w:r>
        <w:rPr>
          <w:rFonts w:hint="default" w:ascii="Times New Roman" w:hAnsi="Times New Roman" w:eastAsia="宋体" w:cs="Times New Roman"/>
          <w:color w:val="auto"/>
          <w:highlight w:val="none"/>
          <w:u w:val="none"/>
        </w:rPr>
        <w:t>沿线上风向或侧风向范围内，</w:t>
      </w:r>
      <w:r>
        <w:rPr>
          <w:rFonts w:hint="eastAsia" w:ascii="Times New Roman" w:cs="Times New Roman"/>
          <w:color w:val="auto"/>
          <w:highlight w:val="none"/>
          <w:u w:val="none"/>
          <w:lang w:eastAsia="zh-CN"/>
        </w:rPr>
        <w:t>临时中转场及规划道路回填区扬尘对</w:t>
      </w:r>
      <w:r>
        <w:rPr>
          <w:rFonts w:hint="default" w:ascii="Times New Roman" w:hAnsi="Times New Roman" w:eastAsia="宋体" w:cs="Times New Roman"/>
          <w:color w:val="auto"/>
          <w:highlight w:val="none"/>
          <w:u w:val="none"/>
        </w:rPr>
        <w:t>近距离</w:t>
      </w:r>
      <w:r>
        <w:rPr>
          <w:rFonts w:hint="eastAsia"/>
          <w:color w:val="auto"/>
          <w:highlight w:val="none"/>
          <w:lang w:eastAsia="zh-CN"/>
        </w:rPr>
        <w:t>敏感点大岭脚村、</w:t>
      </w:r>
      <w:r>
        <w:rPr>
          <w:rFonts w:hint="eastAsia" w:ascii="Times New Roman" w:cs="Times New Roman"/>
          <w:color w:val="auto"/>
          <w:highlight w:val="none"/>
          <w:u w:val="none"/>
          <w:lang w:eastAsia="zh-CN"/>
        </w:rPr>
        <w:t>巨龙如意城</w:t>
      </w:r>
      <w:r>
        <w:rPr>
          <w:rFonts w:hint="default" w:ascii="Times New Roman" w:hAnsi="Times New Roman" w:eastAsia="宋体" w:cs="Times New Roman"/>
          <w:color w:val="auto"/>
          <w:highlight w:val="none"/>
          <w:u w:val="none"/>
        </w:rPr>
        <w:t>产生一定影响，须采取有效措施加以治理。根据钦州市的气象资料，工程区多年平均风速2.6m/s。扬尘特别可能出现在春、冬二季，雨水偏小又多风的情况下，因此本工程施工期应注意施工扬尘的防治问题，制定必要的防治措施，以减少施工扬尘对周围环境的影响。</w:t>
      </w:r>
    </w:p>
    <w:p w14:paraId="449DD558">
      <w:pPr>
        <w:pStyle w:val="41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抑制扬尘的一个简捷有效的措施是洒水，抑制扬尘的一个简捷有效的措施是洒水。在施工期内对车辆行驶的路面实施洒水抑尘，每天洒水4~5次，可使扬尘减少70%左右。有关施工场地洒水抑尘的试验结果见表4.1-</w:t>
      </w:r>
      <w:r>
        <w:rPr>
          <w:rFonts w:hint="eastAsia" w:ascii="Times New Roman" w:cs="Times New Roman"/>
          <w:color w:val="auto"/>
          <w:highlight w:val="none"/>
          <w:u w:val="none"/>
          <w:lang w:val="en-US" w:eastAsia="zh-CN"/>
        </w:rPr>
        <w:t>5</w:t>
      </w:r>
      <w:r>
        <w:rPr>
          <w:rFonts w:hint="default" w:ascii="Times New Roman" w:hAnsi="Times New Roman" w:eastAsia="宋体" w:cs="Times New Roman"/>
          <w:color w:val="auto"/>
          <w:highlight w:val="none"/>
          <w:u w:val="none"/>
        </w:rPr>
        <w:t>。由试验数据可看出对施工场地实施每天洒水4～5次进行抑尘，可有效地控制施工扬尘，并可将TSP污染距离缩小到20～50m范围。</w:t>
      </w:r>
    </w:p>
    <w:p w14:paraId="1E8F6EE3">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lang w:eastAsia="zh-CN"/>
        </w:rPr>
      </w:pPr>
      <w:r>
        <w:rPr>
          <w:rFonts w:hint="default"/>
          <w:color w:val="auto"/>
          <w:highlight w:val="none"/>
          <w:lang w:eastAsia="zh-CN"/>
        </w:rPr>
        <mc:AlternateContent>
          <mc:Choice Requires="wps">
            <w:drawing>
              <wp:anchor distT="0" distB="0" distL="0" distR="0" simplePos="0" relativeHeight="251684864" behindDoc="1" locked="0" layoutInCell="1" allowOverlap="1">
                <wp:simplePos x="0" y="0"/>
                <wp:positionH relativeFrom="column">
                  <wp:posOffset>4007485</wp:posOffset>
                </wp:positionH>
                <wp:positionV relativeFrom="paragraph">
                  <wp:posOffset>475615</wp:posOffset>
                </wp:positionV>
                <wp:extent cx="151130" cy="71755"/>
                <wp:effectExtent l="0" t="0" r="1270" b="4445"/>
                <wp:wrapNone/>
                <wp:docPr id="184" name="Rect 184"/>
                <wp:cNvGraphicFramePr/>
                <a:graphic xmlns:a="http://schemas.openxmlformats.org/drawingml/2006/main">
                  <a:graphicData uri="http://schemas.microsoft.com/office/word/2010/wordprocessingShape">
                    <wps:wsp>
                      <wps:cNvSpPr/>
                      <wps:spPr>
                        <a:xfrm>
                          <a:off x="4007485" y="475766"/>
                          <a:ext cx="151129" cy="71755"/>
                        </a:xfrm>
                        <a:prstGeom prst="rect">
                          <a:avLst/>
                        </a:prstGeom>
                        <a:solidFill>
                          <a:srgbClr val="BEBEBE"/>
                        </a:solidFill>
                        <a:ln w="0">
                          <a:noFill/>
                        </a:ln>
                        <a:effectLst/>
                      </wps:spPr>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84" o:spid="_x0000_s1026" o:spt="1" style="position:absolute;left:0pt;margin-left:315.55pt;margin-top:37.45pt;height:5.65pt;width:11.9pt;z-index:-251631616;mso-width-relative:page;mso-height-relative:page;" fillcolor="#BEBEBE" filled="t" stroked="f" coordsize="21600,21600" o:gfxdata="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ESfgC2AAAAAkBAAAPAAAAAAAAAAEAIAAAACIAAABkcnMvZG93bnJl&#10;di54bWxQSwECFAAUAAAACACHTuJAO6zJkDYCAAB9BAAADgAAAAAAAAABACAAAAAnAQAAZHJzL2Uy&#10;b0RvYy54bWxQSwUGAAAAAAYABgBZAQAAzwUAAAAA&#10;">
                <v:fill on="t" focussize="0,0"/>
                <v:stroke on="f" weight="0pt"/>
                <v:imagedata o:title=""/>
                <o:lock v:ext="edit" aspectratio="f"/>
                <v:textbox inset="0mm,0mm,0mm,0mm"/>
              </v:rect>
            </w:pict>
          </mc:Fallback>
        </mc:AlternateContent>
      </w:r>
      <w:r>
        <w:rPr>
          <w:rFonts w:hint="eastAsia"/>
          <w:color w:val="auto"/>
          <w:highlight w:val="none"/>
          <w:lang w:val="en-US" w:eastAsia="zh-CN"/>
        </w:rPr>
        <w:t xml:space="preserve"> </w:t>
      </w:r>
      <w:r>
        <w:rPr>
          <w:rFonts w:hint="default"/>
          <w:color w:val="auto"/>
          <w:highlight w:val="none"/>
          <w:lang w:eastAsia="zh-CN"/>
        </w:rPr>
        <w:t>施工场地洒水抑尘试验结果单位：mg/m</w:t>
      </w:r>
      <w:r>
        <w:rPr>
          <w:rFonts w:hint="default"/>
          <w:color w:val="auto"/>
          <w:highlight w:val="none"/>
          <w:vertAlign w:val="superscript"/>
          <w:lang w:eastAsia="zh-CN"/>
        </w:rPr>
        <w:t>3</w:t>
      </w:r>
    </w:p>
    <w:tbl>
      <w:tblPr>
        <w:tblStyle w:val="8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1642"/>
        <w:gridCol w:w="1165"/>
        <w:gridCol w:w="772"/>
        <w:gridCol w:w="1307"/>
        <w:gridCol w:w="1448"/>
      </w:tblGrid>
      <w:tr w14:paraId="75A056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32" w:type="dxa"/>
            <w:gridSpan w:val="2"/>
            <w:noWrap w:val="0"/>
            <w:vAlign w:val="center"/>
          </w:tcPr>
          <w:p w14:paraId="1C310F5C">
            <w:pPr>
              <w:pStyle w:val="410"/>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b w:val="0"/>
                <w:bCs w:val="0"/>
                <w:color w:val="auto"/>
                <w:sz w:val="21"/>
                <w:szCs w:val="21"/>
                <w:highlight w:val="none"/>
                <w:u w:val="none" w:color="auto"/>
                <w:vertAlign w:val="baseline"/>
              </w:rPr>
            </w:pPr>
            <w:r>
              <w:rPr>
                <w:rFonts w:hint="default" w:ascii="Times New Roman" w:hAnsi="Times New Roman" w:cs="Times New Roman"/>
                <w:b w:val="0"/>
                <w:bCs w:val="0"/>
                <w:color w:val="auto"/>
                <w:sz w:val="21"/>
                <w:szCs w:val="21"/>
                <w:highlight w:val="none"/>
                <w:u w:val="none" w:color="auto"/>
                <w:vertAlign w:val="baseline"/>
                <w:lang w:eastAsia="zh-CN"/>
              </w:rPr>
              <w:t>距离</w:t>
            </w:r>
          </w:p>
        </w:tc>
        <w:tc>
          <w:tcPr>
            <w:tcW w:w="1165" w:type="dxa"/>
            <w:noWrap w:val="0"/>
            <w:vAlign w:val="center"/>
          </w:tcPr>
          <w:p w14:paraId="2ABD3754">
            <w:pPr>
              <w:pStyle w:val="410"/>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cs="Times New Roman"/>
                <w:b w:val="0"/>
                <w:bCs w:val="0"/>
                <w:color w:val="auto"/>
                <w:sz w:val="21"/>
                <w:szCs w:val="21"/>
                <w:highlight w:val="none"/>
                <w:u w:val="none" w:color="auto"/>
                <w:vertAlign w:val="baseline"/>
                <w:lang w:val="en-US" w:eastAsia="zh-CN"/>
              </w:rPr>
              <w:t>5m</w:t>
            </w:r>
          </w:p>
        </w:tc>
        <w:tc>
          <w:tcPr>
            <w:tcW w:w="772" w:type="dxa"/>
            <w:noWrap w:val="0"/>
            <w:vAlign w:val="center"/>
          </w:tcPr>
          <w:p w14:paraId="66DEB512">
            <w:pPr>
              <w:pStyle w:val="410"/>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val="0"/>
                <w:bCs w:val="0"/>
                <w:color w:val="auto"/>
                <w:sz w:val="21"/>
                <w:szCs w:val="21"/>
                <w:highlight w:val="none"/>
                <w:u w:val="none" w:color="auto"/>
                <w:vertAlign w:val="baseline"/>
              </w:rPr>
            </w:pPr>
            <w:r>
              <w:rPr>
                <w:rFonts w:hint="default" w:ascii="Times New Roman" w:hAnsi="Times New Roman" w:cs="Times New Roman"/>
                <w:b w:val="0"/>
                <w:bCs w:val="0"/>
                <w:color w:val="auto"/>
                <w:sz w:val="21"/>
                <w:szCs w:val="21"/>
                <w:highlight w:val="none"/>
                <w:u w:val="none" w:color="auto"/>
                <w:vertAlign w:val="baseline"/>
                <w:lang w:val="en-US" w:eastAsia="zh-CN"/>
              </w:rPr>
              <w:t>20m</w:t>
            </w:r>
          </w:p>
        </w:tc>
        <w:tc>
          <w:tcPr>
            <w:tcW w:w="1307" w:type="dxa"/>
            <w:noWrap w:val="0"/>
            <w:vAlign w:val="center"/>
          </w:tcPr>
          <w:p w14:paraId="26B4932A">
            <w:pPr>
              <w:pStyle w:val="410"/>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b w:val="0"/>
                <w:bCs w:val="0"/>
                <w:color w:val="auto"/>
                <w:sz w:val="21"/>
                <w:szCs w:val="21"/>
                <w:highlight w:val="none"/>
                <w:u w:val="none" w:color="auto"/>
                <w:vertAlign w:val="baseline"/>
              </w:rPr>
            </w:pPr>
            <w:r>
              <w:rPr>
                <w:rFonts w:hint="default" w:ascii="Times New Roman" w:hAnsi="Times New Roman" w:cs="Times New Roman"/>
                <w:b w:val="0"/>
                <w:bCs w:val="0"/>
                <w:color w:val="auto"/>
                <w:sz w:val="21"/>
                <w:szCs w:val="21"/>
                <w:highlight w:val="none"/>
                <w:u w:val="none" w:color="auto"/>
                <w:vertAlign w:val="baseline"/>
                <w:lang w:val="en-US" w:eastAsia="zh-CN"/>
              </w:rPr>
              <w:t>50m</w:t>
            </w:r>
          </w:p>
        </w:tc>
        <w:tc>
          <w:tcPr>
            <w:tcW w:w="1448" w:type="dxa"/>
            <w:noWrap w:val="0"/>
            <w:vAlign w:val="center"/>
          </w:tcPr>
          <w:p w14:paraId="5BCBBDFA">
            <w:pPr>
              <w:pStyle w:val="410"/>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b w:val="0"/>
                <w:bCs w:val="0"/>
                <w:color w:val="auto"/>
                <w:sz w:val="21"/>
                <w:szCs w:val="21"/>
                <w:highlight w:val="none"/>
                <w:u w:val="none" w:color="auto"/>
                <w:vertAlign w:val="baseline"/>
              </w:rPr>
            </w:pPr>
            <w:r>
              <w:rPr>
                <w:rFonts w:hint="default" w:ascii="Times New Roman" w:hAnsi="Times New Roman" w:cs="Times New Roman"/>
                <w:b w:val="0"/>
                <w:bCs w:val="0"/>
                <w:color w:val="auto"/>
                <w:sz w:val="21"/>
                <w:szCs w:val="21"/>
                <w:highlight w:val="none"/>
                <w:u w:val="none" w:color="auto"/>
                <w:vertAlign w:val="baseline"/>
                <w:lang w:val="en-US" w:eastAsia="zh-CN"/>
              </w:rPr>
              <w:t>100m</w:t>
            </w:r>
          </w:p>
        </w:tc>
      </w:tr>
      <w:tr w14:paraId="7F296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90" w:type="dxa"/>
            <w:vMerge w:val="restart"/>
            <w:noWrap w:val="0"/>
            <w:vAlign w:val="center"/>
          </w:tcPr>
          <w:p w14:paraId="0CB03BC1">
            <w:pPr>
              <w:pStyle w:val="410"/>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cs="Times New Roman"/>
                <w:b w:val="0"/>
                <w:bCs w:val="0"/>
                <w:color w:val="auto"/>
                <w:sz w:val="21"/>
                <w:szCs w:val="21"/>
                <w:highlight w:val="none"/>
                <w:u w:val="none" w:color="auto"/>
                <w:vertAlign w:val="baseline"/>
                <w:lang w:val="en-US" w:eastAsia="zh-CN"/>
              </w:rPr>
              <w:t>TSP</w:t>
            </w:r>
            <w:r>
              <w:rPr>
                <w:rFonts w:hint="default" w:ascii="Times New Roman" w:hAnsi="Times New Roman" w:cs="Times New Roman"/>
                <w:b w:val="0"/>
                <w:bCs w:val="0"/>
                <w:color w:val="auto"/>
                <w:sz w:val="21"/>
                <w:szCs w:val="21"/>
                <w:highlight w:val="none"/>
                <w:u w:val="none" w:color="auto"/>
                <w:vertAlign w:val="baseline"/>
                <w:lang w:eastAsia="zh-CN"/>
              </w:rPr>
              <w:t>小时平均浓度</w:t>
            </w:r>
          </w:p>
        </w:tc>
        <w:tc>
          <w:tcPr>
            <w:tcW w:w="1642" w:type="dxa"/>
            <w:noWrap w:val="0"/>
            <w:vAlign w:val="center"/>
          </w:tcPr>
          <w:p w14:paraId="751FE50F">
            <w:pPr>
              <w:pStyle w:val="410"/>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cs="Times New Roman"/>
                <w:b w:val="0"/>
                <w:bCs w:val="0"/>
                <w:color w:val="auto"/>
                <w:sz w:val="21"/>
                <w:szCs w:val="21"/>
                <w:highlight w:val="none"/>
                <w:u w:val="none" w:color="auto"/>
                <w:vertAlign w:val="baseline"/>
                <w:lang w:eastAsia="zh-CN"/>
              </w:rPr>
              <w:t>不洒水</w:t>
            </w:r>
          </w:p>
        </w:tc>
        <w:tc>
          <w:tcPr>
            <w:tcW w:w="1165" w:type="dxa"/>
            <w:noWrap w:val="0"/>
            <w:vAlign w:val="top"/>
          </w:tcPr>
          <w:p w14:paraId="43E0670C">
            <w:pPr>
              <w:pStyle w:val="410"/>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cs="Times New Roman"/>
                <w:b w:val="0"/>
                <w:bCs w:val="0"/>
                <w:color w:val="auto"/>
                <w:sz w:val="21"/>
                <w:szCs w:val="21"/>
                <w:highlight w:val="none"/>
                <w:u w:val="none" w:color="auto"/>
                <w:vertAlign w:val="baseline"/>
                <w:lang w:val="en-US" w:eastAsia="zh-CN"/>
              </w:rPr>
              <w:t>10.14</w:t>
            </w:r>
          </w:p>
        </w:tc>
        <w:tc>
          <w:tcPr>
            <w:tcW w:w="772" w:type="dxa"/>
            <w:noWrap w:val="0"/>
            <w:vAlign w:val="top"/>
          </w:tcPr>
          <w:p w14:paraId="7BDE4AAB">
            <w:pPr>
              <w:pStyle w:val="410"/>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cs="Times New Roman"/>
                <w:b w:val="0"/>
                <w:bCs w:val="0"/>
                <w:color w:val="auto"/>
                <w:sz w:val="21"/>
                <w:szCs w:val="21"/>
                <w:highlight w:val="none"/>
                <w:u w:val="none" w:color="auto"/>
                <w:vertAlign w:val="baseline"/>
                <w:lang w:val="en-US" w:eastAsia="zh-CN"/>
              </w:rPr>
              <w:t>2.89</w:t>
            </w:r>
          </w:p>
        </w:tc>
        <w:tc>
          <w:tcPr>
            <w:tcW w:w="1307" w:type="dxa"/>
            <w:noWrap w:val="0"/>
            <w:vAlign w:val="top"/>
          </w:tcPr>
          <w:p w14:paraId="43AB4362">
            <w:pPr>
              <w:pStyle w:val="410"/>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cs="Times New Roman"/>
                <w:b w:val="0"/>
                <w:bCs w:val="0"/>
                <w:color w:val="auto"/>
                <w:sz w:val="21"/>
                <w:szCs w:val="21"/>
                <w:highlight w:val="none"/>
                <w:u w:val="none" w:color="auto"/>
                <w:vertAlign w:val="baseline"/>
                <w:lang w:val="en-US" w:eastAsia="zh-CN"/>
              </w:rPr>
              <w:t>1.15</w:t>
            </w:r>
          </w:p>
        </w:tc>
        <w:tc>
          <w:tcPr>
            <w:tcW w:w="1448" w:type="dxa"/>
            <w:noWrap w:val="0"/>
            <w:vAlign w:val="top"/>
          </w:tcPr>
          <w:p w14:paraId="7DB8898C">
            <w:pPr>
              <w:pStyle w:val="410"/>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cs="Times New Roman"/>
                <w:b w:val="0"/>
                <w:bCs w:val="0"/>
                <w:color w:val="auto"/>
                <w:sz w:val="21"/>
                <w:szCs w:val="21"/>
                <w:highlight w:val="none"/>
                <w:u w:val="none" w:color="auto"/>
                <w:vertAlign w:val="baseline"/>
                <w:lang w:val="en-US" w:eastAsia="zh-CN"/>
              </w:rPr>
              <w:t>0.86</w:t>
            </w:r>
          </w:p>
        </w:tc>
      </w:tr>
      <w:tr w14:paraId="7D4297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90" w:type="dxa"/>
            <w:vMerge w:val="continue"/>
            <w:noWrap w:val="0"/>
            <w:vAlign w:val="center"/>
          </w:tcPr>
          <w:p w14:paraId="3F420287">
            <w:pPr>
              <w:pStyle w:val="410"/>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b w:val="0"/>
                <w:bCs w:val="0"/>
                <w:color w:val="auto"/>
                <w:sz w:val="21"/>
                <w:szCs w:val="21"/>
                <w:highlight w:val="none"/>
                <w:u w:val="none" w:color="auto"/>
                <w:vertAlign w:val="baseline"/>
              </w:rPr>
            </w:pPr>
          </w:p>
        </w:tc>
        <w:tc>
          <w:tcPr>
            <w:tcW w:w="1642" w:type="dxa"/>
            <w:noWrap w:val="0"/>
            <w:vAlign w:val="center"/>
          </w:tcPr>
          <w:p w14:paraId="7895CAFD">
            <w:pPr>
              <w:pStyle w:val="410"/>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cs="Times New Roman"/>
                <w:b w:val="0"/>
                <w:bCs w:val="0"/>
                <w:color w:val="auto"/>
                <w:sz w:val="21"/>
                <w:szCs w:val="21"/>
                <w:highlight w:val="none"/>
                <w:u w:val="none" w:color="auto"/>
                <w:vertAlign w:val="baseline"/>
                <w:lang w:eastAsia="zh-CN"/>
              </w:rPr>
              <w:t>洒水</w:t>
            </w:r>
          </w:p>
        </w:tc>
        <w:tc>
          <w:tcPr>
            <w:tcW w:w="1165" w:type="dxa"/>
            <w:noWrap w:val="0"/>
            <w:vAlign w:val="top"/>
          </w:tcPr>
          <w:p w14:paraId="3FD9D255">
            <w:pPr>
              <w:pStyle w:val="410"/>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cs="Times New Roman"/>
                <w:b w:val="0"/>
                <w:bCs w:val="0"/>
                <w:color w:val="auto"/>
                <w:sz w:val="21"/>
                <w:szCs w:val="21"/>
                <w:highlight w:val="none"/>
                <w:u w:val="none" w:color="auto"/>
                <w:vertAlign w:val="baseline"/>
                <w:lang w:val="en-US" w:eastAsia="zh-CN"/>
              </w:rPr>
              <w:t>2.01</w:t>
            </w:r>
          </w:p>
        </w:tc>
        <w:tc>
          <w:tcPr>
            <w:tcW w:w="772" w:type="dxa"/>
            <w:noWrap w:val="0"/>
            <w:vAlign w:val="top"/>
          </w:tcPr>
          <w:p w14:paraId="00214930">
            <w:pPr>
              <w:pStyle w:val="410"/>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cs="Times New Roman"/>
                <w:b w:val="0"/>
                <w:bCs w:val="0"/>
                <w:color w:val="auto"/>
                <w:sz w:val="21"/>
                <w:szCs w:val="21"/>
                <w:highlight w:val="none"/>
                <w:u w:val="none" w:color="auto"/>
                <w:vertAlign w:val="baseline"/>
                <w:lang w:val="en-US" w:eastAsia="zh-CN"/>
              </w:rPr>
              <w:t>1.40</w:t>
            </w:r>
          </w:p>
        </w:tc>
        <w:tc>
          <w:tcPr>
            <w:tcW w:w="1307" w:type="dxa"/>
            <w:noWrap w:val="0"/>
            <w:vAlign w:val="top"/>
          </w:tcPr>
          <w:p w14:paraId="73C1B816">
            <w:pPr>
              <w:pStyle w:val="410"/>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cs="Times New Roman"/>
                <w:b w:val="0"/>
                <w:bCs w:val="0"/>
                <w:color w:val="auto"/>
                <w:sz w:val="21"/>
                <w:szCs w:val="21"/>
                <w:highlight w:val="none"/>
                <w:u w:val="none" w:color="auto"/>
                <w:vertAlign w:val="baseline"/>
                <w:lang w:val="en-US" w:eastAsia="zh-CN"/>
              </w:rPr>
              <w:t>0.67</w:t>
            </w:r>
          </w:p>
        </w:tc>
        <w:tc>
          <w:tcPr>
            <w:tcW w:w="1448" w:type="dxa"/>
            <w:noWrap w:val="0"/>
            <w:vAlign w:val="top"/>
          </w:tcPr>
          <w:p w14:paraId="4DBB7214">
            <w:pPr>
              <w:pStyle w:val="410"/>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cs="Times New Roman"/>
                <w:b w:val="0"/>
                <w:bCs w:val="0"/>
                <w:color w:val="auto"/>
                <w:sz w:val="21"/>
                <w:szCs w:val="21"/>
                <w:highlight w:val="none"/>
                <w:u w:val="none" w:color="auto"/>
                <w:vertAlign w:val="baseline"/>
                <w:lang w:val="en-US" w:eastAsia="zh-CN"/>
              </w:rPr>
              <w:t>0.60</w:t>
            </w:r>
          </w:p>
        </w:tc>
      </w:tr>
    </w:tbl>
    <w:p w14:paraId="29B66887">
      <w:pPr>
        <w:pStyle w:val="684"/>
        <w:keepNext w:val="0"/>
        <w:keepLines w:val="0"/>
        <w:pageBreakBefore w:val="0"/>
        <w:widowControl w:val="0"/>
        <w:kinsoku/>
        <w:wordWrap/>
        <w:overflowPunct/>
        <w:topLinePunct w:val="0"/>
        <w:autoSpaceDE/>
        <w:autoSpaceDN/>
        <w:bidi w:val="0"/>
        <w:adjustRightInd w:val="0"/>
        <w:snapToGrid w:val="0"/>
        <w:spacing w:before="142" w:beforeLines="30"/>
        <w:ind w:firstLine="453"/>
        <w:textAlignment w:val="auto"/>
        <w:rPr>
          <w:rFonts w:hint="eastAsia" w:ascii="Times New Roman" w:hAnsi="Times New Roman" w:eastAsia="宋体" w:cs="Times New Roman"/>
          <w:color w:val="auto"/>
          <w:sz w:val="24"/>
          <w:szCs w:val="20"/>
          <w:highlight w:val="none"/>
          <w:u w:val="none"/>
          <w:lang w:val="en-US" w:eastAsia="zh-CN" w:bidi="ar-SA"/>
        </w:rPr>
      </w:pPr>
      <w:r>
        <w:rPr>
          <w:rFonts w:hint="eastAsia" w:ascii="Times New Roman" w:hAnsi="Times New Roman" w:eastAsia="宋体" w:cs="Times New Roman"/>
          <w:color w:val="auto"/>
          <w:sz w:val="24"/>
          <w:szCs w:val="20"/>
          <w:highlight w:val="none"/>
          <w:u w:val="none"/>
          <w:lang w:val="en-US" w:eastAsia="zh-CN" w:bidi="ar-SA"/>
        </w:rPr>
        <w:t>项目施工期对临时中转场内的淤泥进行洒水降尘，采取临时覆盖等措施</w:t>
      </w:r>
      <w:r>
        <w:rPr>
          <w:rFonts w:hint="eastAsia" w:ascii="Times New Roman" w:cs="Times New Roman"/>
          <w:color w:val="auto"/>
          <w:sz w:val="24"/>
          <w:szCs w:val="20"/>
          <w:highlight w:val="none"/>
          <w:u w:val="none"/>
          <w:lang w:val="en-US" w:eastAsia="zh-CN" w:bidi="ar-SA"/>
        </w:rPr>
        <w:t>，淤泥干化后及时用于钦州港路、曲绣路覆土；规划道路回填区（钦州港路、曲绣路）因施工活动路基表面无法采取覆盖措施，通过对边坡进行覆盖，加强洒水，</w:t>
      </w:r>
      <w:r>
        <w:rPr>
          <w:rFonts w:hint="eastAsia" w:ascii="Times New Roman" w:hAnsi="Times New Roman" w:eastAsia="宋体" w:cs="Times New Roman"/>
          <w:color w:val="auto"/>
          <w:sz w:val="24"/>
          <w:szCs w:val="20"/>
          <w:highlight w:val="none"/>
          <w:u w:val="none"/>
          <w:lang w:val="en-US" w:eastAsia="zh-CN" w:bidi="ar-SA"/>
        </w:rPr>
        <w:t>可有效抑制</w:t>
      </w:r>
      <w:r>
        <w:rPr>
          <w:rFonts w:hint="eastAsia" w:ascii="Times New Roman" w:cs="Times New Roman"/>
          <w:color w:val="auto"/>
          <w:sz w:val="24"/>
          <w:szCs w:val="20"/>
          <w:highlight w:val="none"/>
          <w:u w:val="none"/>
          <w:lang w:val="en-US" w:eastAsia="zh-CN" w:bidi="ar-SA"/>
        </w:rPr>
        <w:t>规划道路回填区扬尘</w:t>
      </w:r>
      <w:r>
        <w:rPr>
          <w:rFonts w:hint="eastAsia" w:ascii="Times New Roman" w:hAnsi="Times New Roman" w:eastAsia="宋体" w:cs="Times New Roman"/>
          <w:color w:val="auto"/>
          <w:sz w:val="24"/>
          <w:szCs w:val="20"/>
          <w:highlight w:val="none"/>
          <w:u w:val="none"/>
          <w:lang w:val="en-US" w:eastAsia="zh-CN" w:bidi="ar-SA"/>
        </w:rPr>
        <w:t>的产生</w:t>
      </w:r>
      <w:r>
        <w:rPr>
          <w:rFonts w:hint="eastAsia" w:ascii="Times New Roman" w:cs="Times New Roman"/>
          <w:color w:val="auto"/>
          <w:sz w:val="24"/>
          <w:szCs w:val="20"/>
          <w:highlight w:val="none"/>
          <w:u w:val="none"/>
          <w:lang w:val="en-US" w:eastAsia="zh-CN" w:bidi="ar-SA"/>
        </w:rPr>
        <w:t>，</w:t>
      </w:r>
      <w:r>
        <w:rPr>
          <w:rFonts w:hint="eastAsia" w:ascii="Times New Roman" w:cs="Times New Roman"/>
          <w:color w:val="auto"/>
          <w:highlight w:val="none"/>
          <w:u w:val="none"/>
          <w:lang w:eastAsia="zh-CN"/>
        </w:rPr>
        <w:t>临时中转场及规划道路回填区</w:t>
      </w:r>
      <w:r>
        <w:rPr>
          <w:rFonts w:hint="eastAsia" w:ascii="Times New Roman" w:hAnsi="Times New Roman" w:eastAsia="宋体" w:cs="Times New Roman"/>
          <w:color w:val="auto"/>
          <w:sz w:val="24"/>
          <w:szCs w:val="20"/>
          <w:highlight w:val="none"/>
          <w:u w:val="none"/>
          <w:lang w:val="en-US" w:eastAsia="zh-CN" w:bidi="ar-SA"/>
        </w:rPr>
        <w:t>对周边环境影响不大。</w:t>
      </w:r>
    </w:p>
    <w:p w14:paraId="5BF8E217">
      <w:pPr>
        <w:pStyle w:val="6"/>
        <w:numPr>
          <w:ilvl w:val="3"/>
          <w:numId w:val="40"/>
        </w:numPr>
        <w:bidi w:val="0"/>
        <w:ind w:left="0" w:leftChars="0" w:firstLine="0" w:firstLineChars="0"/>
        <w:rPr>
          <w:rFonts w:hint="default"/>
          <w:color w:val="auto"/>
          <w:highlight w:val="none"/>
          <w:lang w:eastAsia="zh-CN"/>
        </w:rPr>
      </w:pPr>
      <w:r>
        <w:rPr>
          <w:rFonts w:hint="default"/>
          <w:color w:val="auto"/>
          <w:highlight w:val="none"/>
          <w:lang w:eastAsia="zh-CN"/>
        </w:rPr>
        <w:t>淤泥干化恶臭影响</w:t>
      </w:r>
    </w:p>
    <w:p w14:paraId="7B535117">
      <w:pPr>
        <w:pStyle w:val="410"/>
        <w:rPr>
          <w:rFonts w:hint="eastAsia" w:ascii="Times New Roman" w:cs="Times New Roman"/>
          <w:color w:val="auto"/>
          <w:highlight w:val="none"/>
          <w:u w:val="none"/>
          <w:lang w:eastAsia="zh-CN"/>
        </w:rPr>
      </w:pPr>
      <w:r>
        <w:rPr>
          <w:rFonts w:hint="eastAsia" w:ascii="Times New Roman" w:cs="Times New Roman"/>
          <w:color w:val="auto"/>
          <w:highlight w:val="none"/>
          <w:u w:val="none"/>
          <w:lang w:eastAsia="zh-CN"/>
        </w:rPr>
        <w:t>根据项目施工设计方案，本项目水系改造段需先进行清淤换填，淤泥置于临时中转场中晒干后用于钦州港路、曲绣路边坡绿化覆土。清淤底泥晾晒过程中，底泥厌氧分解会产生一些具有臭味的物质（如H</w:t>
      </w:r>
      <w:r>
        <w:rPr>
          <w:rFonts w:hint="eastAsia" w:ascii="Times New Roman" w:cs="Times New Roman"/>
          <w:color w:val="auto"/>
          <w:highlight w:val="none"/>
          <w:u w:val="none"/>
          <w:vertAlign w:val="subscript"/>
          <w:lang w:eastAsia="zh-CN"/>
        </w:rPr>
        <w:t>2</w:t>
      </w:r>
      <w:r>
        <w:rPr>
          <w:rFonts w:hint="eastAsia" w:ascii="Times New Roman" w:cs="Times New Roman"/>
          <w:color w:val="auto"/>
          <w:highlight w:val="none"/>
          <w:u w:val="none"/>
          <w:lang w:eastAsia="zh-CN"/>
        </w:rPr>
        <w:t>S、NH</w:t>
      </w:r>
      <w:r>
        <w:rPr>
          <w:rFonts w:hint="eastAsia" w:ascii="Times New Roman" w:cs="Times New Roman"/>
          <w:color w:val="auto"/>
          <w:highlight w:val="none"/>
          <w:u w:val="none"/>
          <w:vertAlign w:val="subscript"/>
          <w:lang w:eastAsia="zh-CN"/>
        </w:rPr>
        <w:t>3</w:t>
      </w:r>
      <w:r>
        <w:rPr>
          <w:rFonts w:hint="eastAsia" w:ascii="Times New Roman" w:cs="Times New Roman"/>
          <w:color w:val="auto"/>
          <w:highlight w:val="none"/>
          <w:u w:val="none"/>
          <w:lang w:eastAsia="zh-CN"/>
        </w:rPr>
        <w:t>等），这些具有臭味的物质会挥发进入大气，影响周围的环境空气质量。</w:t>
      </w:r>
    </w:p>
    <w:p w14:paraId="6BCF8A98">
      <w:pPr>
        <w:pStyle w:val="410"/>
        <w:rPr>
          <w:rFonts w:hint="eastAsia" w:ascii="Times New Roman" w:cs="Times New Roman"/>
          <w:color w:val="auto"/>
          <w:highlight w:val="none"/>
          <w:u w:val="none"/>
          <w:lang w:eastAsia="zh-CN"/>
        </w:rPr>
      </w:pPr>
      <w:r>
        <w:rPr>
          <w:rFonts w:hint="eastAsia" w:ascii="Times New Roman" w:cs="Times New Roman"/>
          <w:color w:val="auto"/>
          <w:highlight w:val="none"/>
          <w:u w:val="none"/>
          <w:lang w:eastAsia="zh-CN"/>
        </w:rPr>
        <w:t>本次环评对于清淤过程中产生的恶臭气体强度，采用常用的六级臭气强度评价法进行类比分析与评价。</w:t>
      </w:r>
    </w:p>
    <w:p w14:paraId="6D5403FE">
      <w:pPr>
        <w:pStyle w:val="410"/>
        <w:rPr>
          <w:rFonts w:hint="eastAsia" w:ascii="Times New Roman" w:cs="Times New Roman"/>
          <w:color w:val="auto"/>
          <w:highlight w:val="none"/>
          <w:u w:val="none"/>
          <w:lang w:eastAsia="zh-CN"/>
        </w:rPr>
      </w:pPr>
      <w:r>
        <w:rPr>
          <w:rFonts w:hint="eastAsia" w:ascii="Times New Roman" w:cs="Times New Roman"/>
          <w:color w:val="auto"/>
          <w:highlight w:val="none"/>
          <w:u w:val="none"/>
          <w:lang w:eastAsia="zh-CN"/>
        </w:rPr>
        <w:t>根据《环境科学大辞典》，臭气强度是以臭味的嗅觉阈值为基准划分等级的，共分为6级，见</w:t>
      </w:r>
      <w:r>
        <w:rPr>
          <w:rFonts w:hint="eastAsia" w:ascii="Times New Roman" w:cs="Times New Roman"/>
          <w:color w:val="auto"/>
          <w:highlight w:val="none"/>
          <w:u w:val="none"/>
          <w:lang w:eastAsia="zh-CN"/>
        </w:rPr>
        <w:fldChar w:fldCharType="begin"/>
      </w:r>
      <w:r>
        <w:rPr>
          <w:rFonts w:hint="eastAsia" w:ascii="Times New Roman" w:cs="Times New Roman"/>
          <w:color w:val="auto"/>
          <w:highlight w:val="none"/>
          <w:u w:val="none"/>
          <w:lang w:eastAsia="zh-CN"/>
        </w:rPr>
        <w:instrText xml:space="preserve"> REF _Ref23048 \r \h </w:instrText>
      </w:r>
      <w:r>
        <w:rPr>
          <w:rFonts w:hint="eastAsia" w:ascii="Times New Roman" w:cs="Times New Roman"/>
          <w:color w:val="auto"/>
          <w:highlight w:val="none"/>
          <w:u w:val="none"/>
          <w:lang w:eastAsia="zh-CN"/>
        </w:rPr>
        <w:fldChar w:fldCharType="separate"/>
      </w:r>
      <w:r>
        <w:rPr>
          <w:rFonts w:hint="eastAsia" w:ascii="Times New Roman" w:cs="Times New Roman"/>
          <w:color w:val="auto"/>
          <w:highlight w:val="none"/>
          <w:u w:val="none"/>
          <w:lang w:eastAsia="zh-CN"/>
        </w:rPr>
        <w:t>表4.2-6</w:t>
      </w:r>
      <w:r>
        <w:rPr>
          <w:rFonts w:hint="eastAsia" w:ascii="Times New Roman" w:cs="Times New Roman"/>
          <w:color w:val="auto"/>
          <w:highlight w:val="none"/>
          <w:u w:val="none"/>
          <w:lang w:eastAsia="zh-CN"/>
        </w:rPr>
        <w:fldChar w:fldCharType="end"/>
      </w:r>
      <w:r>
        <w:rPr>
          <w:rFonts w:hint="eastAsia" w:ascii="Times New Roman" w:cs="Times New Roman"/>
          <w:color w:val="auto"/>
          <w:highlight w:val="none"/>
          <w:u w:val="none"/>
          <w:lang w:eastAsia="zh-CN"/>
        </w:rPr>
        <w:t>。为防止臭气扩散影响周围环境，对臭气的限值要求一般相当于臭气强度2.5~3.5级，超出该强度范围，即认为发生恶臭污染，需采取措施。</w:t>
      </w:r>
    </w:p>
    <w:p w14:paraId="0B3BFEE5">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eastAsia" w:ascii="Times New Roman" w:cs="Times New Roman"/>
          <w:color w:val="auto"/>
          <w:highlight w:val="none"/>
          <w:u w:val="none"/>
          <w:lang w:eastAsia="zh-CN"/>
        </w:rPr>
      </w:pPr>
      <w:bookmarkStart w:id="114" w:name="_Ref23048"/>
      <w:r>
        <w:rPr>
          <w:rFonts w:hint="eastAsia" w:cs="Times New Roman"/>
          <w:color w:val="auto"/>
          <w:highlight w:val="none"/>
          <w:u w:val="none"/>
          <w:lang w:eastAsia="zh-CN"/>
        </w:rPr>
        <w:t>臭气强度分级</w:t>
      </w:r>
      <w:bookmarkEnd w:id="114"/>
    </w:p>
    <w:tbl>
      <w:tblPr>
        <w:tblStyle w:val="1679"/>
        <w:tblW w:w="4999" w:type="pct"/>
        <w:tblInd w:w="0" w:type="dxa"/>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autofit"/>
        <w:tblCellMar>
          <w:top w:w="0" w:type="dxa"/>
          <w:left w:w="0" w:type="dxa"/>
          <w:bottom w:w="0" w:type="dxa"/>
          <w:right w:w="0" w:type="dxa"/>
        </w:tblCellMar>
      </w:tblPr>
      <w:tblGrid>
        <w:gridCol w:w="1813"/>
        <w:gridCol w:w="6827"/>
      </w:tblGrid>
      <w:tr w14:paraId="4C06FDAC">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0" w:type="dxa"/>
            <w:bottom w:w="0" w:type="dxa"/>
            <w:right w:w="0" w:type="dxa"/>
          </w:tblCellMar>
        </w:tblPrEx>
        <w:trPr>
          <w:trHeight w:val="247" w:hRule="atLeast"/>
        </w:trPr>
        <w:tc>
          <w:tcPr>
            <w:tcW w:w="1049" w:type="pct"/>
            <w:noWrap w:val="0"/>
            <w:vAlign w:val="center"/>
          </w:tcPr>
          <w:p w14:paraId="1C7DE5A0">
            <w:pPr>
              <w:autoSpaceDE/>
              <w:autoSpaceDN/>
              <w:spacing w:line="360" w:lineRule="exact"/>
              <w:jc w:val="center"/>
              <w:rPr>
                <w:rFonts w:hint="default" w:ascii="Times New Roman" w:hAnsi="Times New Roman" w:cs="Times New Roman"/>
                <w:b/>
                <w:bCs/>
                <w:color w:val="auto"/>
                <w:szCs w:val="21"/>
                <w:highlight w:val="none"/>
                <w:lang w:eastAsia="en-US"/>
              </w:rPr>
            </w:pPr>
            <w:r>
              <w:rPr>
                <w:rFonts w:hint="default" w:ascii="Times New Roman" w:hAnsi="Times New Roman" w:cs="Times New Roman"/>
                <w:b/>
                <w:bCs/>
                <w:color w:val="auto"/>
                <w:szCs w:val="21"/>
                <w:highlight w:val="none"/>
                <w:lang w:eastAsia="en-US"/>
              </w:rPr>
              <w:t>强度等级</w:t>
            </w:r>
          </w:p>
        </w:tc>
        <w:tc>
          <w:tcPr>
            <w:tcW w:w="3950" w:type="pct"/>
            <w:noWrap w:val="0"/>
            <w:vAlign w:val="center"/>
          </w:tcPr>
          <w:p w14:paraId="37959C66">
            <w:pPr>
              <w:autoSpaceDE/>
              <w:autoSpaceDN/>
              <w:spacing w:line="360" w:lineRule="exact"/>
              <w:jc w:val="center"/>
              <w:rPr>
                <w:rFonts w:hint="default" w:ascii="Times New Roman" w:hAnsi="Times New Roman" w:cs="Times New Roman"/>
                <w:b/>
                <w:bCs/>
                <w:color w:val="auto"/>
                <w:szCs w:val="21"/>
                <w:highlight w:val="none"/>
                <w:lang w:eastAsia="en-US"/>
              </w:rPr>
            </w:pPr>
            <w:r>
              <w:rPr>
                <w:rFonts w:hint="default" w:ascii="Times New Roman" w:hAnsi="Times New Roman" w:cs="Times New Roman"/>
                <w:b/>
                <w:bCs/>
                <w:color w:val="auto"/>
                <w:szCs w:val="21"/>
                <w:highlight w:val="none"/>
                <w:lang w:eastAsia="en-US"/>
              </w:rPr>
              <w:t>嗅觉判别标准</w:t>
            </w:r>
          </w:p>
        </w:tc>
      </w:tr>
      <w:tr w14:paraId="686FD8C8">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0" w:type="dxa"/>
            <w:bottom w:w="0" w:type="dxa"/>
            <w:right w:w="0" w:type="dxa"/>
          </w:tblCellMar>
        </w:tblPrEx>
        <w:trPr>
          <w:trHeight w:val="257" w:hRule="atLeast"/>
        </w:trPr>
        <w:tc>
          <w:tcPr>
            <w:tcW w:w="1049" w:type="pct"/>
            <w:noWrap w:val="0"/>
            <w:vAlign w:val="center"/>
          </w:tcPr>
          <w:p w14:paraId="32041C36">
            <w:pPr>
              <w:autoSpaceDE/>
              <w:autoSpaceDN/>
              <w:spacing w:line="360" w:lineRule="exact"/>
              <w:jc w:val="center"/>
              <w:rPr>
                <w:rFonts w:hint="default" w:ascii="Times New Roman" w:hAnsi="Times New Roman" w:cs="Times New Roman"/>
                <w:color w:val="auto"/>
                <w:szCs w:val="21"/>
                <w:highlight w:val="none"/>
                <w:lang w:eastAsia="en-US"/>
              </w:rPr>
            </w:pPr>
            <w:r>
              <w:rPr>
                <w:rFonts w:hint="default" w:ascii="Times New Roman" w:hAnsi="Times New Roman" w:cs="Times New Roman"/>
                <w:color w:val="auto"/>
                <w:szCs w:val="21"/>
                <w:highlight w:val="none"/>
                <w:lang w:eastAsia="en-US"/>
              </w:rPr>
              <w:t>0</w:t>
            </w:r>
          </w:p>
        </w:tc>
        <w:tc>
          <w:tcPr>
            <w:tcW w:w="3950" w:type="pct"/>
            <w:noWrap w:val="0"/>
            <w:vAlign w:val="center"/>
          </w:tcPr>
          <w:p w14:paraId="39ACA319">
            <w:pPr>
              <w:autoSpaceDE/>
              <w:autoSpaceDN/>
              <w:spacing w:line="360" w:lineRule="exact"/>
              <w:jc w:val="center"/>
              <w:rPr>
                <w:rFonts w:hint="default" w:ascii="Times New Roman" w:hAnsi="Times New Roman" w:cs="Times New Roman"/>
                <w:color w:val="auto"/>
                <w:szCs w:val="21"/>
                <w:highlight w:val="none"/>
                <w:lang w:eastAsia="en-US"/>
              </w:rPr>
            </w:pPr>
            <w:r>
              <w:rPr>
                <w:rFonts w:hint="default" w:ascii="Times New Roman" w:hAnsi="Times New Roman" w:cs="Times New Roman"/>
                <w:color w:val="auto"/>
                <w:szCs w:val="21"/>
                <w:highlight w:val="none"/>
                <w:lang w:eastAsia="en-US"/>
              </w:rPr>
              <w:t>无臭</w:t>
            </w:r>
          </w:p>
        </w:tc>
      </w:tr>
      <w:tr w14:paraId="59A6BC02">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0" w:type="dxa"/>
            <w:bottom w:w="0" w:type="dxa"/>
            <w:right w:w="0" w:type="dxa"/>
          </w:tblCellMar>
        </w:tblPrEx>
        <w:trPr>
          <w:trHeight w:val="237" w:hRule="atLeast"/>
        </w:trPr>
        <w:tc>
          <w:tcPr>
            <w:tcW w:w="1049" w:type="pct"/>
            <w:noWrap w:val="0"/>
            <w:vAlign w:val="center"/>
          </w:tcPr>
          <w:p w14:paraId="5E7DFCBA">
            <w:pPr>
              <w:autoSpaceDE/>
              <w:autoSpaceDN/>
              <w:spacing w:line="360" w:lineRule="exact"/>
              <w:jc w:val="center"/>
              <w:rPr>
                <w:rFonts w:hint="default" w:ascii="Times New Roman" w:hAnsi="Times New Roman" w:cs="Times New Roman"/>
                <w:color w:val="auto"/>
                <w:szCs w:val="21"/>
                <w:highlight w:val="none"/>
                <w:lang w:eastAsia="en-US"/>
              </w:rPr>
            </w:pPr>
            <w:r>
              <w:rPr>
                <w:rFonts w:hint="default" w:ascii="Times New Roman" w:hAnsi="Times New Roman" w:cs="Times New Roman"/>
                <w:color w:val="auto"/>
                <w:szCs w:val="21"/>
                <w:highlight w:val="none"/>
                <w:lang w:eastAsia="en-US"/>
              </w:rPr>
              <w:t>1</w:t>
            </w:r>
          </w:p>
        </w:tc>
        <w:tc>
          <w:tcPr>
            <w:tcW w:w="3950" w:type="pct"/>
            <w:noWrap w:val="0"/>
            <w:vAlign w:val="center"/>
          </w:tcPr>
          <w:p w14:paraId="34207EB6">
            <w:pPr>
              <w:autoSpaceDE/>
              <w:autoSpaceDN/>
              <w:spacing w:line="360" w:lineRule="exact"/>
              <w:jc w:val="center"/>
              <w:rPr>
                <w:rFonts w:hint="default" w:ascii="Times New Roman" w:hAnsi="Times New Roman" w:cs="Times New Roman"/>
                <w:color w:val="auto"/>
                <w:szCs w:val="21"/>
                <w:highlight w:val="none"/>
                <w:lang w:eastAsia="en-US"/>
              </w:rPr>
            </w:pPr>
            <w:r>
              <w:rPr>
                <w:rFonts w:hint="default" w:ascii="Times New Roman" w:hAnsi="Times New Roman" w:cs="Times New Roman"/>
                <w:color w:val="auto"/>
                <w:szCs w:val="21"/>
                <w:highlight w:val="none"/>
                <w:lang w:eastAsia="en-US"/>
              </w:rPr>
              <w:t>勉强可以感到轻微臭味（检知阈值浓度）</w:t>
            </w:r>
          </w:p>
        </w:tc>
      </w:tr>
      <w:tr w14:paraId="4654B4F9">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0" w:type="dxa"/>
            <w:bottom w:w="0" w:type="dxa"/>
            <w:right w:w="0" w:type="dxa"/>
          </w:tblCellMar>
        </w:tblPrEx>
        <w:trPr>
          <w:trHeight w:val="257" w:hRule="atLeast"/>
        </w:trPr>
        <w:tc>
          <w:tcPr>
            <w:tcW w:w="1049" w:type="pct"/>
            <w:noWrap w:val="0"/>
            <w:vAlign w:val="center"/>
          </w:tcPr>
          <w:p w14:paraId="7D6447CC">
            <w:pPr>
              <w:autoSpaceDE/>
              <w:autoSpaceDN/>
              <w:spacing w:line="360" w:lineRule="exact"/>
              <w:jc w:val="center"/>
              <w:rPr>
                <w:rFonts w:hint="default" w:ascii="Times New Roman" w:hAnsi="Times New Roman" w:cs="Times New Roman"/>
                <w:color w:val="auto"/>
                <w:szCs w:val="21"/>
                <w:highlight w:val="none"/>
                <w:lang w:eastAsia="en-US"/>
              </w:rPr>
            </w:pPr>
            <w:r>
              <w:rPr>
                <w:rFonts w:hint="default" w:ascii="Times New Roman" w:hAnsi="Times New Roman" w:cs="Times New Roman"/>
                <w:color w:val="auto"/>
                <w:szCs w:val="21"/>
                <w:highlight w:val="none"/>
                <w:lang w:eastAsia="en-US"/>
              </w:rPr>
              <w:t>2</w:t>
            </w:r>
          </w:p>
        </w:tc>
        <w:tc>
          <w:tcPr>
            <w:tcW w:w="3950" w:type="pct"/>
            <w:noWrap w:val="0"/>
            <w:vAlign w:val="center"/>
          </w:tcPr>
          <w:p w14:paraId="4EDF7898">
            <w:pPr>
              <w:autoSpaceDE/>
              <w:autoSpaceDN/>
              <w:spacing w:line="360" w:lineRule="exact"/>
              <w:jc w:val="center"/>
              <w:rPr>
                <w:rFonts w:hint="default" w:ascii="Times New Roman" w:hAnsi="Times New Roman" w:cs="Times New Roman"/>
                <w:color w:val="auto"/>
                <w:szCs w:val="21"/>
                <w:highlight w:val="none"/>
                <w:lang w:eastAsia="en-US"/>
              </w:rPr>
            </w:pPr>
            <w:r>
              <w:rPr>
                <w:rFonts w:hint="default" w:ascii="Times New Roman" w:hAnsi="Times New Roman" w:cs="Times New Roman"/>
                <w:color w:val="auto"/>
                <w:szCs w:val="21"/>
                <w:highlight w:val="none"/>
                <w:lang w:eastAsia="en-US"/>
              </w:rPr>
              <w:t>容易感到轻微臭味（认知阈值浓度）</w:t>
            </w:r>
          </w:p>
        </w:tc>
      </w:tr>
      <w:tr w14:paraId="5AAF5427">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0" w:type="dxa"/>
            <w:bottom w:w="0" w:type="dxa"/>
            <w:right w:w="0" w:type="dxa"/>
          </w:tblCellMar>
        </w:tblPrEx>
        <w:trPr>
          <w:trHeight w:val="238" w:hRule="atLeast"/>
        </w:trPr>
        <w:tc>
          <w:tcPr>
            <w:tcW w:w="1049" w:type="pct"/>
            <w:noWrap w:val="0"/>
            <w:vAlign w:val="center"/>
          </w:tcPr>
          <w:p w14:paraId="6BFF2460">
            <w:pPr>
              <w:autoSpaceDE/>
              <w:autoSpaceDN/>
              <w:spacing w:line="360" w:lineRule="exact"/>
              <w:jc w:val="center"/>
              <w:rPr>
                <w:rFonts w:hint="default" w:ascii="Times New Roman" w:hAnsi="Times New Roman" w:cs="Times New Roman"/>
                <w:color w:val="auto"/>
                <w:szCs w:val="21"/>
                <w:highlight w:val="none"/>
                <w:lang w:eastAsia="en-US"/>
              </w:rPr>
            </w:pPr>
            <w:r>
              <w:rPr>
                <w:rFonts w:hint="default" w:ascii="Times New Roman" w:hAnsi="Times New Roman" w:cs="Times New Roman"/>
                <w:color w:val="auto"/>
                <w:szCs w:val="21"/>
                <w:highlight w:val="none"/>
                <w:lang w:eastAsia="en-US"/>
              </w:rPr>
              <w:t>3</w:t>
            </w:r>
          </w:p>
        </w:tc>
        <w:tc>
          <w:tcPr>
            <w:tcW w:w="3950" w:type="pct"/>
            <w:noWrap w:val="0"/>
            <w:vAlign w:val="center"/>
          </w:tcPr>
          <w:p w14:paraId="3E20DB65">
            <w:pPr>
              <w:autoSpaceDE/>
              <w:autoSpaceDN/>
              <w:spacing w:line="360" w:lineRule="exact"/>
              <w:jc w:val="center"/>
              <w:rPr>
                <w:rFonts w:hint="default" w:ascii="Times New Roman" w:hAnsi="Times New Roman" w:cs="Times New Roman"/>
                <w:color w:val="auto"/>
                <w:szCs w:val="21"/>
                <w:highlight w:val="none"/>
                <w:lang w:eastAsia="en-US"/>
              </w:rPr>
            </w:pPr>
            <w:r>
              <w:rPr>
                <w:rFonts w:hint="default" w:ascii="Times New Roman" w:hAnsi="Times New Roman" w:cs="Times New Roman"/>
                <w:color w:val="auto"/>
                <w:szCs w:val="21"/>
                <w:highlight w:val="none"/>
                <w:lang w:eastAsia="en-US"/>
              </w:rPr>
              <w:t>明显感到臭味</w:t>
            </w:r>
          </w:p>
        </w:tc>
      </w:tr>
      <w:tr w14:paraId="0DE4A681">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0" w:type="dxa"/>
            <w:bottom w:w="0" w:type="dxa"/>
            <w:right w:w="0" w:type="dxa"/>
          </w:tblCellMar>
        </w:tblPrEx>
        <w:trPr>
          <w:trHeight w:val="257" w:hRule="atLeast"/>
        </w:trPr>
        <w:tc>
          <w:tcPr>
            <w:tcW w:w="1049" w:type="pct"/>
            <w:noWrap w:val="0"/>
            <w:vAlign w:val="center"/>
          </w:tcPr>
          <w:p w14:paraId="3501EE71">
            <w:pPr>
              <w:autoSpaceDE/>
              <w:autoSpaceDN/>
              <w:spacing w:line="360" w:lineRule="exact"/>
              <w:jc w:val="center"/>
              <w:rPr>
                <w:rFonts w:hint="default" w:ascii="Times New Roman" w:hAnsi="Times New Roman" w:cs="Times New Roman"/>
                <w:color w:val="auto"/>
                <w:szCs w:val="21"/>
                <w:highlight w:val="none"/>
                <w:lang w:eastAsia="en-US"/>
              </w:rPr>
            </w:pPr>
            <w:r>
              <w:rPr>
                <w:rFonts w:hint="default" w:ascii="Times New Roman" w:hAnsi="Times New Roman" w:cs="Times New Roman"/>
                <w:color w:val="auto"/>
                <w:szCs w:val="21"/>
                <w:highlight w:val="none"/>
                <w:lang w:eastAsia="en-US"/>
              </w:rPr>
              <w:t>4</w:t>
            </w:r>
          </w:p>
        </w:tc>
        <w:tc>
          <w:tcPr>
            <w:tcW w:w="3950" w:type="pct"/>
            <w:noWrap w:val="0"/>
            <w:vAlign w:val="center"/>
          </w:tcPr>
          <w:p w14:paraId="6A860136">
            <w:pPr>
              <w:autoSpaceDE/>
              <w:autoSpaceDN/>
              <w:spacing w:line="360" w:lineRule="exact"/>
              <w:jc w:val="center"/>
              <w:rPr>
                <w:rFonts w:hint="default" w:ascii="Times New Roman" w:hAnsi="Times New Roman" w:cs="Times New Roman"/>
                <w:color w:val="auto"/>
                <w:szCs w:val="21"/>
                <w:highlight w:val="none"/>
                <w:lang w:eastAsia="en-US"/>
              </w:rPr>
            </w:pPr>
            <w:r>
              <w:rPr>
                <w:rFonts w:hint="default" w:ascii="Times New Roman" w:hAnsi="Times New Roman" w:cs="Times New Roman"/>
                <w:color w:val="auto"/>
                <w:szCs w:val="21"/>
                <w:highlight w:val="none"/>
                <w:lang w:eastAsia="en-US"/>
              </w:rPr>
              <w:t>强烈臭味</w:t>
            </w:r>
          </w:p>
        </w:tc>
      </w:tr>
      <w:tr w14:paraId="0054819E">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0" w:type="dxa"/>
            <w:bottom w:w="0" w:type="dxa"/>
            <w:right w:w="0" w:type="dxa"/>
          </w:tblCellMar>
        </w:tblPrEx>
        <w:trPr>
          <w:trHeight w:val="247" w:hRule="atLeast"/>
        </w:trPr>
        <w:tc>
          <w:tcPr>
            <w:tcW w:w="1049" w:type="pct"/>
            <w:noWrap w:val="0"/>
            <w:vAlign w:val="center"/>
          </w:tcPr>
          <w:p w14:paraId="53340372">
            <w:pPr>
              <w:autoSpaceDE/>
              <w:autoSpaceDN/>
              <w:spacing w:line="360" w:lineRule="exact"/>
              <w:jc w:val="center"/>
              <w:rPr>
                <w:rFonts w:hint="default" w:ascii="Times New Roman" w:hAnsi="Times New Roman" w:cs="Times New Roman"/>
                <w:color w:val="auto"/>
                <w:szCs w:val="21"/>
                <w:highlight w:val="none"/>
                <w:lang w:eastAsia="en-US"/>
              </w:rPr>
            </w:pPr>
            <w:r>
              <w:rPr>
                <w:rFonts w:hint="default" w:ascii="Times New Roman" w:hAnsi="Times New Roman" w:cs="Times New Roman"/>
                <w:color w:val="auto"/>
                <w:szCs w:val="21"/>
                <w:highlight w:val="none"/>
                <w:lang w:eastAsia="en-US"/>
              </w:rPr>
              <w:t>5</w:t>
            </w:r>
          </w:p>
        </w:tc>
        <w:tc>
          <w:tcPr>
            <w:tcW w:w="3950" w:type="pct"/>
            <w:noWrap w:val="0"/>
            <w:vAlign w:val="center"/>
          </w:tcPr>
          <w:p w14:paraId="76B6631A">
            <w:pPr>
              <w:autoSpaceDE/>
              <w:autoSpaceDN/>
              <w:spacing w:line="360" w:lineRule="exact"/>
              <w:jc w:val="center"/>
              <w:rPr>
                <w:rFonts w:hint="default" w:ascii="Times New Roman" w:hAnsi="Times New Roman" w:cs="Times New Roman"/>
                <w:color w:val="auto"/>
                <w:szCs w:val="21"/>
                <w:highlight w:val="none"/>
                <w:lang w:eastAsia="en-US"/>
              </w:rPr>
            </w:pPr>
            <w:r>
              <w:rPr>
                <w:rFonts w:hint="default" w:ascii="Times New Roman" w:hAnsi="Times New Roman" w:cs="Times New Roman"/>
                <w:color w:val="auto"/>
                <w:szCs w:val="21"/>
                <w:highlight w:val="none"/>
                <w:lang w:eastAsia="en-US"/>
              </w:rPr>
              <w:t>无法忍受的强烈臭味</w:t>
            </w:r>
          </w:p>
        </w:tc>
      </w:tr>
    </w:tbl>
    <w:p w14:paraId="4427DE48">
      <w:pPr>
        <w:spacing w:line="360" w:lineRule="auto"/>
        <w:ind w:firstLine="442" w:firstLineChars="200"/>
        <w:rPr>
          <w:color w:val="auto"/>
          <w:sz w:val="24"/>
          <w:szCs w:val="24"/>
          <w:highlight w:val="none"/>
        </w:rPr>
      </w:pPr>
      <w:r>
        <w:rPr>
          <w:color w:val="auto"/>
          <w:sz w:val="24"/>
          <w:szCs w:val="24"/>
          <w:highlight w:val="none"/>
        </w:rPr>
        <w:t>类比同类项目，</w:t>
      </w:r>
      <w:r>
        <w:rPr>
          <w:rFonts w:hint="eastAsia"/>
          <w:color w:val="auto"/>
          <w:sz w:val="24"/>
          <w:szCs w:val="24"/>
          <w:highlight w:val="none"/>
          <w:lang w:eastAsia="zh-CN"/>
        </w:rPr>
        <w:t>项目淤泥堆放</w:t>
      </w:r>
      <w:r>
        <w:rPr>
          <w:color w:val="auto"/>
          <w:sz w:val="24"/>
          <w:szCs w:val="24"/>
          <w:highlight w:val="none"/>
        </w:rPr>
        <w:t>臭气强度见</w:t>
      </w:r>
      <w:r>
        <w:rPr>
          <w:rFonts w:hint="eastAsia" w:ascii="Times New Roman" w:cs="Times New Roman"/>
          <w:color w:val="auto"/>
          <w:highlight w:val="none"/>
          <w:u w:val="none"/>
          <w:lang w:eastAsia="zh-CN"/>
        </w:rPr>
        <w:fldChar w:fldCharType="begin"/>
      </w:r>
      <w:r>
        <w:rPr>
          <w:rFonts w:hint="eastAsia" w:ascii="Times New Roman" w:cs="Times New Roman"/>
          <w:color w:val="auto"/>
          <w:highlight w:val="none"/>
          <w:u w:val="none"/>
          <w:lang w:eastAsia="zh-CN"/>
        </w:rPr>
        <w:instrText xml:space="preserve"> REF _Ref23061 \r \h </w:instrText>
      </w:r>
      <w:r>
        <w:rPr>
          <w:rFonts w:hint="eastAsia" w:ascii="Times New Roman" w:cs="Times New Roman"/>
          <w:color w:val="auto"/>
          <w:highlight w:val="none"/>
          <w:u w:val="none"/>
          <w:lang w:eastAsia="zh-CN"/>
        </w:rPr>
        <w:fldChar w:fldCharType="separate"/>
      </w:r>
      <w:r>
        <w:rPr>
          <w:rFonts w:hint="eastAsia" w:ascii="Times New Roman" w:cs="Times New Roman"/>
          <w:color w:val="auto"/>
          <w:highlight w:val="none"/>
          <w:u w:val="none"/>
          <w:lang w:eastAsia="zh-CN"/>
        </w:rPr>
        <w:t>表4.2-7</w:t>
      </w:r>
      <w:r>
        <w:rPr>
          <w:rFonts w:hint="eastAsia" w:ascii="Times New Roman" w:cs="Times New Roman"/>
          <w:color w:val="auto"/>
          <w:highlight w:val="none"/>
          <w:u w:val="none"/>
          <w:lang w:eastAsia="zh-CN"/>
        </w:rPr>
        <w:fldChar w:fldCharType="end"/>
      </w:r>
      <w:r>
        <w:rPr>
          <w:rFonts w:hint="eastAsia" w:ascii="Times New Roman" w:cs="Times New Roman"/>
          <w:color w:val="auto"/>
          <w:highlight w:val="none"/>
          <w:u w:val="none"/>
          <w:lang w:val="en-US" w:eastAsia="zh-CN"/>
        </w:rPr>
        <w:t xml:space="preserve"> </w:t>
      </w:r>
      <w:r>
        <w:rPr>
          <w:color w:val="auto"/>
          <w:sz w:val="24"/>
          <w:szCs w:val="24"/>
          <w:highlight w:val="none"/>
        </w:rPr>
        <w:t>。</w:t>
      </w:r>
    </w:p>
    <w:p w14:paraId="15F05AA7">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color w:val="auto"/>
          <w:sz w:val="24"/>
          <w:szCs w:val="24"/>
          <w:highlight w:val="none"/>
        </w:rPr>
      </w:pPr>
      <w:bookmarkStart w:id="115" w:name="_Ref23061"/>
      <w:r>
        <w:rPr>
          <w:rFonts w:hint="eastAsia"/>
          <w:color w:val="auto"/>
          <w:sz w:val="24"/>
          <w:szCs w:val="24"/>
          <w:highlight w:val="none"/>
          <w:lang w:eastAsia="zh-CN"/>
        </w:rPr>
        <w:t>清淤臭气强度</w:t>
      </w:r>
      <w:bookmarkEnd w:id="115"/>
    </w:p>
    <w:tbl>
      <w:tblPr>
        <w:tblStyle w:val="87"/>
        <w:tblW w:w="4997"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1585"/>
        <w:gridCol w:w="1938"/>
        <w:gridCol w:w="1765"/>
        <w:gridCol w:w="1765"/>
        <w:gridCol w:w="1770"/>
      </w:tblGrid>
      <w:tr w14:paraId="546D7D37">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165" w:hRule="atLeast"/>
        </w:trPr>
        <w:tc>
          <w:tcPr>
            <w:tcW w:w="898" w:type="pct"/>
            <w:vMerge w:val="restart"/>
            <w:tcBorders>
              <w:tl2br w:val="nil"/>
              <w:tr2bl w:val="nil"/>
            </w:tcBorders>
            <w:noWrap w:val="0"/>
            <w:vAlign w:val="center"/>
          </w:tcPr>
          <w:p w14:paraId="1326C88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距离</w:t>
            </w:r>
          </w:p>
        </w:tc>
        <w:tc>
          <w:tcPr>
            <w:tcW w:w="1098" w:type="pct"/>
            <w:vMerge w:val="restart"/>
            <w:tcBorders>
              <w:tl2br w:val="nil"/>
              <w:tr2bl w:val="nil"/>
            </w:tcBorders>
            <w:noWrap w:val="0"/>
            <w:vAlign w:val="center"/>
          </w:tcPr>
          <w:p w14:paraId="45AD380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臭气感觉强度</w:t>
            </w:r>
          </w:p>
        </w:tc>
        <w:tc>
          <w:tcPr>
            <w:tcW w:w="1000" w:type="pct"/>
            <w:vMerge w:val="restart"/>
            <w:tcBorders>
              <w:tl2br w:val="nil"/>
              <w:tr2bl w:val="nil"/>
            </w:tcBorders>
            <w:noWrap w:val="0"/>
            <w:vAlign w:val="center"/>
          </w:tcPr>
          <w:p w14:paraId="66BE118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级别</w:t>
            </w:r>
          </w:p>
        </w:tc>
        <w:tc>
          <w:tcPr>
            <w:tcW w:w="2003" w:type="pct"/>
            <w:gridSpan w:val="2"/>
            <w:tcBorders>
              <w:tl2br w:val="nil"/>
              <w:tr2bl w:val="nil"/>
            </w:tcBorders>
            <w:noWrap w:val="0"/>
            <w:vAlign w:val="center"/>
          </w:tcPr>
          <w:p w14:paraId="6FB8D49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b/>
                <w:bCs/>
                <w:color w:val="auto"/>
                <w:sz w:val="21"/>
                <w:szCs w:val="21"/>
                <w:highlight w:val="none"/>
              </w:rPr>
            </w:pPr>
            <w:r>
              <w:rPr>
                <w:rFonts w:hint="eastAsia" w:ascii="Times New Roman" w:cs="Times New Roman"/>
                <w:b/>
                <w:bCs/>
                <w:color w:val="auto"/>
                <w:sz w:val="21"/>
                <w:szCs w:val="21"/>
                <w:highlight w:val="none"/>
                <w:lang w:eastAsia="zh-CN"/>
              </w:rPr>
              <w:t>恶臭物质浓度</w:t>
            </w:r>
          </w:p>
        </w:tc>
      </w:tr>
      <w:tr w14:paraId="5EA3AF6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165" w:hRule="atLeast"/>
        </w:trPr>
        <w:tc>
          <w:tcPr>
            <w:tcW w:w="898" w:type="pct"/>
            <w:vMerge w:val="continue"/>
            <w:tcBorders>
              <w:tl2br w:val="nil"/>
              <w:tr2bl w:val="nil"/>
            </w:tcBorders>
            <w:noWrap w:val="0"/>
            <w:vAlign w:val="center"/>
          </w:tcPr>
          <w:p w14:paraId="736A893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auto"/>
                <w:highlight w:val="none"/>
              </w:rPr>
            </w:pPr>
          </w:p>
        </w:tc>
        <w:tc>
          <w:tcPr>
            <w:tcW w:w="1098" w:type="pct"/>
            <w:vMerge w:val="continue"/>
            <w:tcBorders>
              <w:tl2br w:val="nil"/>
              <w:tr2bl w:val="nil"/>
            </w:tcBorders>
            <w:noWrap w:val="0"/>
            <w:vAlign w:val="center"/>
          </w:tcPr>
          <w:p w14:paraId="1FF2713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auto"/>
                <w:highlight w:val="none"/>
              </w:rPr>
            </w:pPr>
          </w:p>
        </w:tc>
        <w:tc>
          <w:tcPr>
            <w:tcW w:w="1000" w:type="pct"/>
            <w:vMerge w:val="continue"/>
            <w:tcBorders>
              <w:tl2br w:val="nil"/>
              <w:tr2bl w:val="nil"/>
            </w:tcBorders>
            <w:noWrap w:val="0"/>
            <w:vAlign w:val="center"/>
          </w:tcPr>
          <w:p w14:paraId="2B902D7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auto"/>
                <w:highlight w:val="none"/>
              </w:rPr>
            </w:pPr>
          </w:p>
        </w:tc>
        <w:tc>
          <w:tcPr>
            <w:tcW w:w="1000" w:type="pct"/>
            <w:tcBorders>
              <w:tl2br w:val="nil"/>
              <w:tr2bl w:val="nil"/>
            </w:tcBorders>
            <w:noWrap w:val="0"/>
            <w:vAlign w:val="center"/>
          </w:tcPr>
          <w:p w14:paraId="7DB1FA8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cs="Times New Roman"/>
                <w:color w:val="auto"/>
                <w:sz w:val="21"/>
                <w:szCs w:val="21"/>
                <w:highlight w:val="none"/>
                <w:u w:val="single"/>
                <w:lang w:eastAsia="zh-CN"/>
              </w:rPr>
            </w:pPr>
            <w:r>
              <w:rPr>
                <w:rFonts w:hint="eastAsia" w:ascii="Times New Roman" w:cs="Times New Roman"/>
                <w:color w:val="auto"/>
                <w:sz w:val="21"/>
                <w:szCs w:val="21"/>
                <w:highlight w:val="none"/>
                <w:u w:val="single"/>
                <w:lang w:eastAsia="zh-CN"/>
              </w:rPr>
              <w:t>NH</w:t>
            </w:r>
            <w:r>
              <w:rPr>
                <w:rFonts w:hint="eastAsia" w:ascii="Times New Roman" w:cs="Times New Roman"/>
                <w:color w:val="auto"/>
                <w:sz w:val="21"/>
                <w:szCs w:val="21"/>
                <w:highlight w:val="none"/>
                <w:u w:val="single"/>
                <w:vertAlign w:val="subscript"/>
                <w:lang w:eastAsia="zh-CN"/>
              </w:rPr>
              <w:t>3</w:t>
            </w:r>
          </w:p>
        </w:tc>
        <w:tc>
          <w:tcPr>
            <w:tcW w:w="1003" w:type="pct"/>
            <w:tcBorders>
              <w:tl2br w:val="nil"/>
              <w:tr2bl w:val="nil"/>
            </w:tcBorders>
            <w:noWrap w:val="0"/>
            <w:vAlign w:val="center"/>
          </w:tcPr>
          <w:p w14:paraId="451782B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cs="Times New Roman"/>
                <w:color w:val="auto"/>
                <w:sz w:val="21"/>
                <w:szCs w:val="21"/>
                <w:highlight w:val="none"/>
                <w:u w:val="single"/>
                <w:lang w:eastAsia="zh-CN"/>
              </w:rPr>
            </w:pPr>
            <w:r>
              <w:rPr>
                <w:rFonts w:hint="eastAsia" w:ascii="Times New Roman" w:cs="Times New Roman"/>
                <w:color w:val="auto"/>
                <w:sz w:val="21"/>
                <w:szCs w:val="21"/>
                <w:highlight w:val="none"/>
                <w:u w:val="single"/>
                <w:lang w:eastAsia="zh-CN"/>
              </w:rPr>
              <w:t>H</w:t>
            </w:r>
            <w:r>
              <w:rPr>
                <w:rFonts w:hint="eastAsia" w:ascii="Times New Roman" w:cs="Times New Roman"/>
                <w:color w:val="auto"/>
                <w:sz w:val="21"/>
                <w:szCs w:val="21"/>
                <w:highlight w:val="none"/>
                <w:u w:val="single"/>
                <w:vertAlign w:val="subscript"/>
                <w:lang w:eastAsia="zh-CN"/>
              </w:rPr>
              <w:t>2</w:t>
            </w:r>
            <w:r>
              <w:rPr>
                <w:rFonts w:hint="eastAsia" w:ascii="Times New Roman" w:cs="Times New Roman"/>
                <w:color w:val="auto"/>
                <w:sz w:val="21"/>
                <w:szCs w:val="21"/>
                <w:highlight w:val="none"/>
                <w:u w:val="single"/>
                <w:lang w:eastAsia="zh-CN"/>
              </w:rPr>
              <w:t>S</w:t>
            </w:r>
          </w:p>
        </w:tc>
      </w:tr>
      <w:tr w14:paraId="3EF010E4">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898" w:type="pct"/>
            <w:tcBorders>
              <w:tl2br w:val="nil"/>
              <w:tr2bl w:val="nil"/>
            </w:tcBorders>
            <w:noWrap w:val="0"/>
            <w:vAlign w:val="center"/>
          </w:tcPr>
          <w:p w14:paraId="728F74B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sz w:val="21"/>
                <w:szCs w:val="21"/>
                <w:highlight w:val="none"/>
              </w:rPr>
            </w:pPr>
            <w:r>
              <w:rPr>
                <w:rFonts w:hint="eastAsia" w:ascii="Times New Roman" w:cs="Times New Roman"/>
                <w:color w:val="auto"/>
                <w:sz w:val="21"/>
                <w:szCs w:val="21"/>
                <w:highlight w:val="none"/>
                <w:lang w:eastAsia="zh-CN"/>
              </w:rPr>
              <w:t>淤泥</w:t>
            </w:r>
            <w:r>
              <w:rPr>
                <w:rFonts w:hint="default" w:ascii="Times New Roman" w:hAnsi="Times New Roman" w:cs="Times New Roman"/>
                <w:color w:val="auto"/>
                <w:sz w:val="21"/>
                <w:szCs w:val="21"/>
                <w:highlight w:val="none"/>
              </w:rPr>
              <w:t>堆放区</w:t>
            </w:r>
          </w:p>
        </w:tc>
        <w:tc>
          <w:tcPr>
            <w:tcW w:w="1098" w:type="pct"/>
            <w:tcBorders>
              <w:tl2br w:val="nil"/>
              <w:tr2bl w:val="nil"/>
            </w:tcBorders>
            <w:noWrap w:val="0"/>
            <w:vAlign w:val="center"/>
          </w:tcPr>
          <w:p w14:paraId="6C43FCB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有较明显臭味</w:t>
            </w:r>
          </w:p>
        </w:tc>
        <w:tc>
          <w:tcPr>
            <w:tcW w:w="1000" w:type="pct"/>
            <w:tcBorders>
              <w:tl2br w:val="nil"/>
              <w:tr2bl w:val="nil"/>
            </w:tcBorders>
            <w:noWrap w:val="0"/>
            <w:vAlign w:val="center"/>
          </w:tcPr>
          <w:p w14:paraId="44498D1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3</w:t>
            </w:r>
            <w:r>
              <w:rPr>
                <w:rFonts w:hint="default" w:ascii="Times New Roman" w:hAnsi="Times New Roman" w:cs="Times New Roman"/>
                <w:color w:val="auto"/>
                <w:sz w:val="21"/>
                <w:szCs w:val="21"/>
                <w:highlight w:val="none"/>
              </w:rPr>
              <w:t>级</w:t>
            </w:r>
          </w:p>
        </w:tc>
        <w:tc>
          <w:tcPr>
            <w:tcW w:w="1000" w:type="pct"/>
            <w:tcBorders>
              <w:tl2br w:val="nil"/>
              <w:tr2bl w:val="nil"/>
            </w:tcBorders>
            <w:noWrap w:val="0"/>
            <w:vAlign w:val="center"/>
          </w:tcPr>
          <w:p w14:paraId="630E509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z w:val="21"/>
                <w:szCs w:val="21"/>
                <w:highlight w:val="none"/>
                <w:u w:val="single"/>
                <w:lang w:val="en-US" w:eastAsia="zh-CN"/>
              </w:rPr>
            </w:pPr>
            <w:r>
              <w:rPr>
                <w:rFonts w:hint="eastAsia" w:ascii="Times New Roman" w:eastAsia="宋体" w:cs="Times New Roman"/>
                <w:color w:val="auto"/>
                <w:sz w:val="21"/>
                <w:szCs w:val="21"/>
                <w:highlight w:val="none"/>
                <w:u w:val="single"/>
                <w:lang w:val="en-US" w:eastAsia="zh-CN"/>
              </w:rPr>
              <w:t>2</w:t>
            </w:r>
          </w:p>
        </w:tc>
        <w:tc>
          <w:tcPr>
            <w:tcW w:w="1003" w:type="pct"/>
            <w:tcBorders>
              <w:tl2br w:val="nil"/>
              <w:tr2bl w:val="nil"/>
            </w:tcBorders>
            <w:noWrap w:val="0"/>
            <w:vAlign w:val="center"/>
          </w:tcPr>
          <w:p w14:paraId="248DE36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eastAsia="宋体" w:cs="Times New Roman"/>
                <w:color w:val="auto"/>
                <w:sz w:val="21"/>
                <w:szCs w:val="21"/>
                <w:highlight w:val="none"/>
                <w:u w:val="single"/>
                <w:lang w:val="en-US" w:eastAsia="zh-CN"/>
              </w:rPr>
              <w:t>0.06</w:t>
            </w:r>
          </w:p>
        </w:tc>
      </w:tr>
      <w:tr w14:paraId="269FF43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898" w:type="pct"/>
            <w:tcBorders>
              <w:tl2br w:val="nil"/>
              <w:tr2bl w:val="nil"/>
            </w:tcBorders>
            <w:noWrap w:val="0"/>
            <w:vAlign w:val="center"/>
          </w:tcPr>
          <w:p w14:paraId="32BA7E7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sz w:val="21"/>
                <w:szCs w:val="21"/>
                <w:highlight w:val="none"/>
              </w:rPr>
            </w:pPr>
            <w:r>
              <w:rPr>
                <w:rFonts w:hint="eastAsia" w:ascii="Times New Roman" w:cs="Times New Roman"/>
                <w:color w:val="auto"/>
                <w:sz w:val="21"/>
                <w:szCs w:val="21"/>
                <w:highlight w:val="none"/>
                <w:lang w:eastAsia="zh-CN"/>
              </w:rPr>
              <w:t>淤泥</w:t>
            </w:r>
            <w:r>
              <w:rPr>
                <w:rFonts w:hint="default" w:ascii="Times New Roman" w:hAnsi="Times New Roman" w:cs="Times New Roman"/>
                <w:color w:val="auto"/>
                <w:sz w:val="21"/>
                <w:szCs w:val="21"/>
                <w:highlight w:val="none"/>
              </w:rPr>
              <w:t>堆放区</w:t>
            </w:r>
            <w:r>
              <w:rPr>
                <w:rFonts w:hint="default" w:ascii="Times New Roman" w:hAnsi="Times New Roman" w:eastAsia="Times New Roman" w:cs="Times New Roman"/>
                <w:color w:val="auto"/>
                <w:sz w:val="21"/>
                <w:szCs w:val="21"/>
                <w:highlight w:val="none"/>
              </w:rPr>
              <w:t>30m</w:t>
            </w:r>
          </w:p>
        </w:tc>
        <w:tc>
          <w:tcPr>
            <w:tcW w:w="1098" w:type="pct"/>
            <w:tcBorders>
              <w:tl2br w:val="nil"/>
              <w:tr2bl w:val="nil"/>
            </w:tcBorders>
            <w:noWrap w:val="0"/>
            <w:vAlign w:val="center"/>
          </w:tcPr>
          <w:p w14:paraId="050EFE7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轻微</w:t>
            </w:r>
          </w:p>
        </w:tc>
        <w:tc>
          <w:tcPr>
            <w:tcW w:w="1000" w:type="pct"/>
            <w:tcBorders>
              <w:tl2br w:val="nil"/>
              <w:tr2bl w:val="nil"/>
            </w:tcBorders>
            <w:noWrap w:val="0"/>
            <w:vAlign w:val="center"/>
          </w:tcPr>
          <w:p w14:paraId="4396C56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2</w:t>
            </w:r>
            <w:r>
              <w:rPr>
                <w:rFonts w:hint="default" w:ascii="Times New Roman" w:hAnsi="Times New Roman" w:cs="Times New Roman"/>
                <w:color w:val="auto"/>
                <w:sz w:val="21"/>
                <w:szCs w:val="21"/>
                <w:highlight w:val="none"/>
              </w:rPr>
              <w:t>级</w:t>
            </w:r>
          </w:p>
        </w:tc>
        <w:tc>
          <w:tcPr>
            <w:tcW w:w="1000" w:type="pct"/>
            <w:tcBorders>
              <w:tl2br w:val="nil"/>
              <w:tr2bl w:val="nil"/>
            </w:tcBorders>
            <w:noWrap w:val="0"/>
            <w:vAlign w:val="center"/>
          </w:tcPr>
          <w:p w14:paraId="162E5C3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eastAsia="宋体" w:cs="Times New Roman"/>
                <w:color w:val="auto"/>
                <w:sz w:val="21"/>
                <w:szCs w:val="21"/>
                <w:highlight w:val="none"/>
                <w:u w:val="single"/>
                <w:lang w:val="en-US" w:eastAsia="zh-CN"/>
              </w:rPr>
              <w:t>0.5</w:t>
            </w:r>
          </w:p>
        </w:tc>
        <w:tc>
          <w:tcPr>
            <w:tcW w:w="1003" w:type="pct"/>
            <w:tcBorders>
              <w:tl2br w:val="nil"/>
              <w:tr2bl w:val="nil"/>
            </w:tcBorders>
            <w:noWrap w:val="0"/>
            <w:vAlign w:val="center"/>
          </w:tcPr>
          <w:p w14:paraId="4BDDB92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eastAsia="宋体" w:cs="Times New Roman"/>
                <w:color w:val="auto"/>
                <w:sz w:val="21"/>
                <w:szCs w:val="21"/>
                <w:highlight w:val="none"/>
                <w:u w:val="single"/>
                <w:lang w:val="en-US" w:eastAsia="zh-CN"/>
              </w:rPr>
              <w:t>0.006</w:t>
            </w:r>
          </w:p>
        </w:tc>
      </w:tr>
      <w:tr w14:paraId="32ABD0C8">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898" w:type="pct"/>
            <w:tcBorders>
              <w:tl2br w:val="nil"/>
              <w:tr2bl w:val="nil"/>
            </w:tcBorders>
            <w:noWrap w:val="0"/>
            <w:vAlign w:val="center"/>
          </w:tcPr>
          <w:p w14:paraId="75B7ECB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sz w:val="21"/>
                <w:szCs w:val="21"/>
                <w:highlight w:val="none"/>
              </w:rPr>
            </w:pPr>
            <w:r>
              <w:rPr>
                <w:rFonts w:hint="eastAsia" w:ascii="Times New Roman" w:cs="Times New Roman"/>
                <w:color w:val="auto"/>
                <w:sz w:val="21"/>
                <w:szCs w:val="21"/>
                <w:highlight w:val="none"/>
                <w:lang w:eastAsia="zh-CN"/>
              </w:rPr>
              <w:t>淤泥</w:t>
            </w:r>
            <w:r>
              <w:rPr>
                <w:rFonts w:hint="default" w:ascii="Times New Roman" w:hAnsi="Times New Roman" w:cs="Times New Roman"/>
                <w:color w:val="auto"/>
                <w:sz w:val="21"/>
                <w:szCs w:val="21"/>
                <w:highlight w:val="none"/>
              </w:rPr>
              <w:t>堆放区</w:t>
            </w:r>
            <w:r>
              <w:rPr>
                <w:rFonts w:hint="default" w:ascii="Times New Roman" w:hAnsi="Times New Roman" w:eastAsia="Times New Roman" w:cs="Times New Roman"/>
                <w:color w:val="auto"/>
                <w:sz w:val="21"/>
                <w:szCs w:val="21"/>
                <w:highlight w:val="none"/>
              </w:rPr>
              <w:t>80m</w:t>
            </w:r>
          </w:p>
        </w:tc>
        <w:tc>
          <w:tcPr>
            <w:tcW w:w="1098" w:type="pct"/>
            <w:tcBorders>
              <w:tl2br w:val="nil"/>
              <w:tr2bl w:val="nil"/>
            </w:tcBorders>
            <w:noWrap w:val="0"/>
            <w:vAlign w:val="center"/>
          </w:tcPr>
          <w:p w14:paraId="5C0F5A3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z w:val="21"/>
                <w:szCs w:val="21"/>
                <w:highlight w:val="none"/>
                <w:u w:val="single"/>
                <w:lang w:eastAsia="zh-CN"/>
              </w:rPr>
            </w:pPr>
            <w:r>
              <w:rPr>
                <w:rFonts w:hint="eastAsia" w:ascii="Times New Roman" w:cs="Times New Roman"/>
                <w:color w:val="auto"/>
                <w:sz w:val="21"/>
                <w:szCs w:val="21"/>
                <w:highlight w:val="none"/>
                <w:u w:val="single"/>
                <w:lang w:eastAsia="zh-CN"/>
              </w:rPr>
              <w:t>勉强可感觉到气味</w:t>
            </w:r>
          </w:p>
        </w:tc>
        <w:tc>
          <w:tcPr>
            <w:tcW w:w="1000" w:type="pct"/>
            <w:tcBorders>
              <w:tl2br w:val="nil"/>
              <w:tr2bl w:val="nil"/>
            </w:tcBorders>
            <w:noWrap w:val="0"/>
            <w:vAlign w:val="center"/>
          </w:tcPr>
          <w:p w14:paraId="492504D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w:t>
            </w:r>
            <w:r>
              <w:rPr>
                <w:rFonts w:hint="default" w:ascii="Times New Roman" w:hAnsi="Times New Roman" w:cs="Times New Roman"/>
                <w:color w:val="auto"/>
                <w:sz w:val="21"/>
                <w:szCs w:val="21"/>
                <w:highlight w:val="none"/>
              </w:rPr>
              <w:t>级</w:t>
            </w:r>
          </w:p>
        </w:tc>
        <w:tc>
          <w:tcPr>
            <w:tcW w:w="1000" w:type="pct"/>
            <w:tcBorders>
              <w:tl2br w:val="nil"/>
              <w:tr2bl w:val="nil"/>
            </w:tcBorders>
            <w:noWrap w:val="0"/>
            <w:vAlign w:val="center"/>
          </w:tcPr>
          <w:p w14:paraId="5ACA3FC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eastAsia="宋体" w:cs="Times New Roman"/>
                <w:color w:val="auto"/>
                <w:sz w:val="21"/>
                <w:szCs w:val="21"/>
                <w:highlight w:val="none"/>
                <w:u w:val="single"/>
                <w:lang w:val="en-US" w:eastAsia="zh-CN"/>
              </w:rPr>
              <w:t>0.1</w:t>
            </w:r>
          </w:p>
        </w:tc>
        <w:tc>
          <w:tcPr>
            <w:tcW w:w="1003" w:type="pct"/>
            <w:tcBorders>
              <w:tl2br w:val="nil"/>
              <w:tr2bl w:val="nil"/>
            </w:tcBorders>
            <w:noWrap w:val="0"/>
            <w:vAlign w:val="center"/>
          </w:tcPr>
          <w:p w14:paraId="6AE3219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eastAsia="宋体" w:cs="Times New Roman"/>
                <w:color w:val="auto"/>
                <w:sz w:val="21"/>
                <w:szCs w:val="21"/>
                <w:highlight w:val="none"/>
                <w:u w:val="single"/>
                <w:lang w:val="en-US" w:eastAsia="zh-CN"/>
              </w:rPr>
              <w:t>0.0005</w:t>
            </w:r>
          </w:p>
        </w:tc>
      </w:tr>
      <w:tr w14:paraId="7C08D4DD">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c>
          <w:tcPr>
            <w:tcW w:w="898" w:type="pct"/>
            <w:tcBorders>
              <w:tl2br w:val="nil"/>
              <w:tr2bl w:val="nil"/>
            </w:tcBorders>
            <w:noWrap w:val="0"/>
            <w:vAlign w:val="center"/>
          </w:tcPr>
          <w:p w14:paraId="2EF8096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 xml:space="preserve">100m </w:t>
            </w:r>
            <w:r>
              <w:rPr>
                <w:rFonts w:hint="default" w:ascii="Times New Roman" w:hAnsi="Times New Roman" w:cs="Times New Roman"/>
                <w:color w:val="auto"/>
                <w:sz w:val="21"/>
                <w:szCs w:val="21"/>
                <w:highlight w:val="none"/>
              </w:rPr>
              <w:t>外</w:t>
            </w:r>
          </w:p>
        </w:tc>
        <w:tc>
          <w:tcPr>
            <w:tcW w:w="1098" w:type="pct"/>
            <w:tcBorders>
              <w:tl2br w:val="nil"/>
              <w:tr2bl w:val="nil"/>
            </w:tcBorders>
            <w:noWrap w:val="0"/>
            <w:vAlign w:val="center"/>
          </w:tcPr>
          <w:p w14:paraId="71AE3E6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w:t>
            </w:r>
          </w:p>
        </w:tc>
        <w:tc>
          <w:tcPr>
            <w:tcW w:w="1000" w:type="pct"/>
            <w:tcBorders>
              <w:tl2br w:val="nil"/>
              <w:tr2bl w:val="nil"/>
            </w:tcBorders>
            <w:noWrap w:val="0"/>
            <w:vAlign w:val="center"/>
          </w:tcPr>
          <w:p w14:paraId="148941D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0</w:t>
            </w:r>
            <w:r>
              <w:rPr>
                <w:rFonts w:hint="default" w:ascii="Times New Roman" w:hAnsi="Times New Roman" w:cs="Times New Roman"/>
                <w:color w:val="auto"/>
                <w:sz w:val="21"/>
                <w:szCs w:val="21"/>
                <w:highlight w:val="none"/>
              </w:rPr>
              <w:t>级</w:t>
            </w:r>
          </w:p>
        </w:tc>
        <w:tc>
          <w:tcPr>
            <w:tcW w:w="2003" w:type="pct"/>
            <w:gridSpan w:val="2"/>
            <w:tcBorders>
              <w:tl2br w:val="nil"/>
              <w:tr2bl w:val="nil"/>
            </w:tcBorders>
            <w:noWrap w:val="0"/>
            <w:vAlign w:val="center"/>
          </w:tcPr>
          <w:p w14:paraId="31541C8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z w:val="21"/>
                <w:szCs w:val="21"/>
                <w:highlight w:val="none"/>
                <w:u w:val="single"/>
                <w:lang w:eastAsia="zh-CN"/>
              </w:rPr>
            </w:pPr>
            <w:r>
              <w:rPr>
                <w:rFonts w:hint="eastAsia" w:ascii="Times New Roman" w:eastAsia="宋体" w:cs="Times New Roman"/>
                <w:color w:val="auto"/>
                <w:sz w:val="21"/>
                <w:szCs w:val="21"/>
                <w:highlight w:val="none"/>
                <w:u w:val="single"/>
                <w:lang w:eastAsia="zh-CN"/>
              </w:rPr>
              <w:t>无臭味</w:t>
            </w:r>
          </w:p>
        </w:tc>
      </w:tr>
    </w:tbl>
    <w:p w14:paraId="17A3BC62">
      <w:pPr>
        <w:pStyle w:val="410"/>
        <w:rPr>
          <w:rFonts w:hint="eastAsia" w:ascii="Times New Roman" w:hAnsi="Times New Roman" w:eastAsia="宋体" w:cs="Times New Roman"/>
          <w:color w:val="auto"/>
          <w:highlight w:val="none"/>
          <w:u w:val="none"/>
          <w:lang w:eastAsia="zh-CN"/>
        </w:rPr>
      </w:pPr>
      <w:r>
        <w:rPr>
          <w:rFonts w:hint="eastAsia" w:ascii="Times New Roman" w:cs="Times New Roman"/>
          <w:color w:val="auto"/>
          <w:highlight w:val="none"/>
          <w:u w:val="single"/>
          <w:lang w:eastAsia="zh-CN"/>
        </w:rPr>
        <w:t>根据臭气强度一览表，淤泥堆放区周边将会产生明显臭味，</w:t>
      </w:r>
      <w:r>
        <w:rPr>
          <w:rFonts w:hint="eastAsia" w:ascii="Times New Roman" w:cs="Times New Roman"/>
          <w:color w:val="auto"/>
          <w:highlight w:val="none"/>
          <w:u w:val="single"/>
          <w:lang w:val="en-US" w:eastAsia="zh-CN"/>
        </w:rPr>
        <w:t>30m之外达到2级强度，有轻微恶臭，低于恶臭强度的限制标准（2.5-3.5 级）；80m之外基本无气味。</w:t>
      </w:r>
      <w:r>
        <w:rPr>
          <w:rFonts w:hint="eastAsia" w:ascii="Times New Roman" w:hAnsi="Times New Roman" w:eastAsia="宋体" w:cs="Times New Roman"/>
          <w:color w:val="auto"/>
          <w:highlight w:val="none"/>
          <w:u w:val="single"/>
          <w:lang w:eastAsia="zh-CN"/>
        </w:rPr>
        <w:t>项目临时中转场</w:t>
      </w:r>
      <w:r>
        <w:rPr>
          <w:rFonts w:hint="eastAsia" w:ascii="Times New Roman" w:cs="Times New Roman"/>
          <w:color w:val="auto"/>
          <w:highlight w:val="none"/>
          <w:u w:val="single"/>
          <w:lang w:eastAsia="zh-CN"/>
        </w:rPr>
        <w:t>（淤泥堆放区）</w:t>
      </w:r>
      <w:r>
        <w:rPr>
          <w:rFonts w:hint="eastAsia" w:ascii="Times New Roman" w:hAnsi="Times New Roman" w:eastAsia="宋体" w:cs="Times New Roman"/>
          <w:color w:val="auto"/>
          <w:highlight w:val="none"/>
          <w:u w:val="single"/>
          <w:lang w:eastAsia="zh-CN"/>
        </w:rPr>
        <w:t>距离最近敏感点大岭脚村约</w:t>
      </w:r>
      <w:r>
        <w:rPr>
          <w:rFonts w:hint="eastAsia" w:ascii="Times New Roman" w:hAnsi="Times New Roman" w:eastAsia="宋体" w:cs="Times New Roman"/>
          <w:color w:val="auto"/>
          <w:highlight w:val="none"/>
          <w:u w:val="single"/>
          <w:lang w:val="en-US" w:eastAsia="zh-CN"/>
        </w:rPr>
        <w:t>160m</w:t>
      </w:r>
      <w:r>
        <w:rPr>
          <w:rFonts w:hint="eastAsia" w:ascii="Times New Roman" w:cs="Times New Roman"/>
          <w:color w:val="auto"/>
          <w:highlight w:val="none"/>
          <w:u w:val="single"/>
          <w:lang w:val="en-US" w:eastAsia="zh-CN"/>
        </w:rPr>
        <w:t>且大岭脚村位于区域主导风向的上风向</w:t>
      </w:r>
      <w:r>
        <w:rPr>
          <w:rFonts w:hint="eastAsia" w:ascii="Times New Roman" w:hAnsi="Times New Roman" w:eastAsia="宋体" w:cs="Times New Roman"/>
          <w:color w:val="auto"/>
          <w:highlight w:val="none"/>
          <w:u w:val="none"/>
          <w:lang w:eastAsia="zh-CN"/>
        </w:rPr>
        <w:t>，</w:t>
      </w:r>
      <w:r>
        <w:rPr>
          <w:rFonts w:hint="eastAsia" w:ascii="Times New Roman" w:hAnsi="Times New Roman" w:eastAsia="宋体" w:cs="Times New Roman"/>
          <w:color w:val="auto"/>
          <w:highlight w:val="none"/>
          <w:u w:val="none"/>
          <w:lang w:val="en-US" w:eastAsia="zh-CN"/>
        </w:rPr>
        <w:t>淤泥晾晒</w:t>
      </w:r>
      <w:r>
        <w:rPr>
          <w:rFonts w:hint="eastAsia" w:ascii="Times New Roman" w:cs="Times New Roman"/>
          <w:color w:val="auto"/>
          <w:highlight w:val="none"/>
          <w:u w:val="none"/>
          <w:lang w:val="en-US" w:eastAsia="zh-CN"/>
        </w:rPr>
        <w:t>产生的恶臭</w:t>
      </w:r>
      <w:r>
        <w:rPr>
          <w:rFonts w:hint="eastAsia" w:ascii="Times New Roman" w:hAnsi="Times New Roman" w:eastAsia="宋体" w:cs="Times New Roman"/>
          <w:color w:val="auto"/>
          <w:highlight w:val="none"/>
          <w:u w:val="none"/>
          <w:lang w:val="en-US" w:eastAsia="zh-CN"/>
        </w:rPr>
        <w:t>对周边居民点环境影响不大</w:t>
      </w:r>
      <w:r>
        <w:rPr>
          <w:rFonts w:hint="eastAsia" w:ascii="Times New Roman" w:hAnsi="Times New Roman" w:cs="Times New Roman"/>
          <w:color w:val="auto"/>
          <w:highlight w:val="none"/>
          <w:u w:val="none"/>
          <w:lang w:eastAsia="zh-CN"/>
        </w:rPr>
        <w:t>。</w:t>
      </w:r>
    </w:p>
    <w:p w14:paraId="7434588D">
      <w:pPr>
        <w:pStyle w:val="410"/>
        <w:rPr>
          <w:rFonts w:hint="eastAsia" w:ascii="Times New Roman" w:hAnsi="Times New Roman" w:eastAsia="宋体" w:cs="Times New Roman"/>
          <w:color w:val="auto"/>
          <w:highlight w:val="none"/>
          <w:u w:val="none"/>
          <w:lang w:eastAsia="zh-CN"/>
        </w:rPr>
      </w:pPr>
      <w:r>
        <w:rPr>
          <w:rFonts w:hint="default" w:ascii="Times New Roman" w:hAnsi="Times New Roman" w:eastAsia="宋体" w:cs="Times New Roman"/>
          <w:color w:val="auto"/>
          <w:highlight w:val="none"/>
          <w:u w:val="none"/>
          <w:lang w:eastAsia="zh-CN"/>
        </w:rPr>
        <w:t>本项目</w:t>
      </w:r>
      <w:r>
        <w:rPr>
          <w:rFonts w:hint="eastAsia" w:ascii="Times New Roman" w:hAnsi="Times New Roman" w:eastAsia="宋体" w:cs="Times New Roman"/>
          <w:color w:val="auto"/>
          <w:highlight w:val="none"/>
          <w:u w:val="none"/>
          <w:lang w:eastAsia="zh-CN"/>
        </w:rPr>
        <w:t>施工单位</w:t>
      </w:r>
      <w:r>
        <w:rPr>
          <w:rFonts w:hint="eastAsia" w:ascii="Times New Roman" w:cs="Times New Roman"/>
          <w:color w:val="auto"/>
          <w:highlight w:val="none"/>
          <w:u w:val="none"/>
          <w:lang w:eastAsia="zh-CN"/>
        </w:rPr>
        <w:t>根据</w:t>
      </w:r>
      <w:r>
        <w:rPr>
          <w:rFonts w:hint="eastAsia" w:ascii="Times New Roman" w:cs="Times New Roman"/>
          <w:color w:val="auto"/>
          <w:highlight w:val="none"/>
          <w:u w:val="single"/>
          <w:lang w:eastAsia="zh-CN"/>
        </w:rPr>
        <w:t>施工总体规划、环境卫生要求、风向、工程地质和运输等因素来合理确定堆场的总平面布置；合理安排施工期，尽量降低恶臭物质的无组织释放，</w:t>
      </w:r>
      <w:r>
        <w:rPr>
          <w:rFonts w:hint="eastAsia" w:ascii="Times New Roman" w:hAnsi="Times New Roman" w:eastAsia="宋体" w:cs="Times New Roman"/>
          <w:color w:val="auto"/>
          <w:highlight w:val="none"/>
          <w:u w:val="none"/>
          <w:lang w:eastAsia="zh-CN"/>
        </w:rPr>
        <w:t>在清淤过程中选用生物除臭剂喷洒在淤泥表面，减少清淤过程中臭气的散发，以降低对周围人群的不利影响</w:t>
      </w:r>
      <w:r>
        <w:rPr>
          <w:rFonts w:hint="eastAsia" w:ascii="Times New Roman" w:hAnsi="Times New Roman" w:cs="Times New Roman"/>
          <w:color w:val="auto"/>
          <w:highlight w:val="none"/>
          <w:u w:val="none"/>
          <w:lang w:eastAsia="zh-CN"/>
        </w:rPr>
        <w:t>。</w:t>
      </w:r>
    </w:p>
    <w:p w14:paraId="06D31412">
      <w:pPr>
        <w:pStyle w:val="5"/>
        <w:numPr>
          <w:ilvl w:val="2"/>
          <w:numId w:val="40"/>
        </w:numPr>
        <w:bidi w:val="0"/>
        <w:ind w:left="452" w:leftChars="0" w:firstLine="0" w:firstLineChars="0"/>
        <w:rPr>
          <w:rFonts w:hint="default"/>
          <w:color w:val="auto"/>
          <w:highlight w:val="none"/>
        </w:rPr>
      </w:pPr>
      <w:r>
        <w:rPr>
          <w:rFonts w:hint="default"/>
          <w:color w:val="auto"/>
          <w:highlight w:val="none"/>
        </w:rPr>
        <w:t>施工期水环境影响分析</w:t>
      </w:r>
    </w:p>
    <w:p w14:paraId="0CF67431">
      <w:pPr>
        <w:pStyle w:val="6"/>
        <w:numPr>
          <w:ilvl w:val="3"/>
          <w:numId w:val="40"/>
        </w:numPr>
        <w:bidi w:val="0"/>
        <w:ind w:left="0" w:leftChars="0" w:firstLine="0" w:firstLineChars="0"/>
        <w:rPr>
          <w:rFonts w:hint="default"/>
          <w:color w:val="auto"/>
          <w:highlight w:val="none"/>
        </w:rPr>
      </w:pPr>
      <w:r>
        <w:rPr>
          <w:rFonts w:hint="default"/>
          <w:color w:val="auto"/>
          <w:highlight w:val="none"/>
          <w:lang w:eastAsia="zh-CN"/>
        </w:rPr>
        <w:t>施工期水文情势影响</w:t>
      </w:r>
    </w:p>
    <w:p w14:paraId="47E61ACA">
      <w:pPr>
        <w:pStyle w:val="410"/>
        <w:rPr>
          <w:rFonts w:hint="default" w:ascii="Times New Roman" w:hAnsi="Times New Roman" w:eastAsia="宋体" w:cs="Times New Roman"/>
          <w:color w:val="auto"/>
          <w:highlight w:val="none"/>
        </w:rPr>
      </w:pPr>
      <w:r>
        <w:rPr>
          <w:rFonts w:hint="eastAsia" w:ascii="Times New Roman" w:cs="Times New Roman"/>
          <w:color w:val="auto"/>
          <w:highlight w:val="none"/>
          <w:lang w:eastAsia="zh-CN"/>
        </w:rPr>
        <w:t>项目施工所涉及的淡水湾江主要兼顾行洪、灌溉功能，河道水域为非内河航道，周边无鱼类“三场”分布。</w:t>
      </w:r>
      <w:r>
        <w:rPr>
          <w:rFonts w:hint="default" w:ascii="Times New Roman" w:hAnsi="Times New Roman" w:eastAsia="宋体" w:cs="Times New Roman"/>
          <w:color w:val="auto"/>
          <w:highlight w:val="none"/>
        </w:rPr>
        <w:t>施工期对水文情势的影响</w:t>
      </w:r>
      <w:r>
        <w:rPr>
          <w:rFonts w:hint="eastAsia" w:ascii="Times New Roman" w:cs="Times New Roman"/>
          <w:color w:val="auto"/>
          <w:highlight w:val="none"/>
          <w:lang w:eastAsia="zh-CN"/>
        </w:rPr>
        <w:t>主要为水系改造段建设</w:t>
      </w:r>
      <w:r>
        <w:rPr>
          <w:rFonts w:hint="default" w:ascii="Times New Roman" w:hAnsi="Times New Roman" w:eastAsia="宋体" w:cs="Times New Roman"/>
          <w:color w:val="auto"/>
          <w:highlight w:val="none"/>
        </w:rPr>
        <w:t>，工程主要建筑物为</w:t>
      </w:r>
      <w:r>
        <w:rPr>
          <w:rFonts w:hint="eastAsia" w:ascii="Times New Roman" w:cs="Times New Roman"/>
          <w:color w:val="auto"/>
          <w:highlight w:val="none"/>
          <w:lang w:eastAsia="zh-CN"/>
        </w:rPr>
        <w:t>曲绣路回填</w:t>
      </w:r>
      <w:r>
        <w:rPr>
          <w:rFonts w:hint="default" w:ascii="Times New Roman" w:hAnsi="Times New Roman" w:eastAsia="宋体" w:cs="Times New Roman"/>
          <w:color w:val="auto"/>
          <w:highlight w:val="none"/>
          <w:lang w:eastAsia="zh-CN"/>
        </w:rPr>
        <w:t>、挡土墙</w:t>
      </w:r>
      <w:r>
        <w:rPr>
          <w:rFonts w:hint="eastAsia" w:ascii="Times New Roman" w:cs="Times New Roman"/>
          <w:color w:val="auto"/>
          <w:highlight w:val="none"/>
          <w:lang w:eastAsia="zh-CN"/>
        </w:rPr>
        <w:t>建设</w:t>
      </w:r>
      <w:r>
        <w:rPr>
          <w:rFonts w:hint="default" w:ascii="Times New Roman" w:hAnsi="Times New Roman" w:eastAsia="宋体" w:cs="Times New Roman"/>
          <w:color w:val="auto"/>
          <w:highlight w:val="none"/>
        </w:rPr>
        <w:t>，不涉及拦河筑坝</w:t>
      </w:r>
      <w:r>
        <w:rPr>
          <w:rFonts w:hint="eastAsia" w:ascii="Times New Roman" w:cs="Times New Roman"/>
          <w:color w:val="auto"/>
          <w:highlight w:val="none"/>
          <w:lang w:eastAsia="zh-CN"/>
        </w:rPr>
        <w:t>。</w:t>
      </w:r>
      <w:r>
        <w:rPr>
          <w:rFonts w:hint="default" w:ascii="Times New Roman" w:hAnsi="Times New Roman" w:eastAsia="宋体" w:cs="Times New Roman"/>
          <w:color w:val="auto"/>
          <w:highlight w:val="none"/>
        </w:rPr>
        <w:t>本项目</w:t>
      </w:r>
      <w:r>
        <w:rPr>
          <w:rFonts w:hint="eastAsia" w:ascii="Times New Roman" w:cs="Times New Roman"/>
          <w:color w:val="auto"/>
          <w:highlight w:val="none"/>
          <w:lang w:eastAsia="zh-CN"/>
        </w:rPr>
        <w:t>涉水施工段施工围堰搭设</w:t>
      </w:r>
      <w:r>
        <w:rPr>
          <w:rFonts w:hint="default" w:ascii="Times New Roman" w:hAnsi="Times New Roman" w:eastAsia="宋体" w:cs="Times New Roman"/>
          <w:color w:val="auto"/>
          <w:highlight w:val="none"/>
        </w:rPr>
        <w:t>、施工导流等施工时会导致水体悬浮物的暂时增加，引起水体浑浊，同时改变河道水文情势。</w:t>
      </w:r>
    </w:p>
    <w:p w14:paraId="6E0C63F8">
      <w:pPr>
        <w:pStyle w:val="410"/>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施工过程中，</w:t>
      </w:r>
      <w:r>
        <w:rPr>
          <w:rFonts w:hint="eastAsia" w:ascii="Times New Roman" w:cs="Times New Roman"/>
          <w:color w:val="auto"/>
          <w:highlight w:val="none"/>
          <w:lang w:eastAsia="zh-CN"/>
        </w:rPr>
        <w:t>本项目水系改造段需在涉及淡水湾江</w:t>
      </w:r>
      <w:r>
        <w:rPr>
          <w:rFonts w:hint="eastAsia" w:ascii="Times New Roman" w:cs="Times New Roman"/>
          <w:color w:val="auto"/>
          <w:highlight w:val="none"/>
          <w:lang w:val="en-US" w:eastAsia="zh-CN"/>
        </w:rPr>
        <w:t>施工区</w:t>
      </w:r>
      <w:r>
        <w:rPr>
          <w:rFonts w:hint="eastAsia" w:ascii="Times New Roman" w:cs="Times New Roman"/>
          <w:color w:val="auto"/>
          <w:highlight w:val="none"/>
          <w:lang w:eastAsia="zh-CN"/>
        </w:rPr>
        <w:t>设置施工导流和施工围堰，</w:t>
      </w:r>
      <w:r>
        <w:rPr>
          <w:rFonts w:hint="default" w:ascii="Times New Roman" w:hAnsi="Times New Roman" w:eastAsia="宋体" w:cs="Times New Roman"/>
          <w:color w:val="auto"/>
          <w:highlight w:val="none"/>
          <w:lang w:eastAsia="zh-CN"/>
        </w:rPr>
        <w:t>采取</w:t>
      </w:r>
      <w:r>
        <w:rPr>
          <w:rFonts w:hint="default" w:ascii="Times New Roman" w:hAnsi="Times New Roman" w:eastAsia="宋体" w:cs="Times New Roman"/>
          <w:color w:val="auto"/>
          <w:highlight w:val="none"/>
        </w:rPr>
        <w:t>施工导流后，使得</w:t>
      </w:r>
      <w:r>
        <w:rPr>
          <w:rFonts w:hint="default" w:ascii="Times New Roman" w:hAnsi="Times New Roman" w:eastAsia="宋体" w:cs="Times New Roman"/>
          <w:color w:val="auto"/>
          <w:highlight w:val="none"/>
          <w:u w:val="single"/>
        </w:rPr>
        <w:t>河段</w:t>
      </w:r>
      <w:r>
        <w:rPr>
          <w:rFonts w:hint="eastAsia" w:ascii="Times New Roman" w:cs="Times New Roman"/>
          <w:color w:val="auto"/>
          <w:highlight w:val="none"/>
          <w:u w:val="single"/>
          <w:lang w:eastAsia="zh-CN"/>
        </w:rPr>
        <w:t>主流线发生改变，河流流态河床底部发生改变而产生</w:t>
      </w:r>
      <w:r>
        <w:rPr>
          <w:rFonts w:hint="default" w:ascii="Times New Roman" w:hAnsi="Times New Roman" w:eastAsia="宋体" w:cs="Times New Roman"/>
          <w:color w:val="auto"/>
          <w:highlight w:val="none"/>
          <w:u w:val="single"/>
        </w:rPr>
        <w:t>变化</w:t>
      </w:r>
      <w:r>
        <w:rPr>
          <w:rFonts w:hint="eastAsia" w:ascii="Times New Roman" w:cs="Times New Roman"/>
          <w:color w:val="auto"/>
          <w:highlight w:val="none"/>
          <w:u w:val="single"/>
          <w:lang w:eastAsia="zh-CN"/>
        </w:rPr>
        <w:t>。根据施工围堰设计图，项目对水系改造对岸两侧搭设围堰，水系改造段起点围堰设置与和谐大街现状箱涵向呈</w:t>
      </w:r>
      <w:r>
        <w:rPr>
          <w:rFonts w:hint="eastAsia" w:ascii="Times New Roman" w:cs="Times New Roman"/>
          <w:color w:val="auto"/>
          <w:highlight w:val="none"/>
          <w:u w:val="single"/>
          <w:lang w:val="en-US" w:eastAsia="zh-CN"/>
        </w:rPr>
        <w:t>90°，</w:t>
      </w:r>
      <w:r>
        <w:rPr>
          <w:rFonts w:hint="eastAsia" w:ascii="Times New Roman" w:cs="Times New Roman"/>
          <w:color w:val="auto"/>
          <w:highlight w:val="none"/>
          <w:u w:val="single"/>
          <w:lang w:eastAsia="zh-CN"/>
        </w:rPr>
        <w:t>横向设置施工围堰可能导致局部壅水；水系改造段终点现状需绕过拟建钦州港第三小学地块后排入现状农村道路箱涵排入下游水系，施工导流后，河流相对顺直，下游过水能力提升。施工导流后河流水文情势发生变化，形成回流区、缓流区或漩涡，破坏天然水流的连续性，</w:t>
      </w:r>
      <w:r>
        <w:rPr>
          <w:rFonts w:hint="default" w:ascii="Times New Roman" w:hAnsi="Times New Roman" w:eastAsia="宋体" w:cs="Times New Roman"/>
          <w:color w:val="auto"/>
          <w:highlight w:val="none"/>
        </w:rPr>
        <w:t>但不会造成河道的断流</w:t>
      </w:r>
      <w:r>
        <w:rPr>
          <w:rFonts w:hint="eastAsia" w:ascii="Times New Roman" w:cs="Times New Roman"/>
          <w:color w:val="auto"/>
          <w:highlight w:val="none"/>
          <w:lang w:eastAsia="zh-CN"/>
        </w:rPr>
        <w:t>，对淡水湾江的行洪和灌溉功能发挥影响较小。</w:t>
      </w:r>
    </w:p>
    <w:p w14:paraId="4BE131B7">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水系改造</w:t>
      </w:r>
      <w:r>
        <w:rPr>
          <w:rFonts w:hint="eastAsia" w:ascii="Times New Roman" w:cs="Times New Roman"/>
          <w:color w:val="auto"/>
          <w:highlight w:val="none"/>
          <w:lang w:eastAsia="zh-CN"/>
        </w:rPr>
        <w:t>涉水施工段较短，且施工时间短，</w:t>
      </w:r>
      <w:r>
        <w:rPr>
          <w:rFonts w:hint="default" w:ascii="Times New Roman" w:hAnsi="Times New Roman" w:eastAsia="宋体" w:cs="Times New Roman"/>
          <w:color w:val="auto"/>
          <w:highlight w:val="none"/>
        </w:rPr>
        <w:t>根据施工组织安排</w:t>
      </w:r>
      <w:r>
        <w:rPr>
          <w:rFonts w:hint="eastAsia" w:ascii="Times New Roman" w:cs="Times New Roman"/>
          <w:color w:val="auto"/>
          <w:highlight w:val="none"/>
          <w:lang w:eastAsia="zh-CN"/>
        </w:rPr>
        <w:t>，涉水施工</w:t>
      </w:r>
      <w:r>
        <w:rPr>
          <w:rFonts w:hint="default" w:ascii="Times New Roman" w:hAnsi="Times New Roman" w:eastAsia="宋体" w:cs="Times New Roman"/>
          <w:color w:val="auto"/>
          <w:highlight w:val="none"/>
        </w:rPr>
        <w:t>部分施工均选在12月〜次年2月的枯水期，其与丰水期相比河段的流量和流速较小、水位较低，施工扰动扩散程度和扰动范围相对较小，不会对河道整体造成影响，仅对局部施工段水质影响明显，影响范围有限</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围堰施工会扰动水体，使围堰周边水体变得浑浊，水体泥沙含量增加，这种影响在围堰拆除后一段时间内才能恢复</w:t>
      </w:r>
      <w:r>
        <w:rPr>
          <w:rFonts w:hint="eastAsia" w:ascii="Times New Roman" w:cs="Times New Roman"/>
          <w:color w:val="auto"/>
          <w:highlight w:val="none"/>
          <w:lang w:eastAsia="zh-CN"/>
        </w:rPr>
        <w:t>，</w:t>
      </w:r>
      <w:r>
        <w:rPr>
          <w:rFonts w:hint="default" w:ascii="Times New Roman" w:hAnsi="Times New Roman" w:eastAsia="宋体" w:cs="Times New Roman"/>
          <w:color w:val="auto"/>
          <w:highlight w:val="none"/>
        </w:rPr>
        <w:t>随着工程施工结束而消失。</w:t>
      </w:r>
    </w:p>
    <w:p w14:paraId="64282C0E">
      <w:pPr>
        <w:pStyle w:val="6"/>
        <w:numPr>
          <w:ilvl w:val="3"/>
          <w:numId w:val="40"/>
        </w:numPr>
        <w:bidi w:val="0"/>
        <w:ind w:left="0" w:leftChars="0" w:firstLine="0" w:firstLineChars="0"/>
        <w:rPr>
          <w:rFonts w:hint="default"/>
          <w:color w:val="auto"/>
          <w:highlight w:val="none"/>
        </w:rPr>
      </w:pPr>
      <w:r>
        <w:rPr>
          <w:rFonts w:hint="default"/>
          <w:color w:val="auto"/>
          <w:highlight w:val="none"/>
          <w:lang w:eastAsia="zh-CN"/>
        </w:rPr>
        <w:t>施工期混凝土养护废水影响分析</w:t>
      </w:r>
    </w:p>
    <w:p w14:paraId="712A9FE0">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本工程</w:t>
      </w:r>
      <w:r>
        <w:rPr>
          <w:rFonts w:hint="default" w:ascii="Times New Roman" w:hAnsi="Times New Roman" w:eastAsia="宋体" w:cs="Times New Roman"/>
          <w:color w:val="auto"/>
          <w:highlight w:val="none"/>
          <w:lang w:eastAsia="zh-CN"/>
        </w:rPr>
        <w:t>部分</w:t>
      </w:r>
      <w:r>
        <w:rPr>
          <w:rFonts w:hint="default" w:ascii="Times New Roman" w:hAnsi="Times New Roman" w:eastAsia="宋体" w:cs="Times New Roman"/>
          <w:color w:val="auto"/>
          <w:highlight w:val="none"/>
          <w:lang w:val="en-US" w:eastAsia="zh-CN"/>
        </w:rPr>
        <w:t>排水沟、挡土墙</w:t>
      </w:r>
      <w:r>
        <w:rPr>
          <w:rFonts w:hint="default" w:ascii="Times New Roman" w:hAnsi="Times New Roman" w:eastAsia="宋体" w:cs="Times New Roman"/>
          <w:color w:val="auto"/>
          <w:highlight w:val="none"/>
        </w:rPr>
        <w:t>，需要部分混凝土，在混凝土养护过程中，会产生一定量的养护废水。施工期养护废水产生量约</w:t>
      </w:r>
      <w:r>
        <w:rPr>
          <w:rFonts w:hint="default" w:ascii="Times New Roman" w:hAnsi="Times New Roman" w:eastAsia="宋体" w:cs="Times New Roman"/>
          <w:color w:val="auto"/>
          <w:highlight w:val="none"/>
          <w:lang w:val="en-US" w:eastAsia="zh-CN"/>
        </w:rPr>
        <w:t>380</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，养护废水随养护过程损耗及表面蒸发过程从混凝土表面流失无外排，对</w:t>
      </w:r>
      <w:r>
        <w:rPr>
          <w:rFonts w:hint="default" w:ascii="Times New Roman" w:hAnsi="Times New Roman" w:eastAsia="宋体" w:cs="Times New Roman"/>
          <w:color w:val="auto"/>
          <w:highlight w:val="none"/>
          <w:lang w:val="en-US" w:eastAsia="zh-CN"/>
        </w:rPr>
        <w:t>区域</w:t>
      </w:r>
      <w:r>
        <w:rPr>
          <w:rFonts w:hint="default" w:ascii="Times New Roman" w:hAnsi="Times New Roman" w:eastAsia="宋体" w:cs="Times New Roman"/>
          <w:color w:val="auto"/>
          <w:highlight w:val="none"/>
        </w:rPr>
        <w:t>河水环境无影响。</w:t>
      </w:r>
    </w:p>
    <w:p w14:paraId="2C87E187">
      <w:pPr>
        <w:pStyle w:val="6"/>
        <w:numPr>
          <w:ilvl w:val="3"/>
          <w:numId w:val="40"/>
        </w:numPr>
        <w:bidi w:val="0"/>
        <w:ind w:left="0" w:leftChars="0" w:firstLine="0" w:firstLineChars="0"/>
        <w:rPr>
          <w:rFonts w:hint="default"/>
          <w:color w:val="auto"/>
          <w:highlight w:val="none"/>
        </w:rPr>
      </w:pPr>
      <w:r>
        <w:rPr>
          <w:rFonts w:hint="default"/>
          <w:color w:val="auto"/>
          <w:highlight w:val="none"/>
          <w:lang w:eastAsia="zh-CN"/>
        </w:rPr>
        <w:t>施工期车辆清洗废水影响分析</w:t>
      </w:r>
    </w:p>
    <w:p w14:paraId="1E7C377C">
      <w:pPr>
        <w:pStyle w:val="410"/>
        <w:rPr>
          <w:rFonts w:hint="default" w:ascii="Times New Roman" w:hAnsi="Times New Roman" w:eastAsia="宋体" w:cs="Times New Roman"/>
          <w:b w:val="0"/>
          <w:bCs w:val="0"/>
          <w:i w:val="0"/>
          <w:iCs w:val="0"/>
          <w:color w:val="auto"/>
          <w:kern w:val="2"/>
          <w:sz w:val="24"/>
          <w:szCs w:val="24"/>
          <w:highlight w:val="none"/>
          <w:u w:val="none"/>
          <w:lang w:val="en-US" w:eastAsia="zh-CN" w:bidi="ar-SA"/>
        </w:rPr>
      </w:pPr>
      <w:r>
        <w:rPr>
          <w:rFonts w:hint="default" w:ascii="Times New Roman" w:hAnsi="Times New Roman" w:eastAsia="宋体" w:cs="Times New Roman"/>
          <w:b w:val="0"/>
          <w:bCs w:val="0"/>
          <w:i w:val="0"/>
          <w:iCs w:val="0"/>
          <w:color w:val="auto"/>
          <w:kern w:val="2"/>
          <w:sz w:val="24"/>
          <w:szCs w:val="24"/>
          <w:highlight w:val="none"/>
          <w:u w:val="none"/>
          <w:lang w:val="en-US" w:eastAsia="zh-CN" w:bidi="ar-SA"/>
        </w:rPr>
        <w:t>项目在临时中转场出入口处设置车辆冲洗平台，车辆进入驶出施工场地均冲洗干净。项目车辆清洗废水每日产生量约为12.6m</w:t>
      </w:r>
      <w:r>
        <w:rPr>
          <w:rFonts w:hint="default" w:ascii="Times New Roman" w:hAnsi="Times New Roman" w:eastAsia="宋体" w:cs="Times New Roman"/>
          <w:b w:val="0"/>
          <w:bCs w:val="0"/>
          <w:i w:val="0"/>
          <w:iCs w:val="0"/>
          <w:color w:val="auto"/>
          <w:kern w:val="2"/>
          <w:sz w:val="24"/>
          <w:szCs w:val="24"/>
          <w:highlight w:val="none"/>
          <w:u w:val="none"/>
          <w:vertAlign w:val="superscript"/>
          <w:lang w:val="en-US" w:eastAsia="zh-CN" w:bidi="ar-SA"/>
        </w:rPr>
        <w:t>3</w:t>
      </w:r>
      <w:r>
        <w:rPr>
          <w:rFonts w:hint="default" w:ascii="Times New Roman" w:hAnsi="Times New Roman" w:eastAsia="宋体" w:cs="Times New Roman"/>
          <w:b w:val="0"/>
          <w:bCs w:val="0"/>
          <w:i w:val="0"/>
          <w:iCs w:val="0"/>
          <w:color w:val="auto"/>
          <w:kern w:val="2"/>
          <w:sz w:val="24"/>
          <w:szCs w:val="24"/>
          <w:highlight w:val="none"/>
          <w:u w:val="none"/>
          <w:lang w:val="en-US" w:eastAsia="zh-CN" w:bidi="ar-SA"/>
        </w:rPr>
        <w:t>/d，项目拟对机械冲洗废水采取隔油和沉淀处理，隔油池拟采购成品隔油池。根据同类工程的施工经验，石油类和SS浓度分别为约1～6mg/L、200mg/L，车辆冲洗废水直接排入周围水体将对水中动植物和水质生态产生不利影响。建议洗车平台周围设置废水收集导流渠，流经隔油池处理后，上层清水回用洗车或洒水降尘，洗车平台合理布设，尽量远离岸边。机械清洗废水经隔油和沉淀处理后回用于场地和施工运输道路洒水降尘或洗车平台洗车用水，项目机械冲洗废水量较小，在采取一定的环境保护措施后，机械冲洗废水对环境的影响较小。</w:t>
      </w:r>
    </w:p>
    <w:p w14:paraId="088D1F43">
      <w:pPr>
        <w:pStyle w:val="6"/>
        <w:numPr>
          <w:ilvl w:val="3"/>
          <w:numId w:val="40"/>
        </w:numPr>
        <w:bidi w:val="0"/>
        <w:ind w:left="0" w:leftChars="0" w:firstLine="0" w:firstLineChars="0"/>
        <w:rPr>
          <w:rFonts w:hint="default"/>
          <w:color w:val="auto"/>
          <w:highlight w:val="none"/>
        </w:rPr>
      </w:pPr>
      <w:r>
        <w:rPr>
          <w:rFonts w:hint="default"/>
          <w:color w:val="auto"/>
          <w:highlight w:val="none"/>
          <w:lang w:val="en-US" w:eastAsia="zh-CN"/>
        </w:rPr>
        <w:t>施工期基坑废水影响分析</w:t>
      </w:r>
    </w:p>
    <w:p w14:paraId="1AE707EB">
      <w:pPr>
        <w:pStyle w:val="41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基坑积水按20m</w:t>
      </w:r>
      <w:r>
        <w:rPr>
          <w:rFonts w:hint="default" w:ascii="Times New Roman" w:hAnsi="Times New Roman" w:eastAsia="宋体" w:cs="Times New Roman"/>
          <w:color w:val="auto"/>
          <w:highlight w:val="none"/>
          <w:vertAlign w:val="superscript"/>
          <w:lang w:eastAsia="zh-CN"/>
        </w:rPr>
        <w:t>3</w:t>
      </w:r>
      <w:r>
        <w:rPr>
          <w:rFonts w:hint="default" w:ascii="Times New Roman" w:hAnsi="Times New Roman" w:eastAsia="宋体" w:cs="Times New Roman"/>
          <w:color w:val="auto"/>
          <w:highlight w:val="none"/>
          <w:lang w:eastAsia="zh-CN"/>
        </w:rPr>
        <w:t>/次计算，基坑积水SS产生浓度一般在1500~2500mg/L，本项目SS按2000mg/L计算，SS产生量为0.04t/次，本项目基坑积水经沉淀后回用于洒水降尘。</w:t>
      </w:r>
    </w:p>
    <w:p w14:paraId="1F5DD375">
      <w:pPr>
        <w:pStyle w:val="41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本项目施工区、</w:t>
      </w:r>
      <w:r>
        <w:rPr>
          <w:rFonts w:hint="eastAsia" w:ascii="Times New Roman" w:cs="Times New Roman"/>
          <w:color w:val="auto"/>
          <w:highlight w:val="none"/>
          <w:lang w:eastAsia="zh-CN"/>
        </w:rPr>
        <w:t>临时中转场</w:t>
      </w:r>
      <w:r>
        <w:rPr>
          <w:rFonts w:hint="default" w:ascii="Times New Roman" w:hAnsi="Times New Roman" w:eastAsia="宋体" w:cs="Times New Roman"/>
          <w:color w:val="auto"/>
          <w:highlight w:val="none"/>
          <w:lang w:eastAsia="zh-CN"/>
        </w:rPr>
        <w:t>总面积为57100m</w:t>
      </w:r>
      <w:r>
        <w:rPr>
          <w:rFonts w:hint="default" w:ascii="Times New Roman" w:hAnsi="Times New Roman" w:eastAsia="宋体" w:cs="Times New Roman"/>
          <w:color w:val="auto"/>
          <w:highlight w:val="none"/>
          <w:vertAlign w:val="superscript"/>
          <w:lang w:eastAsia="zh-CN"/>
        </w:rPr>
        <w:t>2</w:t>
      </w:r>
      <w:r>
        <w:rPr>
          <w:rFonts w:hint="default" w:ascii="Times New Roman" w:hAnsi="Times New Roman" w:eastAsia="宋体" w:cs="Times New Roman"/>
          <w:color w:val="auto"/>
          <w:highlight w:val="none"/>
          <w:lang w:eastAsia="zh-CN"/>
        </w:rPr>
        <w:t>，场地洒水抑尘需求量为1.5L/m</w:t>
      </w:r>
      <w:r>
        <w:rPr>
          <w:rFonts w:hint="default" w:ascii="Times New Roman" w:hAnsi="Times New Roman" w:eastAsia="宋体" w:cs="Times New Roman"/>
          <w:color w:val="auto"/>
          <w:highlight w:val="none"/>
          <w:vertAlign w:val="superscript"/>
          <w:lang w:eastAsia="zh-CN"/>
        </w:rPr>
        <w:t>2</w:t>
      </w:r>
      <w:r>
        <w:rPr>
          <w:rFonts w:hint="default" w:ascii="Times New Roman" w:hAnsi="Times New Roman" w:eastAsia="宋体" w:cs="Times New Roman"/>
          <w:color w:val="auto"/>
          <w:highlight w:val="none"/>
          <w:lang w:eastAsia="zh-CN"/>
        </w:rPr>
        <w:t>·次，每日至少洒水降尘2次，因此项目临时工程洒水抑尘需水量为171.3m</w:t>
      </w:r>
      <w:r>
        <w:rPr>
          <w:rFonts w:hint="default" w:ascii="Times New Roman" w:hAnsi="Times New Roman" w:eastAsia="宋体" w:cs="Times New Roman"/>
          <w:color w:val="auto"/>
          <w:highlight w:val="none"/>
          <w:vertAlign w:val="superscript"/>
          <w:lang w:eastAsia="zh-CN"/>
        </w:rPr>
        <w:t>3</w:t>
      </w:r>
      <w:r>
        <w:rPr>
          <w:rFonts w:hint="default" w:ascii="Times New Roman" w:hAnsi="Times New Roman" w:eastAsia="宋体" w:cs="Times New Roman"/>
          <w:color w:val="auto"/>
          <w:highlight w:val="none"/>
          <w:lang w:eastAsia="zh-CN"/>
        </w:rPr>
        <w:t>·天，因此基坑积水可全部用施工场地洒水抑尘，</w:t>
      </w:r>
      <w:r>
        <w:rPr>
          <w:rFonts w:hint="default" w:ascii="Times New Roman" w:hAnsi="Times New Roman" w:cs="Times New Roman"/>
          <w:color w:val="auto"/>
          <w:highlight w:val="none"/>
          <w:lang w:eastAsia="zh-CN"/>
        </w:rPr>
        <w:t>不外排，</w:t>
      </w:r>
      <w:r>
        <w:rPr>
          <w:rFonts w:hint="default" w:ascii="Times New Roman" w:hAnsi="Times New Roman" w:eastAsia="宋体" w:cs="Times New Roman"/>
          <w:color w:val="auto"/>
          <w:highlight w:val="none"/>
          <w:lang w:eastAsia="zh-CN"/>
        </w:rPr>
        <w:t>项目基坑积水对周边地表水环境影响不大。</w:t>
      </w:r>
    </w:p>
    <w:p w14:paraId="228B337B">
      <w:pPr>
        <w:pStyle w:val="6"/>
        <w:numPr>
          <w:ilvl w:val="3"/>
          <w:numId w:val="40"/>
        </w:numPr>
        <w:bidi w:val="0"/>
        <w:ind w:left="0" w:leftChars="0" w:firstLine="0" w:firstLineChars="0"/>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淤泥渗滤液影响分析</w:t>
      </w:r>
    </w:p>
    <w:p w14:paraId="725CB7A5">
      <w:pPr>
        <w:pStyle w:val="410"/>
        <w:rPr>
          <w:rFonts w:hint="eastAsia" w:ascii="Times New Roman" w:hAnsi="Times New Roman" w:eastAsia="宋体" w:cs="Times New Roman"/>
          <w:b w:val="0"/>
          <w:bCs/>
          <w:color w:val="auto"/>
          <w:kern w:val="2"/>
          <w:sz w:val="24"/>
          <w:szCs w:val="32"/>
          <w:highlight w:val="none"/>
          <w:u w:val="single"/>
          <w:vertAlign w:val="baseline"/>
          <w:lang w:val="en-US" w:eastAsia="zh-CN" w:bidi="ar-SA"/>
        </w:rPr>
      </w:pPr>
      <w:r>
        <w:rPr>
          <w:rFonts w:hint="eastAsia" w:cs="Times New Roman"/>
          <w:color w:val="auto"/>
          <w:highlight w:val="none"/>
          <w:u w:val="single"/>
          <w:lang w:eastAsia="zh-CN"/>
        </w:rPr>
        <w:t>淤泥渗滤液包含淤泥自身渗出水和降雨时产生的淋溶水。</w:t>
      </w:r>
    </w:p>
    <w:p w14:paraId="530E0074">
      <w:pPr>
        <w:pStyle w:val="410"/>
        <w:rPr>
          <w:rFonts w:hint="eastAsia" w:ascii="Times New Roman" w:cs="Times New Roman"/>
          <w:b w:val="0"/>
          <w:bCs/>
          <w:color w:val="auto"/>
          <w:kern w:val="2"/>
          <w:sz w:val="24"/>
          <w:szCs w:val="32"/>
          <w:highlight w:val="none"/>
          <w:vertAlign w:val="baseline"/>
          <w:lang w:val="en-US" w:eastAsia="zh-CN" w:bidi="ar-SA"/>
        </w:rPr>
      </w:pPr>
      <w:r>
        <w:rPr>
          <w:rFonts w:hint="eastAsia" w:ascii="Times New Roman" w:cs="Times New Roman"/>
          <w:b w:val="0"/>
          <w:bCs/>
          <w:color w:val="auto"/>
          <w:kern w:val="2"/>
          <w:sz w:val="24"/>
          <w:szCs w:val="32"/>
          <w:highlight w:val="none"/>
          <w:vertAlign w:val="baseline"/>
          <w:lang w:val="en-US" w:eastAsia="zh-CN" w:bidi="ar-SA"/>
        </w:rPr>
        <w:t>根据巢湖污染底泥疏挖机处置二期工程中疏浚淤泥堆存实验研究结果，余水中污染物含量随着泥浆沉淀时间增加而降低，在沉淀初始时，SS浓度可达900~1000mg，静止48h后，SS浓度降至70~80mg/L。淤泥渗出水SS产生浓度一般在1500~2500mg/L，本项目SS按2000mg/L计算，沉淀后SS按80mg/L计算，SS产生量为0.854t/a，沉淀池沉渣清掏后同淤泥用于边坡绿化覆土。</w:t>
      </w:r>
    </w:p>
    <w:p w14:paraId="037834AE">
      <w:pPr>
        <w:pStyle w:val="410"/>
        <w:rPr>
          <w:rFonts w:hint="eastAsia" w:ascii="Times New Roman" w:hAnsi="Times New Roman" w:eastAsia="宋体" w:cs="Times New Roman"/>
          <w:b w:val="0"/>
          <w:bCs/>
          <w:color w:val="auto"/>
          <w:kern w:val="2"/>
          <w:sz w:val="24"/>
          <w:szCs w:val="32"/>
          <w:highlight w:val="none"/>
          <w:vertAlign w:val="baseline"/>
          <w:lang w:val="en-US" w:eastAsia="zh-CN" w:bidi="ar-SA"/>
        </w:rPr>
      </w:pPr>
      <w:r>
        <w:rPr>
          <w:rFonts w:hint="eastAsia" w:ascii="Times New Roman" w:cs="Times New Roman"/>
          <w:b w:val="0"/>
          <w:bCs/>
          <w:color w:val="auto"/>
          <w:kern w:val="2"/>
          <w:sz w:val="24"/>
          <w:szCs w:val="32"/>
          <w:highlight w:val="none"/>
          <w:u w:val="single"/>
          <w:vertAlign w:val="baseline"/>
          <w:lang w:val="en-US" w:eastAsia="zh-CN" w:bidi="ar-SA"/>
        </w:rPr>
        <w:t>项目临时中转场为露天形式，晴天和小雨一般不产生淋溶水，如遇雨季，因大雨等大气降水的淋滤产生淋溶 水。临时中转场日最大产生淋溶水649.14m</w:t>
      </w:r>
      <w:r>
        <w:rPr>
          <w:rFonts w:hint="eastAsia" w:ascii="Times New Roman" w:cs="Times New Roman"/>
          <w:b w:val="0"/>
          <w:bCs/>
          <w:color w:val="auto"/>
          <w:kern w:val="2"/>
          <w:sz w:val="24"/>
          <w:szCs w:val="32"/>
          <w:highlight w:val="none"/>
          <w:u w:val="single"/>
          <w:vertAlign w:val="superscript"/>
          <w:lang w:val="en-US" w:eastAsia="zh-CN" w:bidi="ar-SA"/>
        </w:rPr>
        <w:t>3</w:t>
      </w:r>
      <w:r>
        <w:rPr>
          <w:rFonts w:hint="eastAsia" w:ascii="Times New Roman" w:cs="Times New Roman"/>
          <w:b w:val="0"/>
          <w:bCs/>
          <w:color w:val="auto"/>
          <w:kern w:val="2"/>
          <w:sz w:val="24"/>
          <w:szCs w:val="32"/>
          <w:highlight w:val="none"/>
          <w:u w:val="single"/>
          <w:vertAlign w:val="baseline"/>
          <w:lang w:val="en-US" w:eastAsia="zh-CN" w:bidi="ar-SA"/>
        </w:rPr>
        <w:t>，项目在临时中转场周围设置截排水沟，并在临时中转场两侧建设淋溶水收集池，有效容积约700m³，淋溶水收集池可满足要求，淋溶水污染物主要为悬浮物， 淋溶水经沉淀池处理后回用于淋溶水经下游淋溶水沉淀池沉淀处理后作为施工生产、抑尘、道 路洒水、洗车用水等，不外排，对周边环境影响不大。</w:t>
      </w:r>
    </w:p>
    <w:p w14:paraId="5625AF4F">
      <w:pPr>
        <w:pStyle w:val="6"/>
        <w:numPr>
          <w:ilvl w:val="3"/>
          <w:numId w:val="40"/>
        </w:numPr>
        <w:bidi w:val="0"/>
        <w:ind w:left="0" w:leftChars="0" w:firstLine="0" w:firstLineChars="0"/>
        <w:rPr>
          <w:rFonts w:hint="default" w:ascii="Times New Roman" w:cs="Times New Roman"/>
          <w:b/>
          <w:bCs w:val="0"/>
          <w:color w:val="auto"/>
          <w:kern w:val="2"/>
          <w:sz w:val="24"/>
          <w:szCs w:val="32"/>
          <w:highlight w:val="none"/>
          <w:vertAlign w:val="baseline"/>
          <w:lang w:val="en-US" w:eastAsia="zh-CN" w:bidi="ar-SA"/>
        </w:rPr>
      </w:pPr>
      <w:r>
        <w:rPr>
          <w:rFonts w:hint="eastAsia" w:cs="Times New Roman"/>
          <w:b/>
          <w:bCs w:val="0"/>
          <w:color w:val="auto"/>
          <w:kern w:val="2"/>
          <w:sz w:val="24"/>
          <w:szCs w:val="32"/>
          <w:highlight w:val="none"/>
          <w:vertAlign w:val="baseline"/>
          <w:lang w:val="en-US" w:eastAsia="zh-CN" w:bidi="ar-SA"/>
        </w:rPr>
        <w:t>临时中转场淋溶水影响分析</w:t>
      </w:r>
    </w:p>
    <w:p w14:paraId="780F8D09">
      <w:pPr>
        <w:pStyle w:val="6"/>
        <w:numPr>
          <w:ilvl w:val="3"/>
          <w:numId w:val="40"/>
        </w:numPr>
        <w:bidi w:val="0"/>
        <w:ind w:left="0" w:leftChars="0" w:firstLine="0" w:firstLineChars="0"/>
        <w:rPr>
          <w:rFonts w:hint="default" w:ascii="Times New Roman" w:cs="Times New Roman"/>
          <w:b/>
          <w:bCs w:val="0"/>
          <w:color w:val="auto"/>
          <w:kern w:val="2"/>
          <w:sz w:val="24"/>
          <w:szCs w:val="32"/>
          <w:highlight w:val="none"/>
          <w:vertAlign w:val="baseline"/>
          <w:lang w:val="en-US" w:eastAsia="zh-CN" w:bidi="ar-SA"/>
        </w:rPr>
      </w:pPr>
      <w:r>
        <w:rPr>
          <w:rFonts w:hint="eastAsia" w:cs="Times New Roman"/>
          <w:b/>
          <w:bCs w:val="0"/>
          <w:color w:val="auto"/>
          <w:kern w:val="2"/>
          <w:sz w:val="24"/>
          <w:szCs w:val="32"/>
          <w:highlight w:val="none"/>
          <w:vertAlign w:val="baseline"/>
          <w:lang w:val="en-US" w:eastAsia="zh-CN" w:bidi="ar-SA"/>
        </w:rPr>
        <w:t>施工区初期雨水</w:t>
      </w:r>
    </w:p>
    <w:p w14:paraId="04FBFCE3">
      <w:pPr>
        <w:pStyle w:val="410"/>
        <w:rPr>
          <w:rFonts w:hint="eastAsia" w:ascii="Times New Roman" w:cs="Times New Roman"/>
          <w:color w:val="auto"/>
          <w:sz w:val="24"/>
          <w:szCs w:val="24"/>
          <w:highlight w:val="none"/>
          <w:u w:val="single"/>
          <w:lang w:val="en-US" w:eastAsia="zh-CN"/>
        </w:rPr>
      </w:pPr>
      <w:r>
        <w:rPr>
          <w:rFonts w:hint="eastAsia" w:ascii="Times New Roman" w:cs="Times New Roman"/>
          <w:color w:val="auto"/>
          <w:sz w:val="24"/>
          <w:szCs w:val="24"/>
          <w:highlight w:val="none"/>
          <w:u w:val="single"/>
          <w:lang w:val="en-US" w:eastAsia="zh-CN"/>
        </w:rPr>
        <w:t>项目施工区主要分为绣大道排水改造工程段、钦州港路排水工程段、水系改造段3个施工区，水系改造段设置施工围堰，围堰内降雨纳入基坑经常性废水中。</w:t>
      </w:r>
    </w:p>
    <w:p w14:paraId="5222D582">
      <w:pPr>
        <w:pStyle w:val="410"/>
        <w:rPr>
          <w:rFonts w:hint="eastAsia" w:ascii="Times New Roman" w:cs="Times New Roman"/>
          <w:color w:val="auto"/>
          <w:sz w:val="24"/>
          <w:szCs w:val="24"/>
          <w:highlight w:val="none"/>
          <w:u w:val="single"/>
          <w:lang w:val="en-US" w:eastAsia="zh-CN"/>
        </w:rPr>
      </w:pPr>
      <w:r>
        <w:rPr>
          <w:rFonts w:hint="eastAsia" w:ascii="Times New Roman" w:cs="Times New Roman"/>
          <w:color w:val="auto"/>
          <w:sz w:val="24"/>
          <w:szCs w:val="24"/>
          <w:highlight w:val="none"/>
          <w:u w:val="single"/>
          <w:lang w:val="en-US" w:eastAsia="zh-CN"/>
        </w:rPr>
        <w:t>项目主要分为3个施工区域同时开展施工，土方开挖等施工扰动，正常天气条件下不会 产生雨污水，在一定的降雨强度和降雨历时条件下将形成雨污水，雨污水产生量主要与降雨强 度、汇水面积、径流系数等因素有关。</w:t>
      </w:r>
    </w:p>
    <w:p w14:paraId="5B171339">
      <w:pPr>
        <w:pStyle w:val="410"/>
        <w:rPr>
          <w:rFonts w:hint="default" w:ascii="Times New Roman" w:cs="Times New Roman"/>
          <w:color w:val="auto"/>
          <w:sz w:val="24"/>
          <w:szCs w:val="24"/>
          <w:highlight w:val="none"/>
          <w:u w:val="single"/>
          <w:vertAlign w:val="baseline"/>
          <w:lang w:val="en-US" w:eastAsia="zh-CN"/>
        </w:rPr>
      </w:pPr>
      <w:r>
        <w:rPr>
          <w:rFonts w:hint="eastAsia" w:ascii="Times New Roman" w:cs="Times New Roman"/>
          <w:color w:val="auto"/>
          <w:sz w:val="24"/>
          <w:szCs w:val="24"/>
          <w:highlight w:val="none"/>
          <w:u w:val="single"/>
          <w:lang w:val="en-US" w:eastAsia="zh-CN"/>
        </w:rPr>
        <w:t xml:space="preserve">根据工程分析，项目每个施工期初期雨水产生量97.47m </w:t>
      </w:r>
      <w:r>
        <w:rPr>
          <w:rFonts w:hint="eastAsia" w:ascii="Times New Roman" w:cs="Times New Roman"/>
          <w:color w:val="auto"/>
          <w:sz w:val="24"/>
          <w:szCs w:val="24"/>
          <w:highlight w:val="none"/>
          <w:u w:val="single"/>
          <w:vertAlign w:val="superscript"/>
          <w:lang w:val="en-US" w:eastAsia="zh-CN"/>
        </w:rPr>
        <w:t>3</w:t>
      </w:r>
      <w:r>
        <w:rPr>
          <w:rFonts w:hint="eastAsia" w:ascii="Times New Roman" w:cs="Times New Roman"/>
          <w:color w:val="auto"/>
          <w:sz w:val="24"/>
          <w:szCs w:val="24"/>
          <w:highlight w:val="none"/>
          <w:u w:val="single"/>
          <w:lang w:val="en-US" w:eastAsia="zh-CN"/>
        </w:rPr>
        <w:t xml:space="preserve"> /次。项目在每个施工阶段合理布设施工场地，完善场地截排水沟，在施工场地下游侧设施初期雨水收集池，初期雨水收集池有效容积为100m </w:t>
      </w:r>
      <w:r>
        <w:rPr>
          <w:rFonts w:hint="eastAsia" w:ascii="Times New Roman" w:cs="Times New Roman"/>
          <w:color w:val="auto"/>
          <w:sz w:val="24"/>
          <w:szCs w:val="24"/>
          <w:highlight w:val="none"/>
          <w:u w:val="single"/>
          <w:vertAlign w:val="superscript"/>
          <w:lang w:val="en-US" w:eastAsia="zh-CN"/>
        </w:rPr>
        <w:t>3</w:t>
      </w:r>
      <w:r>
        <w:rPr>
          <w:rFonts w:hint="eastAsia" w:ascii="Times New Roman" w:cs="Times New Roman"/>
          <w:color w:val="auto"/>
          <w:sz w:val="24"/>
          <w:szCs w:val="24"/>
          <w:highlight w:val="none"/>
          <w:u w:val="single"/>
          <w:vertAlign w:val="baseline"/>
          <w:lang w:val="en-US" w:eastAsia="zh-CN"/>
        </w:rPr>
        <w:t>，初期雨水主要为悬浮物（SS），浓度一般为 500~1000mg/L，经沉淀处 理后，悬浮物浓度＜70 mg/L，初期雨水经收集沉淀处理后用于施工作业降尘、道路洒水、及 车辆冲洗水，不外排淡水湾江，对周边环境影响不大。</w:t>
      </w:r>
    </w:p>
    <w:p w14:paraId="05B81E79">
      <w:pPr>
        <w:pStyle w:val="6"/>
        <w:numPr>
          <w:ilvl w:val="3"/>
          <w:numId w:val="40"/>
        </w:numPr>
        <w:bidi w:val="0"/>
        <w:ind w:left="0" w:leftChars="0" w:firstLine="0" w:firstLineChars="0"/>
        <w:rPr>
          <w:rFonts w:hint="default" w:ascii="Times New Roman" w:cs="Times New Roman"/>
          <w:b/>
          <w:bCs w:val="0"/>
          <w:color w:val="auto"/>
          <w:kern w:val="2"/>
          <w:sz w:val="24"/>
          <w:szCs w:val="32"/>
          <w:highlight w:val="none"/>
          <w:vertAlign w:val="baseline"/>
          <w:lang w:val="en-US" w:eastAsia="zh-CN" w:bidi="ar-SA"/>
        </w:rPr>
      </w:pPr>
      <w:r>
        <w:rPr>
          <w:rFonts w:hint="eastAsia" w:cs="Times New Roman"/>
          <w:b/>
          <w:bCs w:val="0"/>
          <w:color w:val="auto"/>
          <w:kern w:val="2"/>
          <w:sz w:val="24"/>
          <w:szCs w:val="32"/>
          <w:highlight w:val="none"/>
          <w:vertAlign w:val="baseline"/>
          <w:lang w:val="en-US" w:eastAsia="zh-CN" w:bidi="ar-SA"/>
        </w:rPr>
        <w:t>施工期废水对海洋影响分析</w:t>
      </w:r>
    </w:p>
    <w:p w14:paraId="2364FCB1">
      <w:pPr>
        <w:pStyle w:val="410"/>
        <w:rPr>
          <w:rFonts w:hint="eastAsia" w:ascii="宋体" w:hAnsi="Times New Roman" w:eastAsia="宋体" w:cs="Times New Roman"/>
          <w:color w:val="auto"/>
          <w:highlight w:val="none"/>
          <w:lang w:val="en-US" w:eastAsia="zh-CN"/>
        </w:rPr>
      </w:pPr>
      <w:r>
        <w:rPr>
          <w:rFonts w:hint="eastAsia"/>
          <w:color w:val="auto"/>
          <w:highlight w:val="none"/>
          <w:lang w:val="en-US" w:eastAsia="zh-CN"/>
        </w:rPr>
        <w:t>根据工程分析，项目施工产生</w:t>
      </w:r>
      <w:r>
        <w:rPr>
          <w:rFonts w:hint="eastAsia" w:ascii="宋体" w:hAnsi="Times New Roman" w:eastAsia="宋体" w:cs="Times New Roman"/>
          <w:color w:val="auto"/>
          <w:highlight w:val="none"/>
          <w:lang w:val="en-US" w:eastAsia="zh-CN"/>
        </w:rPr>
        <w:t>的施工期混凝土养护废水、</w:t>
      </w:r>
      <w:r>
        <w:rPr>
          <w:rFonts w:hint="default" w:ascii="宋体" w:hAnsi="Times New Roman" w:eastAsia="宋体" w:cs="Times New Roman"/>
          <w:color w:val="auto"/>
          <w:highlight w:val="none"/>
          <w:lang w:val="en-US" w:eastAsia="zh-CN"/>
        </w:rPr>
        <w:t>运输车辆冲洗废水</w:t>
      </w:r>
      <w:r>
        <w:rPr>
          <w:rFonts w:hint="eastAsia" w:ascii="宋体" w:hAnsi="Times New Roman" w:eastAsia="宋体" w:cs="Times New Roman"/>
          <w:color w:val="auto"/>
          <w:highlight w:val="none"/>
          <w:lang w:val="en-US" w:eastAsia="zh-CN"/>
        </w:rPr>
        <w:t>、施工期基坑废水、施工期污泥</w:t>
      </w:r>
      <w:r>
        <w:rPr>
          <w:rFonts w:hint="eastAsia" w:cs="Times New Roman"/>
          <w:color w:val="auto"/>
          <w:highlight w:val="none"/>
          <w:lang w:val="en-US" w:eastAsia="zh-CN"/>
        </w:rPr>
        <w:t>渗滤液</w:t>
      </w:r>
      <w:r>
        <w:rPr>
          <w:rFonts w:hint="eastAsia" w:ascii="宋体" w:hAnsi="Times New Roman" w:eastAsia="宋体" w:cs="Times New Roman"/>
          <w:color w:val="auto"/>
          <w:highlight w:val="none"/>
          <w:lang w:val="en-US" w:eastAsia="zh-CN"/>
        </w:rPr>
        <w:t>经过自然蒸发、临时沉淀池沉淀等方式处置后回用，均不外排；</w:t>
      </w:r>
    </w:p>
    <w:p w14:paraId="5C88CF42">
      <w:pPr>
        <w:pStyle w:val="410"/>
        <w:rPr>
          <w:rFonts w:hint="default" w:ascii="宋体" w:hAnsi="Times New Roman" w:eastAsia="宋体" w:cs="Times New Roman"/>
          <w:color w:val="auto"/>
          <w:highlight w:val="none"/>
          <w:lang w:val="en-US" w:eastAsia="zh-CN"/>
        </w:rPr>
      </w:pPr>
      <w:r>
        <w:rPr>
          <w:rFonts w:hint="eastAsia" w:ascii="宋体" w:hAnsi="Times New Roman" w:eastAsia="宋体" w:cs="Times New Roman"/>
          <w:color w:val="auto"/>
          <w:highlight w:val="none"/>
          <w:lang w:val="en-US" w:eastAsia="zh-CN"/>
        </w:rPr>
        <w:t>项目施工对海洋环境影响主要表现在水系改造段施工围堰搭建和拆除过程中产生的围堰附近</w:t>
      </w:r>
      <w:r>
        <w:rPr>
          <w:rFonts w:hint="default" w:ascii="Times New Roman" w:hAnsi="Times New Roman" w:eastAsia="宋体" w:cs="Times New Roman"/>
          <w:color w:val="auto"/>
          <w:highlight w:val="none"/>
          <w:lang w:val="en-US" w:eastAsia="zh-CN"/>
        </w:rPr>
        <w:t>SS</w:t>
      </w:r>
      <w:r>
        <w:rPr>
          <w:rFonts w:hint="eastAsia" w:ascii="宋体" w:hAnsi="Times New Roman" w:eastAsia="宋体" w:cs="Times New Roman"/>
          <w:color w:val="auto"/>
          <w:highlight w:val="none"/>
          <w:lang w:val="en-US" w:eastAsia="zh-CN"/>
        </w:rPr>
        <w:t>浓度小区域局部性、暂时性增高。本项目设置的施工围堰面积较小且施工期较短，造成水体悬浮物浓度增高的仅限于围堰区域附近，</w:t>
      </w:r>
      <w:r>
        <w:rPr>
          <w:rFonts w:hint="eastAsia" w:cs="Times New Roman"/>
          <w:color w:val="auto"/>
          <w:highlight w:val="none"/>
          <w:lang w:val="en-US" w:eastAsia="zh-CN"/>
        </w:rPr>
        <w:t>且</w:t>
      </w:r>
      <w:r>
        <w:rPr>
          <w:rFonts w:hint="eastAsia" w:ascii="Times New Roman" w:cs="Times New Roman"/>
          <w:color w:val="auto"/>
          <w:highlight w:val="none"/>
          <w:u w:val="single"/>
          <w:lang w:val="en-US" w:eastAsia="zh-CN"/>
        </w:rPr>
        <w:t>与下游海域经现状乡村道路下方的涵洞相连，</w:t>
      </w:r>
      <w:r>
        <w:rPr>
          <w:rFonts w:hint="eastAsia" w:ascii="宋体" w:hAnsi="Times New Roman" w:eastAsia="宋体" w:cs="Times New Roman"/>
          <w:color w:val="auto"/>
          <w:highlight w:val="none"/>
          <w:lang w:val="en-US" w:eastAsia="zh-CN"/>
        </w:rPr>
        <w:t>淡水湾江与</w:t>
      </w:r>
      <w:r>
        <w:rPr>
          <w:rFonts w:hint="eastAsia" w:cs="Times New Roman"/>
          <w:color w:val="auto"/>
          <w:highlight w:val="none"/>
          <w:lang w:val="en-US" w:eastAsia="zh-CN"/>
        </w:rPr>
        <w:t>下游</w:t>
      </w:r>
      <w:r>
        <w:rPr>
          <w:rFonts w:hint="eastAsia" w:ascii="宋体" w:hAnsi="Times New Roman" w:eastAsia="宋体" w:cs="Times New Roman"/>
          <w:color w:val="auto"/>
          <w:highlight w:val="none"/>
          <w:lang w:val="en-US" w:eastAsia="zh-CN"/>
        </w:rPr>
        <w:t>海洋之间的水力联系不大，悬浮物经自由扩散和沉降后对海洋环境影响不大。</w:t>
      </w:r>
    </w:p>
    <w:p w14:paraId="28905834">
      <w:pPr>
        <w:pStyle w:val="5"/>
        <w:numPr>
          <w:ilvl w:val="2"/>
          <w:numId w:val="40"/>
        </w:numPr>
        <w:bidi w:val="0"/>
        <w:ind w:left="452" w:leftChars="0" w:firstLine="0" w:firstLineChars="0"/>
        <w:rPr>
          <w:rFonts w:hint="default"/>
          <w:color w:val="auto"/>
          <w:highlight w:val="none"/>
        </w:rPr>
      </w:pPr>
      <w:r>
        <w:rPr>
          <w:rFonts w:hint="default"/>
          <w:color w:val="auto"/>
          <w:highlight w:val="none"/>
          <w:lang w:eastAsia="zh-CN"/>
        </w:rPr>
        <w:t>地下水环境影响预测与评价</w:t>
      </w:r>
    </w:p>
    <w:p w14:paraId="1E2D602C">
      <w:pPr>
        <w:pStyle w:val="410"/>
        <w:numPr>
          <w:ilvl w:val="0"/>
          <w:numId w:val="44"/>
        </w:numP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施工期对地下水环境影响分析</w:t>
      </w:r>
    </w:p>
    <w:p w14:paraId="6A8E02C4">
      <w:pPr>
        <w:pStyle w:val="41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根据现场走访调查，本工程施工布置、水系改造开挖等均不涉及地下水饮用水源保护区，项目评价范围内村镇居民生活用水均已实现乡镇自来水管网供水，所以施工期不会对附近居民生活用水带来影响。</w:t>
      </w:r>
    </w:p>
    <w:p w14:paraId="2E78AE28">
      <w:pPr>
        <w:pStyle w:val="41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工程施工期施工用水为附近地表水，施工期污废水采取环保措施处理后用于生产或浇灌；规范施工期固体废物和危险废物的收集和处置，可以避免对所在区域地下水造成污染；规范施工人员生活污水的收集和处理可以避免乱排放而污染所在区域地下水。</w:t>
      </w:r>
    </w:p>
    <w:p w14:paraId="2161066A">
      <w:pPr>
        <w:pStyle w:val="41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综上，项目施工期对所在区域地下水影响很小。</w:t>
      </w:r>
    </w:p>
    <w:p w14:paraId="763A7CED">
      <w:pPr>
        <w:pStyle w:val="410"/>
        <w:numPr>
          <w:ilvl w:val="0"/>
          <w:numId w:val="44"/>
        </w:numPr>
        <w:rPr>
          <w:rFonts w:hint="default" w:ascii="Times New Roman" w:hAnsi="Times New Roman" w:eastAsia="宋体" w:cs="Times New Roman"/>
          <w:color w:val="auto"/>
          <w:highlight w:val="none"/>
          <w:lang w:eastAsia="zh-CN"/>
        </w:rPr>
      </w:pPr>
      <w:r>
        <w:rPr>
          <w:rFonts w:hint="eastAsia" w:ascii="Times New Roman" w:cs="Times New Roman"/>
          <w:color w:val="auto"/>
          <w:highlight w:val="none"/>
          <w:lang w:val="en-US" w:eastAsia="zh-CN"/>
        </w:rPr>
        <w:t>施工对分散饮用水点影响分析</w:t>
      </w:r>
    </w:p>
    <w:p w14:paraId="7F353599">
      <w:pPr>
        <w:pStyle w:val="41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rPr>
        <w:t>项目</w:t>
      </w:r>
      <w:r>
        <w:rPr>
          <w:rFonts w:hint="eastAsia" w:ascii="Times New Roman" w:hAnsi="Times New Roman" w:eastAsia="宋体" w:cs="Times New Roman"/>
          <w:color w:val="auto"/>
          <w:highlight w:val="none"/>
          <w:lang w:eastAsia="zh-CN"/>
        </w:rPr>
        <w:t>评价范围内部分村屯有</w:t>
      </w:r>
      <w:r>
        <w:rPr>
          <w:rFonts w:hint="eastAsia" w:ascii="Times New Roman" w:hAnsi="Times New Roman" w:eastAsia="宋体" w:cs="Times New Roman"/>
          <w:color w:val="auto"/>
          <w:highlight w:val="none"/>
        </w:rPr>
        <w:t>居民民井，属于分散式饮用水点，</w:t>
      </w:r>
      <w:r>
        <w:rPr>
          <w:rFonts w:hint="eastAsia" w:ascii="Times New Roman" w:hAnsi="Times New Roman" w:eastAsia="宋体" w:cs="Times New Roman"/>
          <w:color w:val="auto"/>
          <w:highlight w:val="none"/>
          <w:lang w:eastAsia="zh-CN"/>
        </w:rPr>
        <w:t>均</w:t>
      </w:r>
      <w:r>
        <w:rPr>
          <w:rFonts w:hint="eastAsia" w:ascii="Times New Roman" w:hAnsi="Times New Roman" w:eastAsia="宋体" w:cs="Times New Roman"/>
          <w:color w:val="auto"/>
          <w:highlight w:val="none"/>
        </w:rPr>
        <w:t>未划分饮用水源保护区。</w:t>
      </w:r>
      <w:r>
        <w:rPr>
          <w:rFonts w:hint="eastAsia" w:ascii="Times New Roman" w:cs="Times New Roman"/>
          <w:color w:val="auto"/>
          <w:highlight w:val="none"/>
          <w:lang w:eastAsia="zh-CN"/>
        </w:rPr>
        <w:t>项目周边</w:t>
      </w:r>
      <w:r>
        <w:rPr>
          <w:rFonts w:hint="eastAsia" w:ascii="Times New Roman" w:cs="Times New Roman"/>
          <w:color w:val="auto"/>
          <w:highlight w:val="none"/>
          <w:lang w:val="en-US" w:eastAsia="zh-CN"/>
        </w:rPr>
        <w:t>500m</w:t>
      </w:r>
      <w:r>
        <w:rPr>
          <w:rFonts w:hint="eastAsia" w:ascii="Times New Roman" w:cs="Times New Roman"/>
          <w:color w:val="auto"/>
          <w:highlight w:val="none"/>
          <w:lang w:eastAsia="zh-CN"/>
        </w:rPr>
        <w:t>分布</w:t>
      </w:r>
      <w:r>
        <w:rPr>
          <w:rFonts w:hint="eastAsia" w:ascii="Times New Roman" w:hAnsi="Times New Roman" w:eastAsia="宋体" w:cs="Times New Roman"/>
          <w:color w:val="auto"/>
          <w:highlight w:val="none"/>
        </w:rPr>
        <w:t>有</w:t>
      </w:r>
      <w:r>
        <w:rPr>
          <w:rFonts w:hint="eastAsia" w:ascii="Times New Roman" w:cs="Times New Roman"/>
          <w:color w:val="auto"/>
          <w:highlight w:val="none"/>
          <w:lang w:eastAsia="zh-CN"/>
        </w:rPr>
        <w:t>大岭脚村</w:t>
      </w:r>
      <w:r>
        <w:rPr>
          <w:rFonts w:hint="eastAsia" w:ascii="Times New Roman" w:hAnsi="Times New Roman" w:eastAsia="宋体" w:cs="Times New Roman"/>
          <w:color w:val="auto"/>
          <w:highlight w:val="none"/>
        </w:rPr>
        <w:t>、</w:t>
      </w:r>
      <w:r>
        <w:rPr>
          <w:rFonts w:hint="eastAsia" w:ascii="Times New Roman" w:cs="Times New Roman"/>
          <w:color w:val="auto"/>
          <w:highlight w:val="none"/>
          <w:lang w:eastAsia="zh-CN"/>
        </w:rPr>
        <w:t>细垌环村、蚝蜊墩村、大垌口村</w:t>
      </w:r>
      <w:r>
        <w:rPr>
          <w:rFonts w:hint="eastAsia" w:ascii="Times New Roman" w:hAnsi="Times New Roman" w:eastAsia="宋体" w:cs="Times New Roman"/>
          <w:color w:val="auto"/>
          <w:highlight w:val="none"/>
        </w:rPr>
        <w:t>等。</w:t>
      </w:r>
    </w:p>
    <w:p w14:paraId="202E0DE9">
      <w:pPr>
        <w:pStyle w:val="41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本次进行</w:t>
      </w:r>
      <w:r>
        <w:rPr>
          <w:rFonts w:hint="eastAsia" w:ascii="Times New Roman" w:cs="Times New Roman"/>
          <w:color w:val="auto"/>
          <w:highlight w:val="none"/>
          <w:lang w:eastAsia="zh-CN"/>
        </w:rPr>
        <w:t>道路回填、排水管敷设、水系改造</w:t>
      </w:r>
      <w:r>
        <w:rPr>
          <w:rFonts w:hint="eastAsia" w:ascii="Times New Roman" w:hAnsi="Times New Roman" w:eastAsia="宋体" w:cs="Times New Roman"/>
          <w:color w:val="auto"/>
          <w:highlight w:val="none"/>
        </w:rPr>
        <w:t>，</w:t>
      </w:r>
      <w:r>
        <w:rPr>
          <w:rFonts w:hint="eastAsia" w:ascii="Times New Roman" w:cs="Times New Roman"/>
          <w:color w:val="auto"/>
          <w:highlight w:val="none"/>
          <w:lang w:eastAsia="zh-CN"/>
        </w:rPr>
        <w:t>施工活动</w:t>
      </w:r>
      <w:r>
        <w:rPr>
          <w:rFonts w:hint="eastAsia" w:ascii="Times New Roman" w:hAnsi="Times New Roman" w:eastAsia="宋体" w:cs="Times New Roman"/>
          <w:color w:val="auto"/>
          <w:highlight w:val="none"/>
          <w:lang w:eastAsia="zh-CN"/>
        </w:rPr>
        <w:t>不扰动地下水</w:t>
      </w:r>
      <w:r>
        <w:rPr>
          <w:rFonts w:hint="eastAsia" w:ascii="Times New Roman" w:hAnsi="Times New Roman" w:eastAsia="宋体" w:cs="Times New Roman"/>
          <w:color w:val="auto"/>
          <w:highlight w:val="none"/>
        </w:rPr>
        <w:t>，对周边地下水流场环境影响不大。项目施工期施工废水经沉淀池处理后，回用于洒水降尘</w:t>
      </w:r>
      <w:r>
        <w:rPr>
          <w:rFonts w:hint="eastAsia" w:ascii="Times New Roman" w:cs="Times New Roman"/>
          <w:color w:val="auto"/>
          <w:highlight w:val="none"/>
          <w:lang w:eastAsia="zh-CN"/>
        </w:rPr>
        <w:t>；</w:t>
      </w:r>
      <w:r>
        <w:rPr>
          <w:rFonts w:hint="eastAsia" w:ascii="Times New Roman" w:hAnsi="Times New Roman" w:cs="Times New Roman"/>
          <w:color w:val="auto"/>
          <w:highlight w:val="none"/>
          <w:u w:val="none"/>
          <w:lang w:val="en-US" w:eastAsia="zh-CN"/>
        </w:rPr>
        <w:t>施工期混凝土养护废水经地面吸收和自然蒸发，不外排；</w:t>
      </w:r>
      <w:r>
        <w:rPr>
          <w:rFonts w:hint="default" w:ascii="Times New Roman" w:hAnsi="Times New Roman" w:cs="Times New Roman"/>
          <w:color w:val="auto"/>
          <w:highlight w:val="none"/>
          <w:u w:val="none"/>
        </w:rPr>
        <w:t>施工期</w:t>
      </w:r>
      <w:r>
        <w:rPr>
          <w:rFonts w:hint="default" w:ascii="Times New Roman" w:hAnsi="Times New Roman" w:cs="Times New Roman"/>
          <w:color w:val="auto"/>
          <w:highlight w:val="none"/>
          <w:u w:val="none"/>
          <w:lang w:val="en-US" w:eastAsia="zh-CN"/>
        </w:rPr>
        <w:t>运输车辆冲洗废水</w:t>
      </w:r>
      <w:r>
        <w:rPr>
          <w:rFonts w:hint="default" w:ascii="Times New Roman" w:hAnsi="Times New Roman" w:cs="Times New Roman"/>
          <w:color w:val="auto"/>
          <w:highlight w:val="none"/>
          <w:u w:val="none"/>
        </w:rPr>
        <w:t>经过场地隔油沉淀处理后可回用于施工洒水降尘，</w:t>
      </w:r>
      <w:r>
        <w:rPr>
          <w:rFonts w:hint="eastAsia" w:ascii="Times New Roman" w:hAnsi="Times New Roman" w:cs="Times New Roman"/>
          <w:color w:val="auto"/>
          <w:highlight w:val="none"/>
          <w:u w:val="none"/>
          <w:lang w:eastAsia="zh-CN"/>
        </w:rPr>
        <w:t>不外排；施工期基坑废水经临时沉淀池沉淀后回用于施工场区洒水降尘，不外排</w:t>
      </w:r>
      <w:r>
        <w:rPr>
          <w:rFonts w:hint="eastAsia" w:ascii="Times New Roman" w:cs="Times New Roman"/>
          <w:color w:val="auto"/>
          <w:highlight w:val="none"/>
          <w:u w:val="none"/>
          <w:lang w:eastAsia="zh-CN"/>
        </w:rPr>
        <w:t>；施工期污泥渗滤液经</w:t>
      </w:r>
      <w:r>
        <w:rPr>
          <w:rFonts w:hint="eastAsia" w:ascii="Times New Roman" w:hAnsi="Times New Roman" w:cs="Times New Roman"/>
          <w:color w:val="auto"/>
          <w:highlight w:val="none"/>
          <w:u w:val="none"/>
          <w:lang w:eastAsia="zh-CN"/>
        </w:rPr>
        <w:t>临时沉淀池沉淀后回用于临时中转场洒水降尘，不外排</w:t>
      </w:r>
      <w:r>
        <w:rPr>
          <w:rFonts w:hint="eastAsia" w:ascii="Times New Roman" w:hAnsi="Times New Roman" w:eastAsia="宋体" w:cs="Times New Roman"/>
          <w:color w:val="auto"/>
          <w:highlight w:val="none"/>
        </w:rPr>
        <w:t>。</w:t>
      </w:r>
    </w:p>
    <w:p w14:paraId="5E03C944">
      <w:pPr>
        <w:pStyle w:val="410"/>
        <w:rPr>
          <w:rFonts w:hint="default" w:ascii="Times New Roman" w:hAnsi="Times New Roman" w:eastAsia="宋体" w:cs="Times New Roman"/>
          <w:color w:val="auto"/>
          <w:highlight w:val="none"/>
          <w:lang w:eastAsia="zh-CN"/>
        </w:rPr>
      </w:pPr>
      <w:r>
        <w:rPr>
          <w:rFonts w:hint="eastAsia" w:ascii="Times New Roman" w:cs="Times New Roman"/>
          <w:color w:val="auto"/>
          <w:highlight w:val="none"/>
          <w:lang w:eastAsia="zh-CN"/>
        </w:rPr>
        <w:t>本工程施工面积较小，且施工期较短</w:t>
      </w:r>
      <w:r>
        <w:rPr>
          <w:rFonts w:hint="eastAsia" w:ascii="Times New Roman" w:hAnsi="Times New Roman" w:eastAsia="宋体" w:cs="Times New Roman"/>
          <w:color w:val="auto"/>
          <w:highlight w:val="none"/>
        </w:rPr>
        <w:t>，对沿线地下水影响很小，对沿线居民水井影响不大。</w:t>
      </w:r>
    </w:p>
    <w:p w14:paraId="2A1FCA94">
      <w:pPr>
        <w:pStyle w:val="5"/>
        <w:numPr>
          <w:ilvl w:val="2"/>
          <w:numId w:val="40"/>
        </w:numPr>
        <w:bidi w:val="0"/>
        <w:ind w:left="452" w:leftChars="0" w:firstLine="0" w:firstLineChars="0"/>
        <w:rPr>
          <w:rFonts w:hint="default"/>
          <w:color w:val="auto"/>
          <w:highlight w:val="none"/>
        </w:rPr>
      </w:pPr>
      <w:r>
        <w:rPr>
          <w:rFonts w:hint="default"/>
          <w:color w:val="auto"/>
          <w:highlight w:val="none"/>
        </w:rPr>
        <w:t>施工期声环境影响预测评价</w:t>
      </w:r>
    </w:p>
    <w:p w14:paraId="61D4A980">
      <w:pPr>
        <w:pStyle w:val="6"/>
        <w:numPr>
          <w:ilvl w:val="3"/>
          <w:numId w:val="40"/>
        </w:numPr>
        <w:bidi w:val="0"/>
        <w:ind w:left="0" w:leftChars="0" w:firstLine="0" w:firstLineChars="0"/>
        <w:rPr>
          <w:rFonts w:hint="default"/>
          <w:color w:val="auto"/>
          <w:highlight w:val="none"/>
        </w:rPr>
      </w:pPr>
      <w:r>
        <w:rPr>
          <w:rFonts w:hint="default"/>
          <w:color w:val="auto"/>
          <w:highlight w:val="none"/>
        </w:rPr>
        <w:t>施工机械噪声影响预测</w:t>
      </w:r>
    </w:p>
    <w:p w14:paraId="77DCA998">
      <w:pPr>
        <w:pStyle w:val="410"/>
        <w:rPr>
          <w:rFonts w:hint="default"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lang w:eastAsia="zh-CN"/>
        </w:rPr>
        <w:t>）预测方式</w:t>
      </w:r>
    </w:p>
    <w:p w14:paraId="445FC17F">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施工期间各施工机械噪声可近似作为点声源处理，根据点声源噪声传播衰减模式，可估算施工期间离噪声声源不同距离处的噪声值，从而就施工噪声对敏感点的影响作出分析评价。预测模式如下：</w:t>
      </w:r>
    </w:p>
    <w:p w14:paraId="016F1051">
      <w:pPr>
        <w:ind w:firstLine="454"/>
        <w:jc w:val="center"/>
        <w:rPr>
          <w:rFonts w:hint="default" w:ascii="Times New Roman" w:hAnsi="Times New Roman" w:cs="Times New Roman"/>
          <w:color w:val="auto"/>
          <w:kern w:val="0"/>
          <w:highlight w:val="none"/>
          <w:lang w:val="zh-CN"/>
        </w:rPr>
      </w:pPr>
      <w:r>
        <w:rPr>
          <w:rFonts w:hint="default" w:ascii="Times New Roman" w:hAnsi="Times New Roman" w:cs="Times New Roman"/>
          <w:i/>
          <w:color w:val="auto"/>
          <w:kern w:val="0"/>
          <w:highlight w:val="none"/>
          <w:lang w:val="zh-CN"/>
        </w:rPr>
        <w:t>L</w:t>
      </w:r>
      <w:r>
        <w:rPr>
          <w:rFonts w:hint="default" w:ascii="Times New Roman" w:hAnsi="Times New Roman" w:cs="Times New Roman"/>
          <w:color w:val="auto"/>
          <w:kern w:val="0"/>
          <w:highlight w:val="none"/>
          <w:vertAlign w:val="subscript"/>
          <w:lang w:val="zh-CN"/>
        </w:rPr>
        <w:t>2</w:t>
      </w:r>
      <w:r>
        <w:rPr>
          <w:rFonts w:hint="default" w:ascii="Times New Roman" w:hAnsi="Times New Roman" w:cs="Times New Roman"/>
          <w:color w:val="auto"/>
          <w:kern w:val="0"/>
          <w:highlight w:val="none"/>
          <w:lang w:val="zh-CN"/>
        </w:rPr>
        <w:t>=</w:t>
      </w:r>
      <w:r>
        <w:rPr>
          <w:rFonts w:hint="default" w:ascii="Times New Roman" w:hAnsi="Times New Roman" w:cs="Times New Roman"/>
          <w:i/>
          <w:color w:val="auto"/>
          <w:kern w:val="0"/>
          <w:highlight w:val="none"/>
          <w:lang w:val="zh-CN"/>
        </w:rPr>
        <w:t>L</w:t>
      </w:r>
      <w:r>
        <w:rPr>
          <w:rFonts w:hint="default" w:ascii="Times New Roman" w:hAnsi="Times New Roman" w:cs="Times New Roman"/>
          <w:color w:val="auto"/>
          <w:kern w:val="0"/>
          <w:highlight w:val="none"/>
          <w:vertAlign w:val="subscript"/>
          <w:lang w:val="zh-CN"/>
        </w:rPr>
        <w:t>1</w:t>
      </w:r>
      <w:r>
        <w:rPr>
          <w:rFonts w:hint="default" w:ascii="Times New Roman" w:hAnsi="Times New Roman" w:cs="Times New Roman"/>
          <w:color w:val="auto"/>
          <w:kern w:val="0"/>
          <w:highlight w:val="none"/>
          <w:lang w:val="zh-CN"/>
        </w:rPr>
        <w:t>－20lg（</w:t>
      </w:r>
      <w:r>
        <w:rPr>
          <w:rFonts w:hint="default" w:ascii="Times New Roman" w:hAnsi="Times New Roman" w:cs="Times New Roman"/>
          <w:i/>
          <w:color w:val="auto"/>
          <w:kern w:val="0"/>
          <w:highlight w:val="none"/>
          <w:lang w:val="zh-CN"/>
        </w:rPr>
        <w:t>r</w:t>
      </w:r>
      <w:r>
        <w:rPr>
          <w:rFonts w:hint="default" w:ascii="Times New Roman" w:hAnsi="Times New Roman" w:cs="Times New Roman"/>
          <w:color w:val="auto"/>
          <w:kern w:val="0"/>
          <w:highlight w:val="none"/>
          <w:vertAlign w:val="subscript"/>
          <w:lang w:val="zh-CN"/>
        </w:rPr>
        <w:t>2</w:t>
      </w:r>
      <w:r>
        <w:rPr>
          <w:rFonts w:hint="default" w:ascii="Times New Roman" w:hAnsi="Times New Roman" w:cs="Times New Roman"/>
          <w:color w:val="auto"/>
          <w:kern w:val="0"/>
          <w:highlight w:val="none"/>
          <w:lang w:val="zh-CN"/>
        </w:rPr>
        <w:t>／</w:t>
      </w:r>
      <w:r>
        <w:rPr>
          <w:rFonts w:hint="default" w:ascii="Times New Roman" w:hAnsi="Times New Roman" w:cs="Times New Roman"/>
          <w:i/>
          <w:color w:val="auto"/>
          <w:kern w:val="0"/>
          <w:highlight w:val="none"/>
          <w:lang w:val="zh-CN"/>
        </w:rPr>
        <w:t>r</w:t>
      </w:r>
      <w:r>
        <w:rPr>
          <w:rFonts w:hint="default" w:ascii="Times New Roman" w:hAnsi="Times New Roman" w:cs="Times New Roman"/>
          <w:color w:val="auto"/>
          <w:kern w:val="0"/>
          <w:highlight w:val="none"/>
          <w:vertAlign w:val="subscript"/>
          <w:lang w:val="zh-CN"/>
        </w:rPr>
        <w:t>1</w:t>
      </w:r>
      <w:r>
        <w:rPr>
          <w:rFonts w:hint="default" w:ascii="Times New Roman" w:hAnsi="Times New Roman" w:cs="Times New Roman"/>
          <w:color w:val="auto"/>
          <w:kern w:val="0"/>
          <w:highlight w:val="none"/>
          <w:lang w:val="zh-CN"/>
        </w:rPr>
        <w:t>）－△L</w:t>
      </w:r>
    </w:p>
    <w:p w14:paraId="40868CCC">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式中：</w:t>
      </w:r>
    </w:p>
    <w:p w14:paraId="34D2A858">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r</w:t>
      </w:r>
      <w:r>
        <w:rPr>
          <w:rFonts w:hint="default" w:ascii="Times New Roman" w:hAnsi="Times New Roman" w:cs="Times New Roman"/>
          <w:color w:val="auto"/>
          <w:highlight w:val="none"/>
          <w:vertAlign w:val="subscript"/>
        </w:rPr>
        <w:t>1</w:t>
      </w:r>
      <w:r>
        <w:rPr>
          <w:rFonts w:hint="default" w:ascii="Times New Roman" w:hAnsi="Times New Roman" w:cs="Times New Roman"/>
          <w:color w:val="auto"/>
          <w:highlight w:val="none"/>
        </w:rPr>
        <w:t>、r</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——距声源的距离，m；</w:t>
      </w:r>
    </w:p>
    <w:p w14:paraId="5AED282C">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L</w:t>
      </w:r>
      <w:r>
        <w:rPr>
          <w:rFonts w:hint="default" w:ascii="Times New Roman" w:hAnsi="Times New Roman" w:cs="Times New Roman"/>
          <w:color w:val="auto"/>
          <w:highlight w:val="none"/>
          <w:vertAlign w:val="subscript"/>
        </w:rPr>
        <w:t>1</w:t>
      </w:r>
      <w:r>
        <w:rPr>
          <w:rFonts w:hint="default" w:ascii="Times New Roman" w:hAnsi="Times New Roman" w:cs="Times New Roman"/>
          <w:color w:val="auto"/>
          <w:highlight w:val="none"/>
        </w:rPr>
        <w:t>、L</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——L</w:t>
      </w:r>
      <w:r>
        <w:rPr>
          <w:rFonts w:hint="default" w:ascii="Times New Roman" w:hAnsi="Times New Roman" w:cs="Times New Roman"/>
          <w:color w:val="auto"/>
          <w:highlight w:val="none"/>
          <w:vertAlign w:val="subscript"/>
        </w:rPr>
        <w:t>1</w:t>
      </w:r>
      <w:r>
        <w:rPr>
          <w:rFonts w:hint="default" w:ascii="Times New Roman" w:hAnsi="Times New Roman" w:cs="Times New Roman"/>
          <w:color w:val="auto"/>
          <w:highlight w:val="none"/>
        </w:rPr>
        <w:t>、L</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处的噪声值，dB（A）</w:t>
      </w:r>
    </w:p>
    <w:p w14:paraId="4464C2C0">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△L——房屋、树木等对噪声影响值，dB（A）。</w:t>
      </w:r>
    </w:p>
    <w:p w14:paraId="32E60D1F">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施工现场的噪声管理必须严格执行《建筑施工场界环境噪声排放标准》（GB12523-2011），根据工程分析章节和类比调查得到的参考声级，通过计算得出不同类型施工机械达标距离。</w:t>
      </w:r>
    </w:p>
    <w:p w14:paraId="5D051E45">
      <w:pPr>
        <w:pStyle w:val="410"/>
        <w:numPr>
          <w:ilvl w:val="0"/>
          <w:numId w:val="42"/>
        </w:numPr>
        <w:ind w:left="0" w:leftChars="0" w:firstLine="442" w:firstLineChars="200"/>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t>评价范围与标准</w:t>
      </w:r>
    </w:p>
    <w:p w14:paraId="65A086CE">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w:t>
      </w:r>
      <w:r>
        <w:rPr>
          <w:rFonts w:hint="default" w:ascii="Times New Roman" w:hAnsi="Times New Roman" w:eastAsia="宋体" w:cs="Times New Roman"/>
          <w:color w:val="auto"/>
          <w:highlight w:val="none"/>
          <w:lang w:val="en-US" w:eastAsia="zh-CN"/>
        </w:rPr>
        <w:t>夜间不施工</w:t>
      </w:r>
      <w:r>
        <w:rPr>
          <w:rFonts w:hint="default" w:ascii="Times New Roman" w:hAnsi="Times New Roman" w:eastAsia="宋体" w:cs="Times New Roman"/>
          <w:color w:val="auto"/>
          <w:highlight w:val="none"/>
        </w:rPr>
        <w:t>，施工噪声影响评价范围为本工程边界两侧200m处，评价标准采用《建筑施工场界环境噪声排放标准》(GB12523-2011)，即昼间70dB（A）、夜间55dB（A）。</w:t>
      </w:r>
    </w:p>
    <w:p w14:paraId="04F3CA6F">
      <w:pPr>
        <w:pStyle w:val="410"/>
        <w:numPr>
          <w:ilvl w:val="0"/>
          <w:numId w:val="42"/>
        </w:numPr>
        <w:ind w:left="0" w:leftChars="0" w:firstLine="442" w:firstLineChars="200"/>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t>预测结果</w:t>
      </w:r>
    </w:p>
    <w:p w14:paraId="7CEB96D4">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本评价不考虑施工围墙、绿化、建筑等对施工噪声的衰减；只考虑空间距离的自然 衰减时，对项目施工噪声污染的强度和范围进行预测。</w:t>
      </w:r>
    </w:p>
    <w:p w14:paraId="09215C95">
      <w:pPr>
        <w:pStyle w:val="410"/>
        <w:numPr>
          <w:ilvl w:val="0"/>
          <w:numId w:val="0"/>
        </w:numPr>
        <w:ind w:leftChars="200"/>
        <w:rPr>
          <w:rFonts w:hint="default" w:ascii="Times New Roman" w:hAnsi="Times New Roman" w:cs="Times New Roman"/>
          <w:b w:val="0"/>
          <w:bCs w:val="0"/>
          <w:color w:val="auto"/>
          <w:highlight w:val="none"/>
          <w:lang w:eastAsia="zh-CN"/>
        </w:rPr>
      </w:pPr>
      <w:r>
        <w:rPr>
          <w:rFonts w:hint="eastAsia" w:ascii="Times New Roman" w:hAnsi="Times New Roman" w:cs="Times New Roman"/>
          <w:b w:val="0"/>
          <w:bCs w:val="0"/>
          <w:color w:val="auto"/>
          <w:highlight w:val="none"/>
          <w:lang w:eastAsia="zh-CN"/>
        </w:rPr>
        <w:t>①单台机械作业时</w:t>
      </w:r>
    </w:p>
    <w:p w14:paraId="794C29ED">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距声源不同位置的噪声预测值见下表。</w:t>
      </w:r>
    </w:p>
    <w:p w14:paraId="7F627A74">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color w:val="auto"/>
          <w:highlight w:val="none"/>
        </w:rPr>
      </w:pPr>
      <w:bookmarkStart w:id="116" w:name="_Ref107822923"/>
      <w:r>
        <w:rPr>
          <w:rFonts w:hint="default" w:ascii="Times New Roman" w:hAnsi="Times New Roman" w:cs="Times New Roman"/>
          <w:color w:val="auto"/>
          <w:highlight w:val="none"/>
        </w:rPr>
        <w:t>主要噪声源源强及其与预测点位距离</w:t>
      </w:r>
      <w:bookmarkEnd w:id="116"/>
    </w:p>
    <w:tbl>
      <w:tblPr>
        <w:tblStyle w:val="1679"/>
        <w:tblW w:w="5141" w:type="pct"/>
        <w:tblInd w:w="0" w:type="dxa"/>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0" w:type="dxa"/>
          <w:bottom w:w="0" w:type="dxa"/>
          <w:right w:w="0" w:type="dxa"/>
        </w:tblCellMar>
      </w:tblPr>
      <w:tblGrid>
        <w:gridCol w:w="1397"/>
        <w:gridCol w:w="750"/>
        <w:gridCol w:w="750"/>
        <w:gridCol w:w="750"/>
        <w:gridCol w:w="750"/>
        <w:gridCol w:w="750"/>
        <w:gridCol w:w="750"/>
        <w:gridCol w:w="750"/>
        <w:gridCol w:w="540"/>
        <w:gridCol w:w="541"/>
        <w:gridCol w:w="633"/>
        <w:gridCol w:w="528"/>
      </w:tblGrid>
      <w:tr w14:paraId="67EEC58C">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786" w:type="pct"/>
            <w:vMerge w:val="restart"/>
            <w:tcBorders>
              <w:bottom w:val="nil"/>
            </w:tcBorders>
            <w:noWrap w:val="0"/>
            <w:vAlign w:val="center"/>
          </w:tcPr>
          <w:p w14:paraId="198E3163">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主要施工机械</w:t>
            </w:r>
          </w:p>
        </w:tc>
        <w:tc>
          <w:tcPr>
            <w:tcW w:w="2952" w:type="pct"/>
            <w:gridSpan w:val="7"/>
            <w:noWrap w:val="0"/>
            <w:vAlign w:val="center"/>
          </w:tcPr>
          <w:p w14:paraId="70FA603B">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距离（m）</w:t>
            </w:r>
          </w:p>
        </w:tc>
        <w:tc>
          <w:tcPr>
            <w:tcW w:w="608" w:type="pct"/>
            <w:gridSpan w:val="2"/>
            <w:noWrap w:val="0"/>
            <w:vAlign w:val="center"/>
          </w:tcPr>
          <w:p w14:paraId="299EB1CC">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标准</w:t>
            </w:r>
          </w:p>
        </w:tc>
        <w:tc>
          <w:tcPr>
            <w:tcW w:w="653" w:type="pct"/>
            <w:gridSpan w:val="2"/>
            <w:noWrap w:val="0"/>
            <w:vAlign w:val="center"/>
          </w:tcPr>
          <w:p w14:paraId="226846C2">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达标距离（ m）</w:t>
            </w:r>
          </w:p>
        </w:tc>
      </w:tr>
      <w:tr w14:paraId="6AE8F4D7">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86" w:type="pct"/>
            <w:vMerge w:val="continue"/>
            <w:tcBorders>
              <w:top w:val="nil"/>
            </w:tcBorders>
            <w:noWrap w:val="0"/>
            <w:vAlign w:val="center"/>
          </w:tcPr>
          <w:p w14:paraId="480AC978">
            <w:pPr>
              <w:autoSpaceDE/>
              <w:autoSpaceDN/>
              <w:jc w:val="center"/>
              <w:rPr>
                <w:rFonts w:hint="default" w:ascii="Times New Roman" w:hAnsi="Times New Roman" w:eastAsia="宋体" w:cs="Times New Roman"/>
                <w:color w:val="auto"/>
                <w:sz w:val="21"/>
                <w:szCs w:val="21"/>
                <w:highlight w:val="none"/>
                <w:lang w:eastAsia="en-US"/>
              </w:rPr>
            </w:pPr>
          </w:p>
        </w:tc>
        <w:tc>
          <w:tcPr>
            <w:tcW w:w="421" w:type="pct"/>
            <w:noWrap w:val="0"/>
            <w:vAlign w:val="center"/>
          </w:tcPr>
          <w:p w14:paraId="79A88BEE">
            <w:pPr>
              <w:autoSpaceDE/>
              <w:autoSpaceDN/>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c>
          <w:tcPr>
            <w:tcW w:w="421" w:type="pct"/>
            <w:noWrap w:val="0"/>
            <w:vAlign w:val="center"/>
          </w:tcPr>
          <w:p w14:paraId="44B97AF7">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10</w:t>
            </w:r>
          </w:p>
        </w:tc>
        <w:tc>
          <w:tcPr>
            <w:tcW w:w="421" w:type="pct"/>
            <w:noWrap w:val="0"/>
            <w:vAlign w:val="center"/>
          </w:tcPr>
          <w:p w14:paraId="59C31F8B">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20</w:t>
            </w:r>
          </w:p>
        </w:tc>
        <w:tc>
          <w:tcPr>
            <w:tcW w:w="421" w:type="pct"/>
            <w:noWrap w:val="0"/>
            <w:vAlign w:val="center"/>
          </w:tcPr>
          <w:p w14:paraId="283157DA">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40</w:t>
            </w:r>
          </w:p>
        </w:tc>
        <w:tc>
          <w:tcPr>
            <w:tcW w:w="421" w:type="pct"/>
            <w:noWrap w:val="0"/>
            <w:vAlign w:val="center"/>
          </w:tcPr>
          <w:p w14:paraId="4710254C">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80</w:t>
            </w:r>
          </w:p>
        </w:tc>
        <w:tc>
          <w:tcPr>
            <w:tcW w:w="421" w:type="pct"/>
            <w:noWrap w:val="0"/>
            <w:vAlign w:val="center"/>
          </w:tcPr>
          <w:p w14:paraId="4476A0DD">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100</w:t>
            </w:r>
          </w:p>
        </w:tc>
        <w:tc>
          <w:tcPr>
            <w:tcW w:w="421" w:type="pct"/>
            <w:noWrap w:val="0"/>
            <w:vAlign w:val="center"/>
          </w:tcPr>
          <w:p w14:paraId="2CEEF30E">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150</w:t>
            </w:r>
          </w:p>
        </w:tc>
        <w:tc>
          <w:tcPr>
            <w:tcW w:w="303" w:type="pct"/>
            <w:noWrap w:val="0"/>
            <w:vAlign w:val="center"/>
          </w:tcPr>
          <w:p w14:paraId="4B50C6D5">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昼间</w:t>
            </w:r>
          </w:p>
        </w:tc>
        <w:tc>
          <w:tcPr>
            <w:tcW w:w="304" w:type="pct"/>
            <w:noWrap w:val="0"/>
            <w:vAlign w:val="center"/>
          </w:tcPr>
          <w:p w14:paraId="17292814">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夜间</w:t>
            </w:r>
          </w:p>
        </w:tc>
        <w:tc>
          <w:tcPr>
            <w:tcW w:w="356" w:type="pct"/>
            <w:noWrap w:val="0"/>
            <w:vAlign w:val="center"/>
          </w:tcPr>
          <w:p w14:paraId="73C84207">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昼间</w:t>
            </w:r>
          </w:p>
        </w:tc>
        <w:tc>
          <w:tcPr>
            <w:tcW w:w="296" w:type="pct"/>
            <w:noWrap w:val="0"/>
            <w:vAlign w:val="center"/>
          </w:tcPr>
          <w:p w14:paraId="13316E57">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夜间</w:t>
            </w:r>
          </w:p>
        </w:tc>
      </w:tr>
      <w:tr w14:paraId="77B3C3C5">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86" w:type="pct"/>
            <w:noWrap w:val="0"/>
            <w:vAlign w:val="center"/>
          </w:tcPr>
          <w:p w14:paraId="3639921C">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挖掘机</w:t>
            </w:r>
          </w:p>
        </w:tc>
        <w:tc>
          <w:tcPr>
            <w:tcW w:w="421" w:type="pct"/>
            <w:noWrap w:val="0"/>
            <w:vAlign w:val="center"/>
          </w:tcPr>
          <w:p w14:paraId="4533BB22">
            <w:pPr>
              <w:autoSpaceDE/>
              <w:autoSpaceDN/>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96</w:t>
            </w:r>
          </w:p>
        </w:tc>
        <w:tc>
          <w:tcPr>
            <w:tcW w:w="421" w:type="pct"/>
            <w:noWrap w:val="0"/>
            <w:vAlign w:val="center"/>
          </w:tcPr>
          <w:p w14:paraId="31607246">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73.0</w:t>
            </w:r>
          </w:p>
        </w:tc>
        <w:tc>
          <w:tcPr>
            <w:tcW w:w="421" w:type="pct"/>
            <w:noWrap w:val="0"/>
            <w:vAlign w:val="center"/>
          </w:tcPr>
          <w:p w14:paraId="7EA20105">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67.0</w:t>
            </w:r>
          </w:p>
        </w:tc>
        <w:tc>
          <w:tcPr>
            <w:tcW w:w="421" w:type="pct"/>
            <w:noWrap w:val="0"/>
            <w:vAlign w:val="center"/>
          </w:tcPr>
          <w:p w14:paraId="3B3DCC25">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61.0</w:t>
            </w:r>
          </w:p>
        </w:tc>
        <w:tc>
          <w:tcPr>
            <w:tcW w:w="421" w:type="pct"/>
            <w:noWrap w:val="0"/>
            <w:vAlign w:val="center"/>
          </w:tcPr>
          <w:p w14:paraId="0049C443">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54.9</w:t>
            </w:r>
          </w:p>
        </w:tc>
        <w:tc>
          <w:tcPr>
            <w:tcW w:w="421" w:type="pct"/>
            <w:noWrap w:val="0"/>
            <w:vAlign w:val="center"/>
          </w:tcPr>
          <w:p w14:paraId="0453F3ED">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53.0</w:t>
            </w:r>
          </w:p>
        </w:tc>
        <w:tc>
          <w:tcPr>
            <w:tcW w:w="421" w:type="pct"/>
            <w:noWrap w:val="0"/>
            <w:vAlign w:val="center"/>
          </w:tcPr>
          <w:p w14:paraId="69A57019">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49.5</w:t>
            </w:r>
          </w:p>
        </w:tc>
        <w:tc>
          <w:tcPr>
            <w:tcW w:w="303" w:type="pct"/>
            <w:noWrap w:val="0"/>
            <w:vAlign w:val="center"/>
          </w:tcPr>
          <w:p w14:paraId="0E218DD1">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70</w:t>
            </w:r>
          </w:p>
        </w:tc>
        <w:tc>
          <w:tcPr>
            <w:tcW w:w="304" w:type="pct"/>
            <w:noWrap w:val="0"/>
            <w:vAlign w:val="center"/>
          </w:tcPr>
          <w:p w14:paraId="2A262B1A">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55</w:t>
            </w:r>
          </w:p>
        </w:tc>
        <w:tc>
          <w:tcPr>
            <w:tcW w:w="356" w:type="pct"/>
            <w:noWrap w:val="0"/>
            <w:vAlign w:val="center"/>
          </w:tcPr>
          <w:p w14:paraId="327AA5B5">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14. 1</w:t>
            </w:r>
          </w:p>
        </w:tc>
        <w:tc>
          <w:tcPr>
            <w:tcW w:w="296" w:type="pct"/>
            <w:noWrap w:val="0"/>
            <w:vAlign w:val="center"/>
          </w:tcPr>
          <w:p w14:paraId="5BA4CA1C">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79.4</w:t>
            </w:r>
          </w:p>
        </w:tc>
      </w:tr>
      <w:tr w14:paraId="0E233001">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86" w:type="pct"/>
            <w:noWrap w:val="0"/>
            <w:vAlign w:val="center"/>
          </w:tcPr>
          <w:p w14:paraId="7CBBA1F4">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振捣器</w:t>
            </w:r>
          </w:p>
        </w:tc>
        <w:tc>
          <w:tcPr>
            <w:tcW w:w="421" w:type="pct"/>
            <w:noWrap w:val="0"/>
            <w:vAlign w:val="center"/>
          </w:tcPr>
          <w:p w14:paraId="02080109">
            <w:pPr>
              <w:autoSpaceDE/>
              <w:autoSpaceDN/>
              <w:jc w:val="center"/>
              <w:rPr>
                <w:rFonts w:hint="default" w:ascii="Times New Roman" w:hAnsi="Times New Roman" w:eastAsia="宋体" w:cs="Times New Roman"/>
                <w:color w:val="auto"/>
                <w:sz w:val="21"/>
                <w:szCs w:val="21"/>
                <w:highlight w:val="none"/>
                <w:lang w:eastAsia="en-US"/>
              </w:rPr>
            </w:pPr>
            <w:r>
              <w:rPr>
                <w:rFonts w:hint="eastAsia" w:ascii="Times New Roman" w:cs="Times New Roman"/>
                <w:color w:val="auto"/>
                <w:sz w:val="21"/>
                <w:szCs w:val="21"/>
                <w:highlight w:val="none"/>
                <w:lang w:val="en-US" w:eastAsia="zh-CN"/>
              </w:rPr>
              <w:t>98</w:t>
            </w:r>
          </w:p>
        </w:tc>
        <w:tc>
          <w:tcPr>
            <w:tcW w:w="421" w:type="pct"/>
            <w:noWrap w:val="0"/>
            <w:vAlign w:val="center"/>
          </w:tcPr>
          <w:p w14:paraId="27582DDD">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76.0</w:t>
            </w:r>
          </w:p>
        </w:tc>
        <w:tc>
          <w:tcPr>
            <w:tcW w:w="421" w:type="pct"/>
            <w:noWrap w:val="0"/>
            <w:vAlign w:val="center"/>
          </w:tcPr>
          <w:p w14:paraId="7F5CF1A7">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70.0</w:t>
            </w:r>
          </w:p>
        </w:tc>
        <w:tc>
          <w:tcPr>
            <w:tcW w:w="421" w:type="pct"/>
            <w:noWrap w:val="0"/>
            <w:vAlign w:val="center"/>
          </w:tcPr>
          <w:p w14:paraId="3C587661">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64.0</w:t>
            </w:r>
          </w:p>
        </w:tc>
        <w:tc>
          <w:tcPr>
            <w:tcW w:w="421" w:type="pct"/>
            <w:noWrap w:val="0"/>
            <w:vAlign w:val="center"/>
          </w:tcPr>
          <w:p w14:paraId="7C23D6B4">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57.9</w:t>
            </w:r>
          </w:p>
        </w:tc>
        <w:tc>
          <w:tcPr>
            <w:tcW w:w="421" w:type="pct"/>
            <w:noWrap w:val="0"/>
            <w:vAlign w:val="center"/>
          </w:tcPr>
          <w:p w14:paraId="64C06B8B">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56.0</w:t>
            </w:r>
          </w:p>
        </w:tc>
        <w:tc>
          <w:tcPr>
            <w:tcW w:w="421" w:type="pct"/>
            <w:noWrap w:val="0"/>
            <w:vAlign w:val="center"/>
          </w:tcPr>
          <w:p w14:paraId="084A111B">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52.5</w:t>
            </w:r>
          </w:p>
        </w:tc>
        <w:tc>
          <w:tcPr>
            <w:tcW w:w="303" w:type="pct"/>
            <w:noWrap w:val="0"/>
            <w:vAlign w:val="center"/>
          </w:tcPr>
          <w:p w14:paraId="3A37A2B9">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70</w:t>
            </w:r>
          </w:p>
        </w:tc>
        <w:tc>
          <w:tcPr>
            <w:tcW w:w="304" w:type="pct"/>
            <w:noWrap w:val="0"/>
            <w:vAlign w:val="center"/>
          </w:tcPr>
          <w:p w14:paraId="1C47D799">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55</w:t>
            </w:r>
          </w:p>
        </w:tc>
        <w:tc>
          <w:tcPr>
            <w:tcW w:w="356" w:type="pct"/>
            <w:noWrap w:val="0"/>
            <w:vAlign w:val="center"/>
          </w:tcPr>
          <w:p w14:paraId="38A2CEB1">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20.0</w:t>
            </w:r>
          </w:p>
        </w:tc>
        <w:tc>
          <w:tcPr>
            <w:tcW w:w="296" w:type="pct"/>
            <w:noWrap w:val="0"/>
            <w:vAlign w:val="center"/>
          </w:tcPr>
          <w:p w14:paraId="1363E8C7">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112.2</w:t>
            </w:r>
          </w:p>
        </w:tc>
      </w:tr>
      <w:tr w14:paraId="4B562684">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86" w:type="pct"/>
            <w:noWrap w:val="0"/>
            <w:vAlign w:val="center"/>
          </w:tcPr>
          <w:p w14:paraId="6FD7B936">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自卸汽车</w:t>
            </w:r>
          </w:p>
        </w:tc>
        <w:tc>
          <w:tcPr>
            <w:tcW w:w="421" w:type="pct"/>
            <w:noWrap w:val="0"/>
            <w:vAlign w:val="center"/>
          </w:tcPr>
          <w:p w14:paraId="354A1424">
            <w:pPr>
              <w:autoSpaceDE/>
              <w:autoSpaceDN/>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93</w:t>
            </w:r>
          </w:p>
        </w:tc>
        <w:tc>
          <w:tcPr>
            <w:tcW w:w="421" w:type="pct"/>
            <w:noWrap w:val="0"/>
            <w:vAlign w:val="center"/>
          </w:tcPr>
          <w:p w14:paraId="49376939">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70.0</w:t>
            </w:r>
          </w:p>
        </w:tc>
        <w:tc>
          <w:tcPr>
            <w:tcW w:w="421" w:type="pct"/>
            <w:noWrap w:val="0"/>
            <w:vAlign w:val="center"/>
          </w:tcPr>
          <w:p w14:paraId="56EA04DD">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64.0</w:t>
            </w:r>
          </w:p>
        </w:tc>
        <w:tc>
          <w:tcPr>
            <w:tcW w:w="421" w:type="pct"/>
            <w:noWrap w:val="0"/>
            <w:vAlign w:val="center"/>
          </w:tcPr>
          <w:p w14:paraId="63169A5F">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58.0</w:t>
            </w:r>
          </w:p>
        </w:tc>
        <w:tc>
          <w:tcPr>
            <w:tcW w:w="421" w:type="pct"/>
            <w:noWrap w:val="0"/>
            <w:vAlign w:val="center"/>
          </w:tcPr>
          <w:p w14:paraId="1579A26A">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51.9</w:t>
            </w:r>
          </w:p>
        </w:tc>
        <w:tc>
          <w:tcPr>
            <w:tcW w:w="421" w:type="pct"/>
            <w:noWrap w:val="0"/>
            <w:vAlign w:val="center"/>
          </w:tcPr>
          <w:p w14:paraId="15708DA3">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50.0</w:t>
            </w:r>
          </w:p>
        </w:tc>
        <w:tc>
          <w:tcPr>
            <w:tcW w:w="421" w:type="pct"/>
            <w:noWrap w:val="0"/>
            <w:vAlign w:val="center"/>
          </w:tcPr>
          <w:p w14:paraId="2DE58B2C">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46.5</w:t>
            </w:r>
          </w:p>
        </w:tc>
        <w:tc>
          <w:tcPr>
            <w:tcW w:w="303" w:type="pct"/>
            <w:noWrap w:val="0"/>
            <w:vAlign w:val="center"/>
          </w:tcPr>
          <w:p w14:paraId="3E69958D">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70</w:t>
            </w:r>
          </w:p>
        </w:tc>
        <w:tc>
          <w:tcPr>
            <w:tcW w:w="304" w:type="pct"/>
            <w:noWrap w:val="0"/>
            <w:vAlign w:val="center"/>
          </w:tcPr>
          <w:p w14:paraId="48AA1013">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55</w:t>
            </w:r>
          </w:p>
        </w:tc>
        <w:tc>
          <w:tcPr>
            <w:tcW w:w="356" w:type="pct"/>
            <w:noWrap w:val="0"/>
            <w:vAlign w:val="center"/>
          </w:tcPr>
          <w:p w14:paraId="1466695D">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w:t>
            </w:r>
          </w:p>
        </w:tc>
        <w:tc>
          <w:tcPr>
            <w:tcW w:w="296" w:type="pct"/>
            <w:noWrap w:val="0"/>
            <w:vAlign w:val="center"/>
          </w:tcPr>
          <w:p w14:paraId="2E298AEB">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56.2</w:t>
            </w:r>
          </w:p>
        </w:tc>
      </w:tr>
      <w:tr w14:paraId="2699DA07">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86" w:type="pct"/>
            <w:noWrap w:val="0"/>
            <w:vAlign w:val="center"/>
          </w:tcPr>
          <w:p w14:paraId="50E44815">
            <w:pPr>
              <w:autoSpaceDE/>
              <w:autoSpaceDN/>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压路机</w:t>
            </w:r>
          </w:p>
        </w:tc>
        <w:tc>
          <w:tcPr>
            <w:tcW w:w="421" w:type="pct"/>
            <w:noWrap w:val="0"/>
            <w:vAlign w:val="center"/>
          </w:tcPr>
          <w:p w14:paraId="718EA7F7">
            <w:pPr>
              <w:autoSpaceDE/>
              <w:autoSpaceDN/>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82</w:t>
            </w:r>
          </w:p>
        </w:tc>
        <w:tc>
          <w:tcPr>
            <w:tcW w:w="421" w:type="pct"/>
            <w:noWrap w:val="0"/>
            <w:vAlign w:val="center"/>
          </w:tcPr>
          <w:p w14:paraId="6C7CE8A4">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64.0</w:t>
            </w:r>
          </w:p>
        </w:tc>
        <w:tc>
          <w:tcPr>
            <w:tcW w:w="421" w:type="pct"/>
            <w:noWrap w:val="0"/>
            <w:vAlign w:val="center"/>
          </w:tcPr>
          <w:p w14:paraId="161C0D51">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58.0</w:t>
            </w:r>
          </w:p>
        </w:tc>
        <w:tc>
          <w:tcPr>
            <w:tcW w:w="421" w:type="pct"/>
            <w:noWrap w:val="0"/>
            <w:vAlign w:val="center"/>
          </w:tcPr>
          <w:p w14:paraId="3C5962D7">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52.0</w:t>
            </w:r>
          </w:p>
        </w:tc>
        <w:tc>
          <w:tcPr>
            <w:tcW w:w="421" w:type="pct"/>
            <w:noWrap w:val="0"/>
            <w:vAlign w:val="center"/>
          </w:tcPr>
          <w:p w14:paraId="75577665">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45.9</w:t>
            </w:r>
          </w:p>
        </w:tc>
        <w:tc>
          <w:tcPr>
            <w:tcW w:w="421" w:type="pct"/>
            <w:noWrap w:val="0"/>
            <w:vAlign w:val="center"/>
          </w:tcPr>
          <w:p w14:paraId="5358A202">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44.0</w:t>
            </w:r>
          </w:p>
        </w:tc>
        <w:tc>
          <w:tcPr>
            <w:tcW w:w="421" w:type="pct"/>
            <w:noWrap w:val="0"/>
            <w:vAlign w:val="center"/>
          </w:tcPr>
          <w:p w14:paraId="597B1F01">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40.5</w:t>
            </w:r>
          </w:p>
        </w:tc>
        <w:tc>
          <w:tcPr>
            <w:tcW w:w="303" w:type="pct"/>
            <w:noWrap w:val="0"/>
            <w:vAlign w:val="center"/>
          </w:tcPr>
          <w:p w14:paraId="2984C93B">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70</w:t>
            </w:r>
          </w:p>
        </w:tc>
        <w:tc>
          <w:tcPr>
            <w:tcW w:w="304" w:type="pct"/>
            <w:noWrap w:val="0"/>
            <w:vAlign w:val="center"/>
          </w:tcPr>
          <w:p w14:paraId="281A2A19">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55</w:t>
            </w:r>
          </w:p>
        </w:tc>
        <w:tc>
          <w:tcPr>
            <w:tcW w:w="356" w:type="pct"/>
            <w:noWrap w:val="0"/>
            <w:vAlign w:val="center"/>
          </w:tcPr>
          <w:p w14:paraId="4C0F17B3">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w:t>
            </w:r>
          </w:p>
        </w:tc>
        <w:tc>
          <w:tcPr>
            <w:tcW w:w="296" w:type="pct"/>
            <w:noWrap w:val="0"/>
            <w:vAlign w:val="center"/>
          </w:tcPr>
          <w:p w14:paraId="6C552A7F">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28.2</w:t>
            </w:r>
          </w:p>
        </w:tc>
      </w:tr>
      <w:tr w14:paraId="30E01600">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86" w:type="pct"/>
            <w:noWrap w:val="0"/>
            <w:vAlign w:val="center"/>
          </w:tcPr>
          <w:p w14:paraId="56462026">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推土机</w:t>
            </w:r>
          </w:p>
        </w:tc>
        <w:tc>
          <w:tcPr>
            <w:tcW w:w="421" w:type="pct"/>
            <w:noWrap w:val="0"/>
            <w:vAlign w:val="center"/>
          </w:tcPr>
          <w:p w14:paraId="4CBC69EC">
            <w:pPr>
              <w:autoSpaceDE/>
              <w:autoSpaceDN/>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83</w:t>
            </w:r>
          </w:p>
        </w:tc>
        <w:tc>
          <w:tcPr>
            <w:tcW w:w="421" w:type="pct"/>
            <w:noWrap w:val="0"/>
            <w:vAlign w:val="center"/>
          </w:tcPr>
          <w:p w14:paraId="276523EC">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65.0</w:t>
            </w:r>
          </w:p>
        </w:tc>
        <w:tc>
          <w:tcPr>
            <w:tcW w:w="421" w:type="pct"/>
            <w:noWrap w:val="0"/>
            <w:vAlign w:val="center"/>
          </w:tcPr>
          <w:p w14:paraId="4730B5D7">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59.0</w:t>
            </w:r>
          </w:p>
        </w:tc>
        <w:tc>
          <w:tcPr>
            <w:tcW w:w="421" w:type="pct"/>
            <w:noWrap w:val="0"/>
            <w:vAlign w:val="center"/>
          </w:tcPr>
          <w:p w14:paraId="5F8C6123">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53.0</w:t>
            </w:r>
          </w:p>
        </w:tc>
        <w:tc>
          <w:tcPr>
            <w:tcW w:w="421" w:type="pct"/>
            <w:noWrap w:val="0"/>
            <w:vAlign w:val="center"/>
          </w:tcPr>
          <w:p w14:paraId="4933F4DA">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46.9</w:t>
            </w:r>
          </w:p>
        </w:tc>
        <w:tc>
          <w:tcPr>
            <w:tcW w:w="421" w:type="pct"/>
            <w:noWrap w:val="0"/>
            <w:vAlign w:val="center"/>
          </w:tcPr>
          <w:p w14:paraId="619E6AFC">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45.0</w:t>
            </w:r>
          </w:p>
        </w:tc>
        <w:tc>
          <w:tcPr>
            <w:tcW w:w="421" w:type="pct"/>
            <w:noWrap w:val="0"/>
            <w:vAlign w:val="center"/>
          </w:tcPr>
          <w:p w14:paraId="54830A9C">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41.5</w:t>
            </w:r>
          </w:p>
        </w:tc>
        <w:tc>
          <w:tcPr>
            <w:tcW w:w="303" w:type="pct"/>
            <w:noWrap w:val="0"/>
            <w:vAlign w:val="center"/>
          </w:tcPr>
          <w:p w14:paraId="3C00D3AC">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70</w:t>
            </w:r>
          </w:p>
        </w:tc>
        <w:tc>
          <w:tcPr>
            <w:tcW w:w="304" w:type="pct"/>
            <w:noWrap w:val="0"/>
            <w:vAlign w:val="center"/>
          </w:tcPr>
          <w:p w14:paraId="33C76733">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55</w:t>
            </w:r>
          </w:p>
        </w:tc>
        <w:tc>
          <w:tcPr>
            <w:tcW w:w="356" w:type="pct"/>
            <w:noWrap w:val="0"/>
            <w:vAlign w:val="center"/>
          </w:tcPr>
          <w:p w14:paraId="62B173B5">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w:t>
            </w:r>
          </w:p>
        </w:tc>
        <w:tc>
          <w:tcPr>
            <w:tcW w:w="296" w:type="pct"/>
            <w:noWrap w:val="0"/>
            <w:vAlign w:val="center"/>
          </w:tcPr>
          <w:p w14:paraId="1C45FF39">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31.6</w:t>
            </w:r>
          </w:p>
        </w:tc>
      </w:tr>
      <w:tr w14:paraId="31438E20">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86" w:type="pct"/>
            <w:noWrap w:val="0"/>
            <w:vAlign w:val="center"/>
          </w:tcPr>
          <w:p w14:paraId="2A36AB08">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灌浆泵</w:t>
            </w:r>
          </w:p>
        </w:tc>
        <w:tc>
          <w:tcPr>
            <w:tcW w:w="421" w:type="pct"/>
            <w:noWrap w:val="0"/>
            <w:vAlign w:val="center"/>
          </w:tcPr>
          <w:p w14:paraId="765E69C9">
            <w:pPr>
              <w:autoSpaceDE/>
              <w:autoSpaceDN/>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90</w:t>
            </w:r>
          </w:p>
        </w:tc>
        <w:tc>
          <w:tcPr>
            <w:tcW w:w="421" w:type="pct"/>
            <w:noWrap w:val="0"/>
            <w:vAlign w:val="center"/>
          </w:tcPr>
          <w:p w14:paraId="33A4542E">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67.0</w:t>
            </w:r>
          </w:p>
        </w:tc>
        <w:tc>
          <w:tcPr>
            <w:tcW w:w="421" w:type="pct"/>
            <w:noWrap w:val="0"/>
            <w:vAlign w:val="center"/>
          </w:tcPr>
          <w:p w14:paraId="257BF325">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61.0</w:t>
            </w:r>
          </w:p>
        </w:tc>
        <w:tc>
          <w:tcPr>
            <w:tcW w:w="421" w:type="pct"/>
            <w:noWrap w:val="0"/>
            <w:vAlign w:val="center"/>
          </w:tcPr>
          <w:p w14:paraId="5940A6A4">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55.0</w:t>
            </w:r>
          </w:p>
        </w:tc>
        <w:tc>
          <w:tcPr>
            <w:tcW w:w="421" w:type="pct"/>
            <w:noWrap w:val="0"/>
            <w:vAlign w:val="center"/>
          </w:tcPr>
          <w:p w14:paraId="0C3F27A7">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48.9</w:t>
            </w:r>
          </w:p>
        </w:tc>
        <w:tc>
          <w:tcPr>
            <w:tcW w:w="421" w:type="pct"/>
            <w:noWrap w:val="0"/>
            <w:vAlign w:val="center"/>
          </w:tcPr>
          <w:p w14:paraId="6EE5E3D7">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47.0</w:t>
            </w:r>
          </w:p>
        </w:tc>
        <w:tc>
          <w:tcPr>
            <w:tcW w:w="421" w:type="pct"/>
            <w:noWrap w:val="0"/>
            <w:vAlign w:val="center"/>
          </w:tcPr>
          <w:p w14:paraId="4607DD3C">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43.5</w:t>
            </w:r>
          </w:p>
        </w:tc>
        <w:tc>
          <w:tcPr>
            <w:tcW w:w="303" w:type="pct"/>
            <w:noWrap w:val="0"/>
            <w:vAlign w:val="center"/>
          </w:tcPr>
          <w:p w14:paraId="655E9502">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70</w:t>
            </w:r>
          </w:p>
        </w:tc>
        <w:tc>
          <w:tcPr>
            <w:tcW w:w="304" w:type="pct"/>
            <w:noWrap w:val="0"/>
            <w:vAlign w:val="center"/>
          </w:tcPr>
          <w:p w14:paraId="03E05607">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55</w:t>
            </w:r>
          </w:p>
        </w:tc>
        <w:tc>
          <w:tcPr>
            <w:tcW w:w="356" w:type="pct"/>
            <w:noWrap w:val="0"/>
            <w:vAlign w:val="center"/>
          </w:tcPr>
          <w:p w14:paraId="30F28284">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w:t>
            </w:r>
          </w:p>
        </w:tc>
        <w:tc>
          <w:tcPr>
            <w:tcW w:w="296" w:type="pct"/>
            <w:noWrap w:val="0"/>
            <w:vAlign w:val="center"/>
          </w:tcPr>
          <w:p w14:paraId="186A5F62">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39.8</w:t>
            </w:r>
          </w:p>
        </w:tc>
      </w:tr>
    </w:tbl>
    <w:p w14:paraId="431B9A7B">
      <w:pPr>
        <w:pStyle w:val="410"/>
        <w:rPr>
          <w:rFonts w:hint="default" w:ascii="Times New Roman" w:hAnsi="Times New Roman" w:eastAsia="宋体" w:cs="Times New Roman"/>
          <w:color w:val="auto"/>
          <w:highlight w:val="none"/>
        </w:rPr>
      </w:pPr>
      <w:r>
        <w:rPr>
          <w:rFonts w:hint="eastAsia" w:ascii="Times New Roman" w:cs="Times New Roman"/>
          <w:color w:val="auto"/>
          <w:highlight w:val="none"/>
          <w:lang w:val="en-US" w:eastAsia="zh-CN"/>
        </w:rPr>
        <w:t>根据上表</w:t>
      </w:r>
      <w:r>
        <w:rPr>
          <w:rFonts w:hint="default" w:ascii="Times New Roman" w:hAnsi="Times New Roman" w:eastAsia="宋体" w:cs="Times New Roman"/>
          <w:color w:val="auto"/>
          <w:highlight w:val="none"/>
        </w:rPr>
        <w:t>可知，</w:t>
      </w:r>
      <w:r>
        <w:rPr>
          <w:color w:val="auto"/>
          <w:spacing w:val="-2"/>
          <w:sz w:val="24"/>
          <w:szCs w:val="24"/>
          <w:highlight w:val="none"/>
        </w:rPr>
        <w:t>当施工场地没有围墙阻隔时</w:t>
      </w:r>
      <w:r>
        <w:rPr>
          <w:rFonts w:hint="default" w:ascii="Times New Roman" w:hAnsi="Times New Roman" w:eastAsia="宋体" w:cs="Times New Roman"/>
          <w:color w:val="auto"/>
          <w:highlight w:val="none"/>
        </w:rPr>
        <w:t>，影响最大施工机械为</w:t>
      </w:r>
      <w:r>
        <w:rPr>
          <w:rFonts w:hint="default" w:ascii="Times New Roman" w:hAnsi="Times New Roman" w:eastAsia="宋体" w:cs="Times New Roman"/>
          <w:color w:val="auto"/>
          <w:sz w:val="21"/>
          <w:szCs w:val="21"/>
          <w:highlight w:val="none"/>
          <w:lang w:eastAsia="en-US"/>
        </w:rPr>
        <w:t>振捣器</w:t>
      </w:r>
      <w:r>
        <w:rPr>
          <w:rFonts w:hint="default" w:ascii="Times New Roman" w:hAnsi="Times New Roman" w:eastAsia="宋体" w:cs="Times New Roman"/>
          <w:color w:val="auto"/>
          <w:highlight w:val="none"/>
        </w:rPr>
        <w:t>，在无围挡的情况下，</w:t>
      </w:r>
      <w:r>
        <w:rPr>
          <w:rFonts w:hint="eastAsia" w:ascii="Times New Roman" w:cs="Times New Roman"/>
          <w:color w:val="auto"/>
          <w:highlight w:val="none"/>
          <w:lang w:eastAsia="zh-CN"/>
        </w:rPr>
        <w:t>施工</w:t>
      </w:r>
      <w:r>
        <w:rPr>
          <w:rFonts w:hint="default" w:ascii="Times New Roman" w:hAnsi="Times New Roman" w:eastAsia="宋体" w:cs="Times New Roman"/>
          <w:color w:val="auto"/>
          <w:highlight w:val="none"/>
        </w:rPr>
        <w:t>噪声在昼间</w:t>
      </w:r>
      <w:r>
        <w:rPr>
          <w:rFonts w:hint="eastAsia" w:ascii="Times New Roman" w:cs="Times New Roman"/>
          <w:color w:val="auto"/>
          <w:highlight w:val="none"/>
          <w:lang w:val="en-US" w:eastAsia="zh-CN"/>
        </w:rPr>
        <w:t>20.0</w:t>
      </w:r>
      <w:r>
        <w:rPr>
          <w:rFonts w:hint="default" w:ascii="Times New Roman" w:hAnsi="Times New Roman" w:eastAsia="宋体" w:cs="Times New Roman"/>
          <w:color w:val="auto"/>
          <w:highlight w:val="none"/>
        </w:rPr>
        <w:t>m、夜间</w:t>
      </w:r>
      <w:r>
        <w:rPr>
          <w:rFonts w:hint="eastAsia" w:ascii="Times New Roman" w:cs="Times New Roman"/>
          <w:color w:val="auto"/>
          <w:highlight w:val="none"/>
          <w:lang w:val="en-US" w:eastAsia="zh-CN"/>
        </w:rPr>
        <w:t>112.2</w:t>
      </w:r>
      <w:r>
        <w:rPr>
          <w:rFonts w:hint="default" w:ascii="Times New Roman" w:hAnsi="Times New Roman" w:eastAsia="宋体" w:cs="Times New Roman"/>
          <w:color w:val="auto"/>
          <w:highlight w:val="none"/>
        </w:rPr>
        <w:t>m处可达到《建筑施工场界环境噪声排放标准》标准要求。夜间施工噪声影响较大。</w:t>
      </w:r>
    </w:p>
    <w:p w14:paraId="78365C6A">
      <w:pPr>
        <w:pStyle w:val="410"/>
        <w:rPr>
          <w:rFonts w:hint="eastAsia" w:ascii="Times New Roman" w:hAnsi="Times New Roman" w:eastAsia="宋体" w:cs="Times New Roman"/>
          <w:color w:val="auto"/>
          <w:highlight w:val="none"/>
          <w:lang w:eastAsia="zh-CN"/>
        </w:rPr>
      </w:pPr>
      <w:r>
        <w:rPr>
          <w:rFonts w:hint="eastAsia" w:ascii="Times New Roman" w:cs="Times New Roman"/>
          <w:color w:val="auto"/>
          <w:highlight w:val="none"/>
          <w:lang w:eastAsia="zh-CN"/>
        </w:rPr>
        <w:t>②多台机械作业时</w:t>
      </w:r>
    </w:p>
    <w:p w14:paraId="0644375B">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项目施工机械主要为流动作业，近似按作业区距离施工场界 10m 计算；施工时间按昼间计算，</w:t>
      </w:r>
      <w:r>
        <w:rPr>
          <w:rFonts w:hint="eastAsia" w:ascii="Times New Roman" w:cs="Times New Roman"/>
          <w:color w:val="auto"/>
          <w:highlight w:val="none"/>
          <w:lang w:eastAsia="zh-CN"/>
        </w:rPr>
        <w:t>禁止午间（北京时间</w:t>
      </w:r>
      <w:r>
        <w:rPr>
          <w:rFonts w:hint="eastAsia" w:ascii="Times New Roman" w:cs="Times New Roman"/>
          <w:color w:val="auto"/>
          <w:highlight w:val="none"/>
          <w:lang w:val="en-US" w:eastAsia="zh-CN"/>
        </w:rPr>
        <w:t>12：00-14：00</w:t>
      </w:r>
      <w:r>
        <w:rPr>
          <w:rFonts w:hint="eastAsia" w:ascii="Times New Roman" w:cs="Times New Roman"/>
          <w:color w:val="auto"/>
          <w:highlight w:val="none"/>
          <w:lang w:eastAsia="zh-CN"/>
        </w:rPr>
        <w:t>）和夜间（</w:t>
      </w:r>
      <w:r>
        <w:rPr>
          <w:rFonts w:hint="eastAsia" w:ascii="Times New Roman" w:cs="Times New Roman"/>
          <w:color w:val="auto"/>
          <w:highlight w:val="none"/>
          <w:lang w:val="en-US" w:eastAsia="zh-CN"/>
        </w:rPr>
        <w:t>22：00-次日凌晨6：00</w:t>
      </w:r>
      <w:r>
        <w:rPr>
          <w:rFonts w:hint="eastAsia" w:ascii="Times New Roman" w:cs="Times New Roman"/>
          <w:color w:val="auto"/>
          <w:highlight w:val="none"/>
          <w:lang w:eastAsia="zh-CN"/>
        </w:rPr>
        <w:t>）</w:t>
      </w:r>
      <w:r>
        <w:rPr>
          <w:rFonts w:hint="default" w:ascii="Times New Roman" w:hAnsi="Times New Roman" w:eastAsia="宋体" w:cs="Times New Roman"/>
          <w:color w:val="auto"/>
          <w:highlight w:val="none"/>
        </w:rPr>
        <w:t>施工。根据不同施工阶段的特点，假设施工机械同时作业的情景，预测不同施工阶段在施工场界处的噪声影响，见下表。</w:t>
      </w:r>
    </w:p>
    <w:p w14:paraId="29A8D749">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b w:val="0"/>
          <w:bCs w:val="0"/>
          <w:color w:val="auto"/>
          <w:highlight w:val="none"/>
        </w:rPr>
      </w:pPr>
      <w:r>
        <w:rPr>
          <w:b w:val="0"/>
          <w:bCs w:val="0"/>
          <w:color w:val="auto"/>
          <w:sz w:val="24"/>
          <w:szCs w:val="24"/>
          <w:highlight w:val="none"/>
        </w:rPr>
        <w:t>不同施工阶段在施工场界处的噪声级    单位：dB(A)</w:t>
      </w:r>
    </w:p>
    <w:tbl>
      <w:tblPr>
        <w:tblStyle w:val="1679"/>
        <w:tblW w:w="5001" w:type="pct"/>
        <w:tblInd w:w="0" w:type="dxa"/>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0" w:type="dxa"/>
          <w:bottom w:w="0" w:type="dxa"/>
          <w:right w:w="0" w:type="dxa"/>
        </w:tblCellMar>
      </w:tblPr>
      <w:tblGrid>
        <w:gridCol w:w="1427"/>
        <w:gridCol w:w="2790"/>
        <w:gridCol w:w="1304"/>
        <w:gridCol w:w="1071"/>
        <w:gridCol w:w="998"/>
        <w:gridCol w:w="1054"/>
      </w:tblGrid>
      <w:tr w14:paraId="44D4D86F">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825" w:type="pct"/>
            <w:noWrap w:val="0"/>
            <w:vAlign w:val="center"/>
          </w:tcPr>
          <w:p w14:paraId="51897ADD">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施工阶段</w:t>
            </w:r>
          </w:p>
        </w:tc>
        <w:tc>
          <w:tcPr>
            <w:tcW w:w="1613" w:type="pct"/>
            <w:noWrap w:val="0"/>
            <w:vAlign w:val="center"/>
          </w:tcPr>
          <w:p w14:paraId="0F9DCB8E">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同时作业的典型机械组合</w:t>
            </w:r>
          </w:p>
        </w:tc>
        <w:tc>
          <w:tcPr>
            <w:tcW w:w="754" w:type="pct"/>
            <w:noWrap w:val="0"/>
            <w:vAlign w:val="center"/>
          </w:tcPr>
          <w:p w14:paraId="3CA95880">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施工场界预测值</w:t>
            </w:r>
          </w:p>
        </w:tc>
        <w:tc>
          <w:tcPr>
            <w:tcW w:w="619" w:type="pct"/>
            <w:noWrap w:val="0"/>
            <w:vAlign w:val="center"/>
          </w:tcPr>
          <w:p w14:paraId="47A688C9">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昼间标准</w:t>
            </w:r>
          </w:p>
        </w:tc>
        <w:tc>
          <w:tcPr>
            <w:tcW w:w="577" w:type="pct"/>
            <w:noWrap w:val="0"/>
            <w:vAlign w:val="center"/>
          </w:tcPr>
          <w:p w14:paraId="05585DDD">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昼间达标情况</w:t>
            </w:r>
          </w:p>
        </w:tc>
        <w:tc>
          <w:tcPr>
            <w:tcW w:w="609" w:type="pct"/>
            <w:noWrap w:val="0"/>
            <w:vAlign w:val="center"/>
          </w:tcPr>
          <w:p w14:paraId="09F38090">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达标距离</w:t>
            </w:r>
          </w:p>
          <w:p w14:paraId="31CAECED">
            <w:pPr>
              <w:autoSpaceDE/>
              <w:autoSpaceDN/>
              <w:jc w:val="center"/>
              <w:rPr>
                <w:rFonts w:hint="default" w:ascii="Times New Roman" w:hAnsi="Times New Roman" w:eastAsia="宋体" w:cs="Times New Roman"/>
                <w:b/>
                <w:bCs/>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（m）</w:t>
            </w:r>
          </w:p>
        </w:tc>
      </w:tr>
      <w:tr w14:paraId="1C4AAE9C">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825" w:type="pct"/>
            <w:noWrap w:val="0"/>
            <w:vAlign w:val="center"/>
          </w:tcPr>
          <w:p w14:paraId="34979640">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基础开挖</w:t>
            </w:r>
          </w:p>
        </w:tc>
        <w:tc>
          <w:tcPr>
            <w:tcW w:w="1613" w:type="pct"/>
            <w:noWrap w:val="0"/>
            <w:vAlign w:val="center"/>
          </w:tcPr>
          <w:p w14:paraId="295294F5">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挖掘机×1、推土机×1</w:t>
            </w:r>
          </w:p>
        </w:tc>
        <w:tc>
          <w:tcPr>
            <w:tcW w:w="754" w:type="pct"/>
            <w:noWrap w:val="0"/>
            <w:vAlign w:val="center"/>
          </w:tcPr>
          <w:p w14:paraId="39CBEAC2">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77.8</w:t>
            </w:r>
          </w:p>
        </w:tc>
        <w:tc>
          <w:tcPr>
            <w:tcW w:w="619" w:type="pct"/>
            <w:noWrap w:val="0"/>
            <w:vAlign w:val="center"/>
          </w:tcPr>
          <w:p w14:paraId="25430B32">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70</w:t>
            </w:r>
          </w:p>
        </w:tc>
        <w:tc>
          <w:tcPr>
            <w:tcW w:w="577" w:type="pct"/>
            <w:noWrap w:val="0"/>
            <w:vAlign w:val="center"/>
          </w:tcPr>
          <w:p w14:paraId="097477EC">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+7.8</w:t>
            </w:r>
          </w:p>
        </w:tc>
        <w:tc>
          <w:tcPr>
            <w:tcW w:w="609" w:type="pct"/>
            <w:noWrap w:val="0"/>
            <w:vAlign w:val="center"/>
          </w:tcPr>
          <w:p w14:paraId="6A1ADC14">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24.5</w:t>
            </w:r>
          </w:p>
        </w:tc>
      </w:tr>
      <w:tr w14:paraId="0BC88955">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825" w:type="pct"/>
            <w:noWrap w:val="0"/>
            <w:vAlign w:val="center"/>
          </w:tcPr>
          <w:p w14:paraId="7E7B582F">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构筑物施工</w:t>
            </w:r>
          </w:p>
        </w:tc>
        <w:tc>
          <w:tcPr>
            <w:tcW w:w="1613" w:type="pct"/>
            <w:noWrap w:val="0"/>
            <w:vAlign w:val="center"/>
          </w:tcPr>
          <w:p w14:paraId="0C1F215C">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搅拌机×1、振捣器×1、灌浆泵×1</w:t>
            </w:r>
          </w:p>
        </w:tc>
        <w:tc>
          <w:tcPr>
            <w:tcW w:w="754" w:type="pct"/>
            <w:noWrap w:val="0"/>
            <w:vAlign w:val="center"/>
          </w:tcPr>
          <w:p w14:paraId="6CC13FFE">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71.6</w:t>
            </w:r>
          </w:p>
        </w:tc>
        <w:tc>
          <w:tcPr>
            <w:tcW w:w="619" w:type="pct"/>
            <w:noWrap w:val="0"/>
            <w:vAlign w:val="center"/>
          </w:tcPr>
          <w:p w14:paraId="7F90FE49">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70</w:t>
            </w:r>
          </w:p>
        </w:tc>
        <w:tc>
          <w:tcPr>
            <w:tcW w:w="577" w:type="pct"/>
            <w:noWrap w:val="0"/>
            <w:vAlign w:val="center"/>
          </w:tcPr>
          <w:p w14:paraId="6EF01ECB">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+1.6</w:t>
            </w:r>
          </w:p>
        </w:tc>
        <w:tc>
          <w:tcPr>
            <w:tcW w:w="609" w:type="pct"/>
            <w:noWrap w:val="0"/>
            <w:vAlign w:val="center"/>
          </w:tcPr>
          <w:p w14:paraId="4FE7B793">
            <w:pPr>
              <w:autoSpaceDE/>
              <w:autoSpaceDN/>
              <w:jc w:val="center"/>
              <w:rPr>
                <w:rFonts w:hint="default" w:ascii="Times New Roman" w:hAnsi="Times New Roman" w:eastAsia="宋体" w:cs="Times New Roman"/>
                <w:color w:val="auto"/>
                <w:sz w:val="21"/>
                <w:szCs w:val="21"/>
                <w:highlight w:val="none"/>
                <w:lang w:eastAsia="en-US"/>
              </w:rPr>
            </w:pPr>
            <w:r>
              <w:rPr>
                <w:rFonts w:hint="default" w:ascii="Times New Roman" w:hAnsi="Times New Roman" w:eastAsia="宋体" w:cs="Times New Roman"/>
                <w:color w:val="auto"/>
                <w:sz w:val="21"/>
                <w:szCs w:val="21"/>
                <w:highlight w:val="none"/>
                <w:lang w:eastAsia="en-US"/>
              </w:rPr>
              <w:t>12.0</w:t>
            </w:r>
          </w:p>
        </w:tc>
      </w:tr>
    </w:tbl>
    <w:p w14:paraId="19C5CBE4">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根据预测结果，当施工场地没有围墙阻隔时，基础开挖工程施工噪声影响最大，施工场界处昼间噪声级超</w:t>
      </w:r>
      <w:r>
        <w:rPr>
          <w:rFonts w:hint="eastAsia" w:ascii="Times New Roman" w:hAnsi="Times New Roman" w:eastAsia="宋体" w:cs="Times New Roman"/>
          <w:color w:val="auto"/>
          <w:highlight w:val="none"/>
        </w:rPr>
        <w:t>出</w:t>
      </w:r>
      <w:r>
        <w:rPr>
          <w:rFonts w:hint="default" w:ascii="Times New Roman" w:hAnsi="Times New Roman" w:eastAsia="宋体" w:cs="Times New Roman"/>
          <w:color w:val="auto"/>
          <w:highlight w:val="none"/>
        </w:rPr>
        <w:t>《建筑施工场界环境噪声排放标准》（GB12523-2011）昼间限值约7.8dB(A)。</w:t>
      </w:r>
    </w:p>
    <w:p w14:paraId="631A2442">
      <w:pPr>
        <w:pStyle w:val="410"/>
        <w:numPr>
          <w:ilvl w:val="0"/>
          <w:numId w:val="42"/>
        </w:numPr>
        <w:ind w:left="0" w:leftChars="0" w:firstLine="442" w:firstLineChars="200"/>
        <w:rPr>
          <w:rFonts w:hint="default" w:ascii="Times New Roman" w:hAnsi="Times New Roman" w:eastAsia="宋体" w:cs="Times New Roman"/>
          <w:color w:val="auto"/>
          <w:highlight w:val="none"/>
        </w:rPr>
      </w:pPr>
      <w:r>
        <w:rPr>
          <w:rFonts w:hint="eastAsia" w:ascii="Times New Roman" w:cs="Times New Roman"/>
          <w:color w:val="auto"/>
          <w:highlight w:val="none"/>
          <w:lang w:val="en-US" w:eastAsia="zh-CN"/>
        </w:rPr>
        <w:t>影响分析</w:t>
      </w:r>
    </w:p>
    <w:p w14:paraId="408DF2ED">
      <w:pPr>
        <w:pStyle w:val="410"/>
        <w:rPr>
          <w:rFonts w:hint="default" w:ascii="Times New Roman" w:hAnsi="Times New Roman" w:eastAsia="宋体" w:cs="Times New Roman"/>
          <w:color w:val="auto"/>
          <w:highlight w:val="none"/>
        </w:rPr>
      </w:pPr>
      <w:r>
        <w:rPr>
          <w:rFonts w:hint="eastAsia"/>
          <w:color w:val="auto"/>
          <w:highlight w:val="none"/>
          <w:lang w:val="en-US" w:eastAsia="zh-CN"/>
        </w:rPr>
        <w:t>本项目禁止</w:t>
      </w:r>
      <w:r>
        <w:rPr>
          <w:rFonts w:hint="eastAsia" w:ascii="Times New Roman" w:cs="Times New Roman"/>
          <w:color w:val="auto"/>
          <w:highlight w:val="none"/>
          <w:lang w:eastAsia="zh-CN"/>
        </w:rPr>
        <w:t>午间（北京时间</w:t>
      </w:r>
      <w:r>
        <w:rPr>
          <w:rFonts w:hint="eastAsia" w:ascii="Times New Roman" w:cs="Times New Roman"/>
          <w:color w:val="auto"/>
          <w:highlight w:val="none"/>
          <w:lang w:val="en-US" w:eastAsia="zh-CN"/>
        </w:rPr>
        <w:t>12：00-14：00</w:t>
      </w:r>
      <w:r>
        <w:rPr>
          <w:rFonts w:hint="eastAsia" w:ascii="Times New Roman" w:cs="Times New Roman"/>
          <w:color w:val="auto"/>
          <w:highlight w:val="none"/>
          <w:lang w:eastAsia="zh-CN"/>
        </w:rPr>
        <w:t>）和夜间（</w:t>
      </w:r>
      <w:r>
        <w:rPr>
          <w:rFonts w:hint="eastAsia" w:ascii="Times New Roman" w:cs="Times New Roman"/>
          <w:color w:val="auto"/>
          <w:highlight w:val="none"/>
          <w:lang w:val="en-US" w:eastAsia="zh-CN"/>
        </w:rPr>
        <w:t>22：00-次日凌晨6：00</w:t>
      </w:r>
      <w:r>
        <w:rPr>
          <w:rFonts w:hint="eastAsia" w:ascii="Times New Roman" w:cs="Times New Roman"/>
          <w:color w:val="auto"/>
          <w:highlight w:val="none"/>
          <w:lang w:eastAsia="zh-CN"/>
        </w:rPr>
        <w:t>）</w:t>
      </w:r>
      <w:r>
        <w:rPr>
          <w:rFonts w:hint="eastAsia"/>
          <w:color w:val="auto"/>
          <w:highlight w:val="none"/>
          <w:lang w:val="en-US" w:eastAsia="zh-CN"/>
        </w:rPr>
        <w:t>时间施工，施工</w:t>
      </w:r>
      <w:r>
        <w:rPr>
          <w:rFonts w:hint="eastAsia"/>
          <w:color w:val="auto"/>
          <w:highlight w:val="none"/>
        </w:rPr>
        <w:t>采用低噪声设备；加强设备日常维修保养；</w:t>
      </w:r>
      <w:r>
        <w:rPr>
          <w:rFonts w:hint="eastAsia" w:ascii="Times New Roman" w:cs="Times New Roman"/>
          <w:color w:val="auto"/>
          <w:highlight w:val="none"/>
          <w:lang w:val="en-US" w:eastAsia="zh-CN"/>
        </w:rPr>
        <w:t>并</w:t>
      </w:r>
      <w:r>
        <w:rPr>
          <w:rFonts w:hint="default" w:ascii="Times New Roman" w:hAnsi="Times New Roman" w:eastAsia="宋体" w:cs="Times New Roman"/>
          <w:color w:val="auto"/>
          <w:highlight w:val="none"/>
        </w:rPr>
        <w:t>在</w:t>
      </w:r>
      <w:r>
        <w:rPr>
          <w:rFonts w:hint="eastAsia" w:ascii="Times New Roman" w:hAnsi="Times New Roman" w:eastAsia="宋体" w:cs="Times New Roman"/>
          <w:color w:val="auto"/>
          <w:highlight w:val="none"/>
          <w:lang w:eastAsia="zh-CN"/>
        </w:rPr>
        <w:t>临近敏感点一侧的</w:t>
      </w:r>
      <w:r>
        <w:rPr>
          <w:rFonts w:hint="default" w:ascii="Times New Roman" w:hAnsi="Times New Roman" w:eastAsia="宋体" w:cs="Times New Roman"/>
          <w:color w:val="auto"/>
          <w:highlight w:val="none"/>
        </w:rPr>
        <w:t>施工场界安装2</w:t>
      </w:r>
      <w:r>
        <w:rPr>
          <w:rFonts w:hint="eastAsia" w:ascii="Times New Roman" w:hAnsi="Times New Roman" w:eastAsia="宋体" w:cs="Times New Roman"/>
          <w:color w:val="auto"/>
          <w:highlight w:val="none"/>
        </w:rPr>
        <w:t>.5</w:t>
      </w:r>
      <w:r>
        <w:rPr>
          <w:rFonts w:hint="default" w:ascii="Times New Roman" w:hAnsi="Times New Roman" w:eastAsia="宋体" w:cs="Times New Roman"/>
          <w:color w:val="auto"/>
          <w:highlight w:val="none"/>
        </w:rPr>
        <w:t>m高度</w:t>
      </w:r>
      <w:r>
        <w:rPr>
          <w:rFonts w:hint="eastAsia" w:ascii="Times New Roman" w:hAnsi="Times New Roman" w:eastAsia="宋体" w:cs="Times New Roman"/>
          <w:color w:val="auto"/>
          <w:highlight w:val="none"/>
          <w:lang w:eastAsia="zh-CN"/>
        </w:rPr>
        <w:t>的临时</w:t>
      </w:r>
      <w:r>
        <w:rPr>
          <w:rFonts w:hint="default" w:ascii="Times New Roman" w:hAnsi="Times New Roman" w:eastAsia="宋体" w:cs="Times New Roman"/>
          <w:color w:val="auto"/>
          <w:highlight w:val="none"/>
        </w:rPr>
        <w:t>实心围挡，围挡可以起到声屏障的作用，降低噪声影响 15~20dB</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A</w:t>
      </w:r>
      <w:r>
        <w:rPr>
          <w:rFonts w:hint="eastAsia"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左右</w:t>
      </w:r>
      <w:r>
        <w:rPr>
          <w:rFonts w:hint="eastAsia" w:ascii="Times New Roman" w:hAnsi="Times New Roman" w:eastAsia="宋体" w:cs="Times New Roman"/>
          <w:color w:val="auto"/>
          <w:highlight w:val="none"/>
          <w:lang w:eastAsia="zh-CN"/>
        </w:rPr>
        <w:t>。采取</w:t>
      </w:r>
      <w:r>
        <w:rPr>
          <w:rFonts w:hint="eastAsia" w:ascii="Times New Roman" w:cs="Times New Roman"/>
          <w:color w:val="auto"/>
          <w:highlight w:val="none"/>
          <w:lang w:val="en-US" w:eastAsia="zh-CN"/>
        </w:rPr>
        <w:t>以上</w:t>
      </w:r>
      <w:r>
        <w:rPr>
          <w:rFonts w:hint="eastAsia" w:ascii="Times New Roman" w:hAnsi="Times New Roman" w:eastAsia="宋体" w:cs="Times New Roman"/>
          <w:color w:val="auto"/>
          <w:highlight w:val="none"/>
          <w:lang w:eastAsia="zh-CN"/>
        </w:rPr>
        <w:t>措施后，确保</w:t>
      </w:r>
      <w:r>
        <w:rPr>
          <w:rFonts w:hint="default" w:ascii="Times New Roman" w:hAnsi="Times New Roman" w:eastAsia="宋体" w:cs="Times New Roman"/>
          <w:color w:val="auto"/>
          <w:highlight w:val="none"/>
        </w:rPr>
        <w:t>昼间施工场界环境噪声达标。施工噪声对周围声环境的影响是暂时的、短期的，且随着工程的竣工而消失，在采取使用先进的施工器械、合理安排施工时间等相关措施之后，对周边声环境的影响是可接受的。</w:t>
      </w:r>
    </w:p>
    <w:p w14:paraId="002E39D9">
      <w:pPr>
        <w:pStyle w:val="6"/>
        <w:numPr>
          <w:ilvl w:val="3"/>
          <w:numId w:val="40"/>
        </w:numPr>
        <w:bidi w:val="0"/>
        <w:ind w:left="0" w:leftChars="0" w:firstLine="0" w:firstLineChars="0"/>
        <w:rPr>
          <w:rFonts w:hint="default"/>
          <w:color w:val="auto"/>
          <w:highlight w:val="none"/>
        </w:rPr>
      </w:pPr>
      <w:r>
        <w:rPr>
          <w:rFonts w:hint="default"/>
          <w:color w:val="auto"/>
          <w:highlight w:val="none"/>
          <w:lang w:eastAsia="zh-CN"/>
        </w:rPr>
        <w:t>施工期交通运输噪声影响分析</w:t>
      </w:r>
    </w:p>
    <w:p w14:paraId="7DA8F269">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本工程运输的主要为土料、钢筋、石料和砂料等施工材料，运输车辆多为大、中型车，设备、材料运输车辆行驶过程中产生交通噪声，对道路沿线敏感点产生一定的影响。</w:t>
      </w:r>
    </w:p>
    <w:p w14:paraId="62624112">
      <w:pPr>
        <w:pStyle w:val="410"/>
        <w:rPr>
          <w:rFonts w:hint="default" w:ascii="Times New Roman" w:hAnsi="Times New Roman" w:cs="Times New Roman"/>
          <w:color w:val="auto"/>
          <w:highlight w:val="none"/>
          <w:u w:val="single"/>
        </w:rPr>
      </w:pPr>
      <w:r>
        <w:rPr>
          <w:rFonts w:hint="default" w:ascii="Times New Roman" w:hAnsi="Times New Roman" w:eastAsia="宋体" w:cs="Times New Roman"/>
          <w:color w:val="auto"/>
          <w:highlight w:val="none"/>
        </w:rPr>
        <w:t>根据本工程施工期的工程量、运输物料总量及施工进度安排，施工高峰期内的运输车流量约为6辆/h，车速约为20～40km/h。物料运输车流量很小，为间断式噪声，不适合采用《环境影响评价技术导则声环境》（HJ2.4-2021）附录A中推荐的道路交通运输噪声预测模式进行预测。参考《环境影响评价技术手册水利水电工程》（邹家祥主编，中国环境科学出版社）一书，采用其推荐的运输车辆噪声模式进行计算，预测公式如下</w:t>
      </w:r>
      <w:r>
        <w:rPr>
          <w:rFonts w:hint="default" w:ascii="Times New Roman" w:hAnsi="Times New Roman" w:cs="Times New Roman"/>
          <w:color w:val="auto"/>
          <w:highlight w:val="none"/>
          <w:u w:val="single"/>
        </w:rPr>
        <w:t>：</w:t>
      </w:r>
    </w:p>
    <w:p w14:paraId="09012A0B">
      <w:pPr>
        <w:pStyle w:val="410"/>
        <w:jc w:val="center"/>
        <w:rPr>
          <w:rFonts w:hint="default" w:ascii="Times New Roman" w:hAnsi="Times New Roman" w:cs="Times New Roman"/>
          <w:color w:val="auto"/>
          <w:highlight w:val="none"/>
          <w:u w:val="single"/>
        </w:rPr>
      </w:pPr>
      <w:r>
        <w:rPr>
          <w:rFonts w:hint="default" w:ascii="Times New Roman" w:hAnsi="Times New Roman" w:cs="Times New Roman"/>
          <w:color w:val="auto"/>
          <w:position w:val="-14"/>
          <w:highlight w:val="none"/>
        </w:rPr>
        <w:drawing>
          <wp:inline distT="0" distB="0" distL="114300" distR="114300">
            <wp:extent cx="3048635" cy="374650"/>
            <wp:effectExtent l="0" t="0" r="18415" b="6350"/>
            <wp:docPr id="51" name="IM 190"/>
            <wp:cNvGraphicFramePr/>
            <a:graphic xmlns:a="http://schemas.openxmlformats.org/drawingml/2006/main">
              <a:graphicData uri="http://schemas.openxmlformats.org/drawingml/2006/picture">
                <pic:pic xmlns:pic="http://schemas.openxmlformats.org/drawingml/2006/picture">
                  <pic:nvPicPr>
                    <pic:cNvPr id="51" name="IM 190"/>
                    <pic:cNvPicPr/>
                  </pic:nvPicPr>
                  <pic:blipFill>
                    <a:blip r:embed="rId85"/>
                    <a:stretch>
                      <a:fillRect/>
                    </a:stretch>
                  </pic:blipFill>
                  <pic:spPr>
                    <a:xfrm>
                      <a:off x="0" y="0"/>
                      <a:ext cx="3048635" cy="374650"/>
                    </a:xfrm>
                    <a:prstGeom prst="rect">
                      <a:avLst/>
                    </a:prstGeom>
                    <a:noFill/>
                    <a:ln>
                      <a:noFill/>
                    </a:ln>
                  </pic:spPr>
                </pic:pic>
              </a:graphicData>
            </a:graphic>
          </wp:inline>
        </w:drawing>
      </w:r>
    </w:p>
    <w:p w14:paraId="04826E39">
      <w:pPr>
        <w:spacing w:before="249" w:line="220" w:lineRule="auto"/>
        <w:ind w:left="485"/>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6"/>
          <w:sz w:val="24"/>
          <w:szCs w:val="24"/>
          <w:highlight w:val="none"/>
        </w:rPr>
        <w:t>式中：</w:t>
      </w:r>
    </w:p>
    <w:p w14:paraId="4D304A91">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Leq—距声源r（m）处的A声级，dB(A)；</w:t>
      </w:r>
    </w:p>
    <w:p w14:paraId="5E2BC434">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LA—某机动车在距离r0，速度为V时的A声级，dB(A)，参考水利水电工程取值，当测点距行车中心线7.5m时，重型车LA=82dB(A)，轻型车LA=73dB(A)；</w:t>
      </w:r>
    </w:p>
    <w:p w14:paraId="4A12771D">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N—车流量，辆/h，根据施工强度取6辆/h；</w:t>
      </w:r>
    </w:p>
    <w:p w14:paraId="2065D94A">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V—车速，m/h，根据当地路况取20km/h；</w:t>
      </w:r>
    </w:p>
    <w:p w14:paraId="24F74F28">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r—测点与机动车行驶中心的距离，m。</w:t>
      </w:r>
    </w:p>
    <w:p w14:paraId="502A5C1F">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假设车流集中道路中心线，则r应为道路中心线与居民点的最近距离，上述公式可简化为：</w:t>
      </w:r>
    </w:p>
    <w:p w14:paraId="5D7F80EF">
      <w:pPr>
        <w:pStyle w:val="410"/>
        <w:jc w:val="center"/>
        <w:rPr>
          <w:rFonts w:hint="default" w:ascii="Times New Roman" w:hAnsi="Times New Roman" w:cs="Times New Roman"/>
          <w:color w:val="auto"/>
          <w:highlight w:val="none"/>
          <w:u w:val="single"/>
        </w:rPr>
      </w:pPr>
      <w:r>
        <w:rPr>
          <w:rFonts w:hint="default" w:ascii="Times New Roman" w:hAnsi="Times New Roman" w:cs="Times New Roman"/>
          <w:color w:val="auto"/>
          <w:position w:val="-25"/>
          <w:highlight w:val="none"/>
        </w:rPr>
        <w:drawing>
          <wp:inline distT="0" distB="0" distL="114300" distR="114300">
            <wp:extent cx="2465705" cy="632460"/>
            <wp:effectExtent l="0" t="0" r="10795" b="15240"/>
            <wp:docPr id="52" name="IM 192"/>
            <wp:cNvGraphicFramePr/>
            <a:graphic xmlns:a="http://schemas.openxmlformats.org/drawingml/2006/main">
              <a:graphicData uri="http://schemas.openxmlformats.org/drawingml/2006/picture">
                <pic:pic xmlns:pic="http://schemas.openxmlformats.org/drawingml/2006/picture">
                  <pic:nvPicPr>
                    <pic:cNvPr id="52" name="IM 192"/>
                    <pic:cNvPicPr/>
                  </pic:nvPicPr>
                  <pic:blipFill>
                    <a:blip r:embed="rId86"/>
                    <a:stretch>
                      <a:fillRect/>
                    </a:stretch>
                  </pic:blipFill>
                  <pic:spPr>
                    <a:xfrm>
                      <a:off x="0" y="0"/>
                      <a:ext cx="2465705" cy="632460"/>
                    </a:xfrm>
                    <a:prstGeom prst="rect">
                      <a:avLst/>
                    </a:prstGeom>
                    <a:noFill/>
                    <a:ln>
                      <a:noFill/>
                    </a:ln>
                  </pic:spPr>
                </pic:pic>
              </a:graphicData>
            </a:graphic>
          </wp:inline>
        </w:drawing>
      </w:r>
    </w:p>
    <w:p w14:paraId="71FE828F">
      <w:pPr>
        <w:pStyle w:val="410"/>
        <w:rPr>
          <w:rFonts w:hint="default" w:ascii="Times New Roman" w:hAnsi="Times New Roman" w:cs="Times New Roman"/>
          <w:color w:val="auto"/>
          <w:highlight w:val="none"/>
          <w:u w:val="single"/>
        </w:rPr>
      </w:pPr>
      <w:r>
        <w:rPr>
          <w:rFonts w:hint="default" w:ascii="Times New Roman" w:hAnsi="Times New Roman" w:eastAsia="宋体" w:cs="Times New Roman"/>
          <w:color w:val="auto"/>
          <w:spacing w:val="4"/>
          <w:sz w:val="24"/>
          <w:szCs w:val="24"/>
          <w:highlight w:val="none"/>
        </w:rPr>
        <w:t>根据上述预测公式，预测运输噪声对沿线敏感</w:t>
      </w:r>
      <w:r>
        <w:rPr>
          <w:rFonts w:hint="default" w:ascii="Times New Roman" w:hAnsi="Times New Roman" w:eastAsia="宋体" w:cs="Times New Roman"/>
          <w:color w:val="auto"/>
          <w:spacing w:val="3"/>
          <w:sz w:val="24"/>
          <w:szCs w:val="24"/>
          <w:highlight w:val="none"/>
        </w:rPr>
        <w:t>点的影响程度和影响范围，预测结果见</w:t>
      </w:r>
      <w:r>
        <w:rPr>
          <w:rFonts w:hint="default" w:ascii="Times New Roman" w:hAnsi="Times New Roman" w:eastAsia="宋体" w:cs="Times New Roman"/>
          <w:color w:val="auto"/>
          <w:spacing w:val="3"/>
          <w:sz w:val="24"/>
          <w:szCs w:val="24"/>
          <w:highlight w:val="none"/>
          <w:lang w:val="en-US"/>
        </w:rPr>
        <w:fldChar w:fldCharType="begin"/>
      </w:r>
      <w:r>
        <w:rPr>
          <w:rFonts w:hint="default" w:ascii="Times New Roman" w:hAnsi="Times New Roman" w:eastAsia="宋体" w:cs="Times New Roman"/>
          <w:color w:val="auto"/>
          <w:spacing w:val="3"/>
          <w:sz w:val="24"/>
          <w:szCs w:val="24"/>
          <w:highlight w:val="none"/>
          <w:lang w:val="en-US"/>
        </w:rPr>
        <w:instrText xml:space="preserve"> REF _Ref4277 \r \h </w:instrText>
      </w:r>
      <w:r>
        <w:rPr>
          <w:rFonts w:hint="default" w:ascii="Times New Roman" w:hAnsi="Times New Roman" w:eastAsia="宋体" w:cs="Times New Roman"/>
          <w:color w:val="auto"/>
          <w:spacing w:val="3"/>
          <w:sz w:val="24"/>
          <w:szCs w:val="24"/>
          <w:highlight w:val="none"/>
          <w:lang w:val="en-US"/>
        </w:rPr>
        <w:fldChar w:fldCharType="separate"/>
      </w:r>
      <w:r>
        <w:rPr>
          <w:rFonts w:hint="default" w:ascii="Times New Roman" w:hAnsi="Times New Roman" w:eastAsia="宋体" w:cs="Times New Roman"/>
          <w:color w:val="auto"/>
          <w:spacing w:val="3"/>
          <w:sz w:val="24"/>
          <w:szCs w:val="24"/>
          <w:highlight w:val="none"/>
          <w:lang w:val="en-US"/>
        </w:rPr>
        <w:t>表4.1-10</w:t>
      </w:r>
      <w:r>
        <w:rPr>
          <w:rFonts w:hint="default" w:ascii="Times New Roman" w:hAnsi="Times New Roman" w:eastAsia="宋体" w:cs="Times New Roman"/>
          <w:color w:val="auto"/>
          <w:spacing w:val="3"/>
          <w:sz w:val="24"/>
          <w:szCs w:val="24"/>
          <w:highlight w:val="none"/>
          <w:lang w:val="en-US"/>
        </w:rPr>
        <w:fldChar w:fldCharType="end"/>
      </w:r>
      <w:r>
        <w:rPr>
          <w:rFonts w:hint="default" w:ascii="Times New Roman" w:hAnsi="Times New Roman" w:eastAsia="宋体" w:cs="Times New Roman"/>
          <w:color w:val="auto"/>
          <w:spacing w:val="-1"/>
          <w:sz w:val="24"/>
          <w:szCs w:val="24"/>
          <w:highlight w:val="none"/>
        </w:rPr>
        <w:t>。</w:t>
      </w:r>
    </w:p>
    <w:p w14:paraId="47F518F7">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bookmarkStart w:id="117" w:name="_Ref4277"/>
      <w:r>
        <w:rPr>
          <w:rFonts w:hint="default"/>
          <w:color w:val="auto"/>
          <w:highlight w:val="none"/>
          <w:lang w:eastAsia="zh-CN"/>
        </w:rPr>
        <w:t>运输噪声影响程度和范围预测结果一览表</w:t>
      </w:r>
      <w:r>
        <w:rPr>
          <w:rFonts w:hint="default"/>
          <w:color w:val="auto"/>
          <w:highlight w:val="none"/>
        </w:rPr>
        <w:t>单位：dB（A）</w:t>
      </w:r>
      <w:bookmarkEnd w:id="117"/>
    </w:p>
    <w:p w14:paraId="37936CEA">
      <w:pPr>
        <w:spacing w:line="85" w:lineRule="exact"/>
        <w:rPr>
          <w:rFonts w:hint="default" w:ascii="Times New Roman" w:hAnsi="Times New Roman" w:cs="Times New Roman"/>
          <w:color w:val="auto"/>
          <w:highlight w:val="none"/>
        </w:rPr>
      </w:pPr>
    </w:p>
    <w:tbl>
      <w:tblPr>
        <w:tblStyle w:val="167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6"/>
        <w:gridCol w:w="592"/>
        <w:gridCol w:w="590"/>
        <w:gridCol w:w="592"/>
        <w:gridCol w:w="592"/>
        <w:gridCol w:w="592"/>
        <w:gridCol w:w="592"/>
        <w:gridCol w:w="590"/>
        <w:gridCol w:w="590"/>
        <w:gridCol w:w="592"/>
        <w:gridCol w:w="590"/>
        <w:gridCol w:w="593"/>
        <w:gridCol w:w="591"/>
        <w:gridCol w:w="548"/>
      </w:tblGrid>
      <w:tr w14:paraId="2D0B5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986" w:type="dxa"/>
            <w:vMerge w:val="restart"/>
            <w:tcBorders>
              <w:top w:val="single" w:color="000000" w:sz="12" w:space="0"/>
              <w:left w:val="single" w:color="000000" w:sz="12" w:space="0"/>
              <w:bottom w:val="single" w:color="000000" w:sz="4" w:space="0"/>
              <w:tl2br w:val="nil"/>
            </w:tcBorders>
            <w:noWrap w:val="0"/>
            <w:vAlign w:val="top"/>
          </w:tcPr>
          <w:p w14:paraId="66B197D0">
            <w:pPr>
              <w:pStyle w:val="1647"/>
              <w:spacing w:before="239" w:line="221" w:lineRule="auto"/>
              <w:ind w:left="131"/>
              <w:rPr>
                <w:rFonts w:hint="default" w:ascii="Times New Roman" w:hAnsi="Times New Roman" w:cs="Times New Roman"/>
                <w:b w:val="0"/>
                <w:color w:val="auto"/>
                <w:highlight w:val="none"/>
              </w:rPr>
            </w:pPr>
            <w:r>
              <w:rPr>
                <w:rFonts w:hint="default" w:ascii="Times New Roman" w:hAnsi="Times New Roman" w:cs="Times New Roman"/>
                <w:b w:val="0"/>
                <w:color w:val="auto"/>
                <w:spacing w:val="-2"/>
                <w:highlight w:val="none"/>
              </w:rPr>
              <w:t>运输车辆</w:t>
            </w:r>
          </w:p>
        </w:tc>
        <w:tc>
          <w:tcPr>
            <w:tcW w:w="7644" w:type="dxa"/>
            <w:gridSpan w:val="13"/>
            <w:tcBorders>
              <w:top w:val="single" w:color="000000" w:sz="12" w:space="0"/>
              <w:right w:val="single" w:color="000000" w:sz="4" w:space="0"/>
            </w:tcBorders>
            <w:noWrap w:val="0"/>
            <w:vAlign w:val="top"/>
          </w:tcPr>
          <w:p w14:paraId="0C4749A5">
            <w:pPr>
              <w:pStyle w:val="1647"/>
              <w:spacing w:before="67" w:line="229" w:lineRule="auto"/>
              <w:ind w:left="3249"/>
              <w:rPr>
                <w:rFonts w:hint="default" w:ascii="Times New Roman" w:hAnsi="Times New Roman" w:cs="Times New Roman"/>
                <w:b w:val="0"/>
                <w:color w:val="auto"/>
                <w:highlight w:val="none"/>
              </w:rPr>
            </w:pPr>
            <w:r>
              <w:rPr>
                <w:rFonts w:hint="default" w:ascii="Times New Roman" w:hAnsi="Times New Roman" w:cs="Times New Roman"/>
                <w:b w:val="0"/>
                <w:color w:val="auto"/>
                <w:spacing w:val="-1"/>
                <w:highlight w:val="none"/>
              </w:rPr>
              <w:t>距噪声源距离（</w:t>
            </w:r>
            <w:r>
              <w:rPr>
                <w:rFonts w:hint="default" w:ascii="Times New Roman" w:hAnsi="Times New Roman" w:eastAsia="Times New Roman" w:cs="Times New Roman"/>
                <w:b w:val="0"/>
                <w:color w:val="auto"/>
                <w:spacing w:val="-1"/>
                <w:highlight w:val="none"/>
              </w:rPr>
              <w:t>m</w:t>
            </w:r>
            <w:r>
              <w:rPr>
                <w:rFonts w:hint="default" w:ascii="Times New Roman" w:hAnsi="Times New Roman" w:cs="Times New Roman"/>
                <w:b w:val="0"/>
                <w:color w:val="auto"/>
                <w:spacing w:val="-1"/>
                <w:highlight w:val="none"/>
              </w:rPr>
              <w:t>）</w:t>
            </w:r>
          </w:p>
        </w:tc>
      </w:tr>
      <w:tr w14:paraId="0F441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986" w:type="dxa"/>
            <w:vMerge w:val="continue"/>
            <w:tcBorders>
              <w:top w:val="single" w:color="000000" w:sz="4" w:space="0"/>
              <w:left w:val="single" w:color="000000" w:sz="12" w:space="0"/>
            </w:tcBorders>
            <w:noWrap w:val="0"/>
            <w:vAlign w:val="top"/>
          </w:tcPr>
          <w:p w14:paraId="5DF4CEC4">
            <w:pPr>
              <w:rPr>
                <w:rFonts w:hint="default" w:ascii="Times New Roman" w:hAnsi="Times New Roman" w:cs="Times New Roman"/>
                <w:b w:val="0"/>
                <w:color w:val="auto"/>
                <w:sz w:val="21"/>
                <w:szCs w:val="22"/>
                <w:highlight w:val="none"/>
              </w:rPr>
            </w:pPr>
          </w:p>
        </w:tc>
        <w:tc>
          <w:tcPr>
            <w:tcW w:w="592" w:type="dxa"/>
            <w:noWrap w:val="0"/>
            <w:vAlign w:val="top"/>
          </w:tcPr>
          <w:p w14:paraId="536A9E30">
            <w:pPr>
              <w:spacing w:before="97" w:line="221" w:lineRule="auto"/>
              <w:ind w:left="237"/>
              <w:rPr>
                <w:rFonts w:hint="default" w:ascii="Times New Roman" w:hAnsi="Times New Roman" w:eastAsia="Times New Roman" w:cs="Times New Roman"/>
                <w:b w:val="0"/>
                <w:color w:val="auto"/>
                <w:spacing w:val="-6"/>
                <w:sz w:val="21"/>
                <w:szCs w:val="21"/>
                <w:highlight w:val="none"/>
              </w:rPr>
            </w:pPr>
            <w:r>
              <w:rPr>
                <w:rFonts w:hint="default" w:ascii="Times New Roman" w:hAnsi="Times New Roman" w:eastAsia="Times New Roman" w:cs="Times New Roman"/>
                <w:b w:val="0"/>
                <w:color w:val="auto"/>
                <w:spacing w:val="-6"/>
                <w:sz w:val="21"/>
                <w:szCs w:val="21"/>
                <w:highlight w:val="none"/>
              </w:rPr>
              <w:t>5</w:t>
            </w:r>
          </w:p>
        </w:tc>
        <w:tc>
          <w:tcPr>
            <w:tcW w:w="590" w:type="dxa"/>
            <w:noWrap w:val="0"/>
            <w:vAlign w:val="top"/>
          </w:tcPr>
          <w:p w14:paraId="6B9FF25F">
            <w:pPr>
              <w:spacing w:before="97" w:line="221" w:lineRule="auto"/>
              <w:ind w:left="237"/>
              <w:rPr>
                <w:rFonts w:hint="default" w:ascii="Times New Roman" w:hAnsi="Times New Roman" w:eastAsia="Times New Roman" w:cs="Times New Roman"/>
                <w:b w:val="0"/>
                <w:color w:val="auto"/>
                <w:spacing w:val="-6"/>
                <w:sz w:val="21"/>
                <w:szCs w:val="21"/>
                <w:highlight w:val="none"/>
              </w:rPr>
            </w:pPr>
            <w:r>
              <w:rPr>
                <w:rFonts w:hint="default" w:ascii="Times New Roman" w:hAnsi="Times New Roman" w:eastAsia="Times New Roman" w:cs="Times New Roman"/>
                <w:b w:val="0"/>
                <w:color w:val="auto"/>
                <w:spacing w:val="-6"/>
                <w:sz w:val="21"/>
                <w:szCs w:val="21"/>
                <w:highlight w:val="none"/>
              </w:rPr>
              <w:t>6</w:t>
            </w:r>
          </w:p>
        </w:tc>
        <w:tc>
          <w:tcPr>
            <w:tcW w:w="592" w:type="dxa"/>
            <w:noWrap w:val="0"/>
            <w:vAlign w:val="top"/>
          </w:tcPr>
          <w:p w14:paraId="753733FA">
            <w:pPr>
              <w:spacing w:before="97" w:line="221" w:lineRule="auto"/>
              <w:ind w:left="237"/>
              <w:rPr>
                <w:rFonts w:hint="default" w:ascii="Times New Roman" w:hAnsi="Times New Roman" w:eastAsia="Times New Roman" w:cs="Times New Roman"/>
                <w:b w:val="0"/>
                <w:color w:val="auto"/>
                <w:spacing w:val="-6"/>
                <w:sz w:val="21"/>
                <w:szCs w:val="21"/>
                <w:highlight w:val="none"/>
              </w:rPr>
            </w:pPr>
            <w:r>
              <w:rPr>
                <w:rFonts w:hint="default" w:ascii="Times New Roman" w:hAnsi="Times New Roman" w:eastAsia="Times New Roman" w:cs="Times New Roman"/>
                <w:b w:val="0"/>
                <w:color w:val="auto"/>
                <w:spacing w:val="-6"/>
                <w:sz w:val="21"/>
                <w:szCs w:val="21"/>
                <w:highlight w:val="none"/>
              </w:rPr>
              <w:t>10</w:t>
            </w:r>
          </w:p>
        </w:tc>
        <w:tc>
          <w:tcPr>
            <w:tcW w:w="592" w:type="dxa"/>
            <w:noWrap w:val="0"/>
            <w:vAlign w:val="top"/>
          </w:tcPr>
          <w:p w14:paraId="4C40C732">
            <w:pPr>
              <w:spacing w:before="97" w:line="221" w:lineRule="auto"/>
              <w:ind w:left="237"/>
              <w:rPr>
                <w:rFonts w:hint="default" w:ascii="Times New Roman" w:hAnsi="Times New Roman" w:eastAsia="Times New Roman" w:cs="Times New Roman"/>
                <w:b w:val="0"/>
                <w:color w:val="auto"/>
                <w:spacing w:val="-6"/>
                <w:sz w:val="21"/>
                <w:szCs w:val="21"/>
                <w:highlight w:val="none"/>
              </w:rPr>
            </w:pPr>
            <w:r>
              <w:rPr>
                <w:rFonts w:hint="default" w:ascii="Times New Roman" w:hAnsi="Times New Roman" w:eastAsia="Times New Roman" w:cs="Times New Roman"/>
                <w:b w:val="0"/>
                <w:color w:val="auto"/>
                <w:spacing w:val="-6"/>
                <w:sz w:val="21"/>
                <w:szCs w:val="21"/>
                <w:highlight w:val="none"/>
              </w:rPr>
              <w:t>15</w:t>
            </w:r>
          </w:p>
        </w:tc>
        <w:tc>
          <w:tcPr>
            <w:tcW w:w="592" w:type="dxa"/>
            <w:noWrap w:val="0"/>
            <w:vAlign w:val="top"/>
          </w:tcPr>
          <w:p w14:paraId="0FA44044">
            <w:pPr>
              <w:spacing w:before="97" w:line="221" w:lineRule="auto"/>
              <w:ind w:left="214"/>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1"/>
                <w:sz w:val="21"/>
                <w:szCs w:val="21"/>
                <w:highlight w:val="none"/>
              </w:rPr>
              <w:t>20</w:t>
            </w:r>
          </w:p>
        </w:tc>
        <w:tc>
          <w:tcPr>
            <w:tcW w:w="592" w:type="dxa"/>
            <w:noWrap w:val="0"/>
            <w:vAlign w:val="top"/>
          </w:tcPr>
          <w:p w14:paraId="5573DCEB">
            <w:pPr>
              <w:spacing w:before="97" w:line="221" w:lineRule="auto"/>
              <w:ind w:left="218"/>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2"/>
                <w:sz w:val="21"/>
                <w:szCs w:val="21"/>
                <w:highlight w:val="none"/>
              </w:rPr>
              <w:t>30</w:t>
            </w:r>
          </w:p>
        </w:tc>
        <w:tc>
          <w:tcPr>
            <w:tcW w:w="590" w:type="dxa"/>
            <w:noWrap w:val="0"/>
            <w:vAlign w:val="top"/>
          </w:tcPr>
          <w:p w14:paraId="0C118288">
            <w:pPr>
              <w:spacing w:before="97" w:line="221" w:lineRule="auto"/>
              <w:ind w:left="222"/>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3"/>
                <w:sz w:val="21"/>
                <w:szCs w:val="21"/>
                <w:highlight w:val="none"/>
              </w:rPr>
              <w:t>50</w:t>
            </w:r>
          </w:p>
        </w:tc>
        <w:tc>
          <w:tcPr>
            <w:tcW w:w="590" w:type="dxa"/>
            <w:noWrap w:val="0"/>
            <w:vAlign w:val="top"/>
          </w:tcPr>
          <w:p w14:paraId="66FD6893">
            <w:pPr>
              <w:spacing w:before="97" w:line="221" w:lineRule="auto"/>
              <w:ind w:left="220"/>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2"/>
                <w:sz w:val="21"/>
                <w:szCs w:val="21"/>
                <w:highlight w:val="none"/>
              </w:rPr>
              <w:t>70</w:t>
            </w:r>
          </w:p>
        </w:tc>
        <w:tc>
          <w:tcPr>
            <w:tcW w:w="592" w:type="dxa"/>
            <w:noWrap w:val="0"/>
            <w:vAlign w:val="top"/>
          </w:tcPr>
          <w:p w14:paraId="265E0C79">
            <w:pPr>
              <w:spacing w:before="97" w:line="221" w:lineRule="auto"/>
              <w:ind w:left="185"/>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6"/>
                <w:sz w:val="21"/>
                <w:szCs w:val="21"/>
                <w:highlight w:val="none"/>
              </w:rPr>
              <w:t>100</w:t>
            </w:r>
          </w:p>
        </w:tc>
        <w:tc>
          <w:tcPr>
            <w:tcW w:w="590" w:type="dxa"/>
            <w:noWrap w:val="0"/>
            <w:vAlign w:val="top"/>
          </w:tcPr>
          <w:p w14:paraId="2AFF44C6">
            <w:pPr>
              <w:spacing w:before="97" w:line="221" w:lineRule="auto"/>
              <w:ind w:left="185"/>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6"/>
                <w:sz w:val="21"/>
                <w:szCs w:val="21"/>
                <w:highlight w:val="none"/>
              </w:rPr>
              <w:t>110</w:t>
            </w:r>
          </w:p>
        </w:tc>
        <w:tc>
          <w:tcPr>
            <w:tcW w:w="593" w:type="dxa"/>
            <w:noWrap w:val="0"/>
            <w:vAlign w:val="top"/>
          </w:tcPr>
          <w:p w14:paraId="3EBB850F">
            <w:pPr>
              <w:spacing w:before="97" w:line="221" w:lineRule="auto"/>
              <w:ind w:left="185"/>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6"/>
                <w:sz w:val="21"/>
                <w:szCs w:val="21"/>
                <w:highlight w:val="none"/>
              </w:rPr>
              <w:t>150</w:t>
            </w:r>
          </w:p>
        </w:tc>
        <w:tc>
          <w:tcPr>
            <w:tcW w:w="591" w:type="dxa"/>
            <w:noWrap w:val="0"/>
            <w:vAlign w:val="top"/>
          </w:tcPr>
          <w:p w14:paraId="40A41800">
            <w:pPr>
              <w:spacing w:before="97" w:line="221" w:lineRule="auto"/>
              <w:ind w:left="187"/>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6"/>
                <w:sz w:val="21"/>
                <w:szCs w:val="21"/>
                <w:highlight w:val="none"/>
              </w:rPr>
              <w:t>180</w:t>
            </w:r>
          </w:p>
        </w:tc>
        <w:tc>
          <w:tcPr>
            <w:tcW w:w="548" w:type="dxa"/>
            <w:tcBorders>
              <w:right w:val="single" w:color="000000" w:sz="12" w:space="0"/>
            </w:tcBorders>
            <w:noWrap w:val="0"/>
            <w:vAlign w:val="top"/>
          </w:tcPr>
          <w:p w14:paraId="21428366">
            <w:pPr>
              <w:spacing w:before="97" w:line="221" w:lineRule="auto"/>
              <w:ind w:left="163"/>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1"/>
                <w:sz w:val="21"/>
                <w:szCs w:val="21"/>
                <w:highlight w:val="none"/>
              </w:rPr>
              <w:t>200</w:t>
            </w:r>
          </w:p>
        </w:tc>
      </w:tr>
      <w:tr w14:paraId="0436F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986" w:type="dxa"/>
            <w:tcBorders>
              <w:left w:val="single" w:color="000000" w:sz="12" w:space="0"/>
            </w:tcBorders>
            <w:noWrap w:val="0"/>
            <w:vAlign w:val="top"/>
          </w:tcPr>
          <w:p w14:paraId="4B1BCDEE">
            <w:pPr>
              <w:pStyle w:val="1647"/>
              <w:spacing w:before="69" w:line="219" w:lineRule="auto"/>
              <w:ind w:left="131"/>
              <w:rPr>
                <w:rFonts w:hint="default" w:ascii="Times New Roman" w:hAnsi="Times New Roman" w:cs="Times New Roman"/>
                <w:b w:val="0"/>
                <w:color w:val="auto"/>
                <w:highlight w:val="none"/>
              </w:rPr>
            </w:pPr>
            <w:r>
              <w:rPr>
                <w:rFonts w:hint="default" w:ascii="Times New Roman" w:hAnsi="Times New Roman" w:cs="Times New Roman"/>
                <w:b w:val="0"/>
                <w:color w:val="auto"/>
                <w:spacing w:val="-2"/>
                <w:highlight w:val="none"/>
              </w:rPr>
              <w:t>重型车</w:t>
            </w:r>
          </w:p>
        </w:tc>
        <w:tc>
          <w:tcPr>
            <w:tcW w:w="592" w:type="dxa"/>
            <w:noWrap w:val="0"/>
            <w:vAlign w:val="top"/>
          </w:tcPr>
          <w:p w14:paraId="436C2158">
            <w:pPr>
              <w:spacing w:before="102" w:line="215" w:lineRule="auto"/>
              <w:ind w:left="145"/>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2"/>
                <w:sz w:val="21"/>
                <w:szCs w:val="21"/>
                <w:highlight w:val="none"/>
              </w:rPr>
              <w:t>61.8</w:t>
            </w:r>
          </w:p>
        </w:tc>
        <w:tc>
          <w:tcPr>
            <w:tcW w:w="590" w:type="dxa"/>
            <w:noWrap w:val="0"/>
            <w:vAlign w:val="top"/>
          </w:tcPr>
          <w:p w14:paraId="650ECCA2">
            <w:pPr>
              <w:spacing w:before="102" w:line="215" w:lineRule="auto"/>
              <w:ind w:left="142"/>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2"/>
                <w:sz w:val="21"/>
                <w:szCs w:val="21"/>
                <w:highlight w:val="none"/>
              </w:rPr>
              <w:t>60.3</w:t>
            </w:r>
          </w:p>
        </w:tc>
        <w:tc>
          <w:tcPr>
            <w:tcW w:w="592" w:type="dxa"/>
            <w:noWrap w:val="0"/>
            <w:vAlign w:val="top"/>
          </w:tcPr>
          <w:p w14:paraId="6043B6A6">
            <w:pPr>
              <w:spacing w:before="102" w:line="215" w:lineRule="auto"/>
              <w:ind w:left="146"/>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2"/>
                <w:sz w:val="21"/>
                <w:szCs w:val="21"/>
                <w:highlight w:val="none"/>
              </w:rPr>
              <w:t>58.8</w:t>
            </w:r>
          </w:p>
        </w:tc>
        <w:tc>
          <w:tcPr>
            <w:tcW w:w="592" w:type="dxa"/>
            <w:noWrap w:val="0"/>
            <w:vAlign w:val="top"/>
          </w:tcPr>
          <w:p w14:paraId="193ED7B5">
            <w:pPr>
              <w:spacing w:before="102" w:line="215" w:lineRule="auto"/>
              <w:ind w:left="143"/>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2"/>
                <w:sz w:val="21"/>
                <w:szCs w:val="21"/>
                <w:highlight w:val="none"/>
              </w:rPr>
              <w:t>57.0</w:t>
            </w:r>
          </w:p>
        </w:tc>
        <w:tc>
          <w:tcPr>
            <w:tcW w:w="592" w:type="dxa"/>
            <w:noWrap w:val="0"/>
            <w:vAlign w:val="top"/>
          </w:tcPr>
          <w:p w14:paraId="11233D1F">
            <w:pPr>
              <w:spacing w:before="102" w:line="215" w:lineRule="auto"/>
              <w:ind w:left="143"/>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2"/>
                <w:sz w:val="21"/>
                <w:szCs w:val="21"/>
                <w:highlight w:val="none"/>
              </w:rPr>
              <w:t>55.8</w:t>
            </w:r>
          </w:p>
        </w:tc>
        <w:tc>
          <w:tcPr>
            <w:tcW w:w="592" w:type="dxa"/>
            <w:noWrap w:val="0"/>
            <w:vAlign w:val="top"/>
          </w:tcPr>
          <w:p w14:paraId="62D7153C">
            <w:pPr>
              <w:spacing w:before="102" w:line="215" w:lineRule="auto"/>
              <w:ind w:left="142"/>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2"/>
                <w:sz w:val="21"/>
                <w:szCs w:val="21"/>
                <w:highlight w:val="none"/>
              </w:rPr>
              <w:t>54.0</w:t>
            </w:r>
          </w:p>
        </w:tc>
        <w:tc>
          <w:tcPr>
            <w:tcW w:w="590" w:type="dxa"/>
            <w:noWrap w:val="0"/>
            <w:vAlign w:val="top"/>
          </w:tcPr>
          <w:p w14:paraId="42446CAE">
            <w:pPr>
              <w:spacing w:before="102" w:line="215" w:lineRule="auto"/>
              <w:ind w:left="145"/>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2"/>
                <w:sz w:val="21"/>
                <w:szCs w:val="21"/>
                <w:highlight w:val="none"/>
              </w:rPr>
              <w:t>51.8</w:t>
            </w:r>
          </w:p>
        </w:tc>
        <w:tc>
          <w:tcPr>
            <w:tcW w:w="590" w:type="dxa"/>
            <w:noWrap w:val="0"/>
            <w:vAlign w:val="top"/>
          </w:tcPr>
          <w:p w14:paraId="6409116C">
            <w:pPr>
              <w:spacing w:before="102" w:line="215" w:lineRule="auto"/>
              <w:ind w:left="143"/>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2"/>
                <w:sz w:val="21"/>
                <w:szCs w:val="21"/>
                <w:highlight w:val="none"/>
              </w:rPr>
              <w:t>50.3</w:t>
            </w:r>
          </w:p>
        </w:tc>
        <w:tc>
          <w:tcPr>
            <w:tcW w:w="592" w:type="dxa"/>
            <w:noWrap w:val="0"/>
            <w:vAlign w:val="top"/>
          </w:tcPr>
          <w:p w14:paraId="3BC13E43">
            <w:pPr>
              <w:spacing w:before="102" w:line="215" w:lineRule="auto"/>
              <w:ind w:left="137"/>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1"/>
                <w:sz w:val="21"/>
                <w:szCs w:val="21"/>
                <w:highlight w:val="none"/>
              </w:rPr>
              <w:t>48.8</w:t>
            </w:r>
          </w:p>
        </w:tc>
        <w:tc>
          <w:tcPr>
            <w:tcW w:w="590" w:type="dxa"/>
            <w:noWrap w:val="0"/>
            <w:vAlign w:val="top"/>
          </w:tcPr>
          <w:p w14:paraId="587A5CC0">
            <w:pPr>
              <w:spacing w:before="102" w:line="215" w:lineRule="auto"/>
              <w:ind w:left="137"/>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1"/>
                <w:sz w:val="21"/>
                <w:szCs w:val="21"/>
                <w:highlight w:val="none"/>
              </w:rPr>
              <w:t>48.4</w:t>
            </w:r>
          </w:p>
        </w:tc>
        <w:tc>
          <w:tcPr>
            <w:tcW w:w="593" w:type="dxa"/>
            <w:noWrap w:val="0"/>
            <w:vAlign w:val="top"/>
          </w:tcPr>
          <w:p w14:paraId="53FC4F55">
            <w:pPr>
              <w:spacing w:before="102" w:line="215" w:lineRule="auto"/>
              <w:ind w:left="138"/>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1"/>
                <w:sz w:val="21"/>
                <w:szCs w:val="21"/>
                <w:highlight w:val="none"/>
              </w:rPr>
              <w:t>47.0</w:t>
            </w:r>
          </w:p>
        </w:tc>
        <w:tc>
          <w:tcPr>
            <w:tcW w:w="591" w:type="dxa"/>
            <w:noWrap w:val="0"/>
            <w:vAlign w:val="top"/>
          </w:tcPr>
          <w:p w14:paraId="058AE836">
            <w:pPr>
              <w:spacing w:before="102" w:line="215" w:lineRule="auto"/>
              <w:ind w:left="140"/>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1"/>
                <w:sz w:val="21"/>
                <w:szCs w:val="21"/>
                <w:highlight w:val="none"/>
              </w:rPr>
              <w:t>46.2</w:t>
            </w:r>
          </w:p>
        </w:tc>
        <w:tc>
          <w:tcPr>
            <w:tcW w:w="548" w:type="dxa"/>
            <w:tcBorders>
              <w:right w:val="single" w:color="000000" w:sz="12" w:space="0"/>
            </w:tcBorders>
            <w:noWrap w:val="0"/>
            <w:vAlign w:val="top"/>
          </w:tcPr>
          <w:p w14:paraId="0411F277">
            <w:pPr>
              <w:spacing w:before="102" w:line="215" w:lineRule="auto"/>
              <w:ind w:left="109"/>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1"/>
                <w:sz w:val="21"/>
                <w:szCs w:val="21"/>
                <w:highlight w:val="none"/>
              </w:rPr>
              <w:t>45.8</w:t>
            </w:r>
          </w:p>
        </w:tc>
      </w:tr>
      <w:tr w14:paraId="56044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986" w:type="dxa"/>
            <w:tcBorders>
              <w:left w:val="single" w:color="000000" w:sz="12" w:space="0"/>
              <w:bottom w:val="single" w:color="000000" w:sz="12" w:space="0"/>
            </w:tcBorders>
            <w:noWrap w:val="0"/>
            <w:vAlign w:val="top"/>
          </w:tcPr>
          <w:p w14:paraId="2992D8E0">
            <w:pPr>
              <w:pStyle w:val="1647"/>
              <w:spacing w:before="76" w:line="221" w:lineRule="auto"/>
              <w:ind w:left="131"/>
              <w:rPr>
                <w:rFonts w:hint="default" w:ascii="Times New Roman" w:hAnsi="Times New Roman" w:cs="Times New Roman"/>
                <w:b w:val="0"/>
                <w:color w:val="auto"/>
                <w:highlight w:val="none"/>
              </w:rPr>
            </w:pPr>
            <w:r>
              <w:rPr>
                <w:rFonts w:hint="default" w:ascii="Times New Roman" w:hAnsi="Times New Roman" w:cs="Times New Roman"/>
                <w:b w:val="0"/>
                <w:color w:val="auto"/>
                <w:spacing w:val="-2"/>
                <w:highlight w:val="none"/>
              </w:rPr>
              <w:t>轻型车</w:t>
            </w:r>
          </w:p>
        </w:tc>
        <w:tc>
          <w:tcPr>
            <w:tcW w:w="592" w:type="dxa"/>
            <w:tcBorders>
              <w:bottom w:val="single" w:color="000000" w:sz="12" w:space="0"/>
            </w:tcBorders>
            <w:noWrap w:val="0"/>
            <w:vAlign w:val="top"/>
          </w:tcPr>
          <w:p w14:paraId="52975D79">
            <w:pPr>
              <w:spacing w:before="109" w:line="233" w:lineRule="auto"/>
              <w:ind w:left="146"/>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2"/>
                <w:sz w:val="21"/>
                <w:szCs w:val="21"/>
                <w:highlight w:val="none"/>
              </w:rPr>
              <w:t>51.8</w:t>
            </w:r>
          </w:p>
        </w:tc>
        <w:tc>
          <w:tcPr>
            <w:tcW w:w="590" w:type="dxa"/>
            <w:tcBorders>
              <w:bottom w:val="single" w:color="000000" w:sz="12" w:space="0"/>
            </w:tcBorders>
            <w:noWrap w:val="0"/>
            <w:vAlign w:val="top"/>
          </w:tcPr>
          <w:p w14:paraId="4EFB7287">
            <w:pPr>
              <w:spacing w:before="109" w:line="233" w:lineRule="auto"/>
              <w:ind w:left="143"/>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2"/>
                <w:sz w:val="21"/>
                <w:szCs w:val="21"/>
                <w:highlight w:val="none"/>
              </w:rPr>
              <w:t>50.3</w:t>
            </w:r>
          </w:p>
        </w:tc>
        <w:tc>
          <w:tcPr>
            <w:tcW w:w="592" w:type="dxa"/>
            <w:tcBorders>
              <w:bottom w:val="single" w:color="000000" w:sz="12" w:space="0"/>
            </w:tcBorders>
            <w:noWrap w:val="0"/>
            <w:vAlign w:val="top"/>
          </w:tcPr>
          <w:p w14:paraId="4FED2424">
            <w:pPr>
              <w:spacing w:before="109" w:line="233" w:lineRule="auto"/>
              <w:ind w:left="139"/>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1"/>
                <w:sz w:val="21"/>
                <w:szCs w:val="21"/>
                <w:highlight w:val="none"/>
              </w:rPr>
              <w:t>48.8</w:t>
            </w:r>
          </w:p>
        </w:tc>
        <w:tc>
          <w:tcPr>
            <w:tcW w:w="592" w:type="dxa"/>
            <w:tcBorders>
              <w:bottom w:val="single" w:color="000000" w:sz="12" w:space="0"/>
            </w:tcBorders>
            <w:noWrap w:val="0"/>
            <w:vAlign w:val="top"/>
          </w:tcPr>
          <w:p w14:paraId="4044267B">
            <w:pPr>
              <w:spacing w:before="109" w:line="233" w:lineRule="auto"/>
              <w:ind w:left="136"/>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1"/>
                <w:sz w:val="21"/>
                <w:szCs w:val="21"/>
                <w:highlight w:val="none"/>
              </w:rPr>
              <w:t>47.0</w:t>
            </w:r>
          </w:p>
        </w:tc>
        <w:tc>
          <w:tcPr>
            <w:tcW w:w="592" w:type="dxa"/>
            <w:tcBorders>
              <w:bottom w:val="single" w:color="000000" w:sz="12" w:space="0"/>
            </w:tcBorders>
            <w:noWrap w:val="0"/>
            <w:vAlign w:val="top"/>
          </w:tcPr>
          <w:p w14:paraId="4116A370">
            <w:pPr>
              <w:spacing w:before="109" w:line="233" w:lineRule="auto"/>
              <w:ind w:left="136"/>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1"/>
                <w:sz w:val="21"/>
                <w:szCs w:val="21"/>
                <w:highlight w:val="none"/>
              </w:rPr>
              <w:t>45.8</w:t>
            </w:r>
          </w:p>
        </w:tc>
        <w:tc>
          <w:tcPr>
            <w:tcW w:w="592" w:type="dxa"/>
            <w:tcBorders>
              <w:bottom w:val="single" w:color="000000" w:sz="12" w:space="0"/>
            </w:tcBorders>
            <w:noWrap w:val="0"/>
            <w:vAlign w:val="top"/>
          </w:tcPr>
          <w:p w14:paraId="219E5706">
            <w:pPr>
              <w:spacing w:before="109" w:line="233" w:lineRule="auto"/>
              <w:ind w:left="136"/>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1"/>
                <w:sz w:val="21"/>
                <w:szCs w:val="21"/>
                <w:highlight w:val="none"/>
              </w:rPr>
              <w:t>44.0</w:t>
            </w:r>
          </w:p>
        </w:tc>
        <w:tc>
          <w:tcPr>
            <w:tcW w:w="590" w:type="dxa"/>
            <w:tcBorders>
              <w:bottom w:val="single" w:color="000000" w:sz="12" w:space="0"/>
            </w:tcBorders>
            <w:noWrap w:val="0"/>
            <w:vAlign w:val="top"/>
          </w:tcPr>
          <w:p w14:paraId="714BF4B2">
            <w:pPr>
              <w:spacing w:before="109" w:line="233" w:lineRule="auto"/>
              <w:ind w:left="138"/>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1"/>
                <w:sz w:val="21"/>
                <w:szCs w:val="21"/>
                <w:highlight w:val="none"/>
              </w:rPr>
              <w:t>41.8</w:t>
            </w:r>
          </w:p>
        </w:tc>
        <w:tc>
          <w:tcPr>
            <w:tcW w:w="590" w:type="dxa"/>
            <w:tcBorders>
              <w:bottom w:val="single" w:color="000000" w:sz="12" w:space="0"/>
            </w:tcBorders>
            <w:noWrap w:val="0"/>
            <w:vAlign w:val="top"/>
          </w:tcPr>
          <w:p w14:paraId="5AEDAF1E">
            <w:pPr>
              <w:spacing w:before="109" w:line="233" w:lineRule="auto"/>
              <w:ind w:left="136"/>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1"/>
                <w:sz w:val="21"/>
                <w:szCs w:val="21"/>
                <w:highlight w:val="none"/>
              </w:rPr>
              <w:t>40.3</w:t>
            </w:r>
          </w:p>
        </w:tc>
        <w:tc>
          <w:tcPr>
            <w:tcW w:w="592" w:type="dxa"/>
            <w:tcBorders>
              <w:bottom w:val="single" w:color="000000" w:sz="12" w:space="0"/>
            </w:tcBorders>
            <w:noWrap w:val="0"/>
            <w:vAlign w:val="top"/>
          </w:tcPr>
          <w:p w14:paraId="31CF8ED0">
            <w:pPr>
              <w:spacing w:before="109" w:line="233" w:lineRule="auto"/>
              <w:ind w:left="142"/>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2"/>
                <w:sz w:val="21"/>
                <w:szCs w:val="21"/>
                <w:highlight w:val="none"/>
              </w:rPr>
              <w:t>38.8</w:t>
            </w:r>
          </w:p>
        </w:tc>
        <w:tc>
          <w:tcPr>
            <w:tcW w:w="590" w:type="dxa"/>
            <w:tcBorders>
              <w:bottom w:val="single" w:color="000000" w:sz="12" w:space="0"/>
            </w:tcBorders>
            <w:noWrap w:val="0"/>
            <w:vAlign w:val="top"/>
          </w:tcPr>
          <w:p w14:paraId="24F1FA5C">
            <w:pPr>
              <w:spacing w:before="109" w:line="233" w:lineRule="auto"/>
              <w:ind w:left="142"/>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2"/>
                <w:sz w:val="21"/>
                <w:szCs w:val="21"/>
                <w:highlight w:val="none"/>
              </w:rPr>
              <w:t>38.4</w:t>
            </w:r>
          </w:p>
        </w:tc>
        <w:tc>
          <w:tcPr>
            <w:tcW w:w="593" w:type="dxa"/>
            <w:tcBorders>
              <w:bottom w:val="single" w:color="000000" w:sz="12" w:space="0"/>
            </w:tcBorders>
            <w:noWrap w:val="0"/>
            <w:vAlign w:val="top"/>
          </w:tcPr>
          <w:p w14:paraId="05AAF613">
            <w:pPr>
              <w:spacing w:before="109" w:line="233" w:lineRule="auto"/>
              <w:ind w:left="143"/>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2"/>
                <w:sz w:val="21"/>
                <w:szCs w:val="21"/>
                <w:highlight w:val="none"/>
              </w:rPr>
              <w:t>37.0</w:t>
            </w:r>
          </w:p>
        </w:tc>
        <w:tc>
          <w:tcPr>
            <w:tcW w:w="591" w:type="dxa"/>
            <w:tcBorders>
              <w:bottom w:val="single" w:color="000000" w:sz="12" w:space="0"/>
            </w:tcBorders>
            <w:noWrap w:val="0"/>
            <w:vAlign w:val="top"/>
          </w:tcPr>
          <w:p w14:paraId="3DE98E4A">
            <w:pPr>
              <w:spacing w:before="109" w:line="233" w:lineRule="auto"/>
              <w:ind w:left="145"/>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2"/>
                <w:sz w:val="21"/>
                <w:szCs w:val="21"/>
                <w:highlight w:val="none"/>
              </w:rPr>
              <w:t>36.2</w:t>
            </w:r>
          </w:p>
        </w:tc>
        <w:tc>
          <w:tcPr>
            <w:tcW w:w="548" w:type="dxa"/>
            <w:tcBorders>
              <w:bottom w:val="single" w:color="000000" w:sz="12" w:space="0"/>
              <w:right w:val="single" w:color="000000" w:sz="12" w:space="0"/>
            </w:tcBorders>
            <w:noWrap w:val="0"/>
            <w:vAlign w:val="top"/>
          </w:tcPr>
          <w:p w14:paraId="60F055B6">
            <w:pPr>
              <w:spacing w:before="109" w:line="233" w:lineRule="auto"/>
              <w:ind w:left="114"/>
              <w:rPr>
                <w:rFonts w:hint="default" w:ascii="Times New Roman" w:hAnsi="Times New Roman" w:eastAsia="Times New Roman" w:cs="Times New Roman"/>
                <w:b w:val="0"/>
                <w:color w:val="auto"/>
                <w:sz w:val="21"/>
                <w:szCs w:val="21"/>
                <w:highlight w:val="none"/>
              </w:rPr>
            </w:pPr>
            <w:r>
              <w:rPr>
                <w:rFonts w:hint="default" w:ascii="Times New Roman" w:hAnsi="Times New Roman" w:eastAsia="Times New Roman" w:cs="Times New Roman"/>
                <w:b w:val="0"/>
                <w:color w:val="auto"/>
                <w:spacing w:val="-2"/>
                <w:sz w:val="21"/>
                <w:szCs w:val="21"/>
                <w:highlight w:val="none"/>
              </w:rPr>
              <w:t>35.8</w:t>
            </w:r>
          </w:p>
        </w:tc>
      </w:tr>
    </w:tbl>
    <w:p w14:paraId="39DDAFF0">
      <w:pPr>
        <w:pStyle w:val="41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由</w:t>
      </w:r>
      <w:r>
        <w:rPr>
          <w:rFonts w:hint="default" w:ascii="Times New Roman" w:hAnsi="Times New Roman" w:eastAsia="宋体" w:cs="Times New Roman"/>
          <w:color w:val="auto"/>
          <w:spacing w:val="3"/>
          <w:sz w:val="24"/>
          <w:szCs w:val="24"/>
          <w:highlight w:val="none"/>
          <w:lang w:val="en-US"/>
        </w:rPr>
        <w:fldChar w:fldCharType="begin"/>
      </w:r>
      <w:r>
        <w:rPr>
          <w:rFonts w:hint="default" w:ascii="Times New Roman" w:hAnsi="Times New Roman" w:eastAsia="宋体" w:cs="Times New Roman"/>
          <w:color w:val="auto"/>
          <w:spacing w:val="3"/>
          <w:sz w:val="24"/>
          <w:szCs w:val="24"/>
          <w:highlight w:val="none"/>
          <w:lang w:val="en-US"/>
        </w:rPr>
        <w:instrText xml:space="preserve"> REF _Ref4277 \r \h </w:instrText>
      </w:r>
      <w:r>
        <w:rPr>
          <w:rFonts w:hint="default" w:ascii="Times New Roman" w:hAnsi="Times New Roman" w:eastAsia="宋体" w:cs="Times New Roman"/>
          <w:color w:val="auto"/>
          <w:spacing w:val="3"/>
          <w:sz w:val="24"/>
          <w:szCs w:val="24"/>
          <w:highlight w:val="none"/>
          <w:lang w:val="en-US"/>
        </w:rPr>
        <w:fldChar w:fldCharType="separate"/>
      </w:r>
      <w:r>
        <w:rPr>
          <w:rFonts w:hint="default" w:ascii="Times New Roman" w:hAnsi="Times New Roman" w:eastAsia="宋体" w:cs="Times New Roman"/>
          <w:color w:val="auto"/>
          <w:spacing w:val="3"/>
          <w:sz w:val="24"/>
          <w:szCs w:val="24"/>
          <w:highlight w:val="none"/>
          <w:lang w:val="en-US"/>
        </w:rPr>
        <w:t>表4.1-10</w:t>
      </w:r>
      <w:r>
        <w:rPr>
          <w:rFonts w:hint="default" w:ascii="Times New Roman" w:hAnsi="Times New Roman" w:eastAsia="宋体" w:cs="Times New Roman"/>
          <w:color w:val="auto"/>
          <w:spacing w:val="3"/>
          <w:sz w:val="24"/>
          <w:szCs w:val="24"/>
          <w:highlight w:val="none"/>
          <w:lang w:val="en-US"/>
        </w:rPr>
        <w:fldChar w:fldCharType="end"/>
      </w:r>
      <w:r>
        <w:rPr>
          <w:rFonts w:hint="eastAsia"/>
          <w:color w:val="auto"/>
          <w:highlight w:val="none"/>
          <w:lang w:eastAsia="zh-CN"/>
        </w:rPr>
        <w:t>预测</w:t>
      </w:r>
      <w:r>
        <w:rPr>
          <w:rFonts w:hint="default" w:ascii="Times New Roman" w:hAnsi="Times New Roman" w:cs="Times New Roman"/>
          <w:color w:val="auto"/>
          <w:highlight w:val="none"/>
          <w:u w:val="none"/>
        </w:rPr>
        <w:t>结果可知，运输车辆在约7m内的噪声值高于《声环境质量标准》（GB3096-2008）2类标准昼间限值60dB(A)。影响的区域主要有沿线周边居民，局部时段受运输噪声影响较大。但由于本工程施工运输交通量</w:t>
      </w:r>
      <w:r>
        <w:rPr>
          <w:rFonts w:hint="eastAsia" w:ascii="Times New Roman" w:hAnsi="Times New Roman" w:cs="Times New Roman"/>
          <w:color w:val="auto"/>
          <w:highlight w:val="none"/>
          <w:u w:val="none"/>
          <w:lang w:val="en-US" w:eastAsia="zh-CN"/>
        </w:rPr>
        <w:t>不大</w:t>
      </w:r>
      <w:r>
        <w:rPr>
          <w:rFonts w:hint="default" w:ascii="Times New Roman" w:hAnsi="Times New Roman" w:cs="Times New Roman"/>
          <w:color w:val="auto"/>
          <w:highlight w:val="none"/>
          <w:u w:val="none"/>
        </w:rPr>
        <w:t>，交通噪声影响是短暂、非连续的。施工单位施工时需优化运输时间，物料和设备运输安排在昼间运输，避免夜间运输；途经沿线居民点和学校时注意控制车速、减速慢行，并禁止鸣笛。</w:t>
      </w:r>
    </w:p>
    <w:p w14:paraId="65D61F28">
      <w:pPr>
        <w:pStyle w:val="41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由于工程运输车流量</w:t>
      </w:r>
      <w:r>
        <w:rPr>
          <w:rFonts w:hint="eastAsia" w:ascii="Times New Roman" w:hAnsi="Times New Roman" w:cs="Times New Roman"/>
          <w:color w:val="auto"/>
          <w:highlight w:val="none"/>
          <w:u w:val="none"/>
          <w:lang w:val="en-US" w:eastAsia="zh-CN"/>
        </w:rPr>
        <w:t>不大</w:t>
      </w:r>
      <w:r>
        <w:rPr>
          <w:rFonts w:hint="eastAsia" w:ascii="Times New Roman" w:cs="Times New Roman"/>
          <w:color w:val="auto"/>
          <w:highlight w:val="none"/>
          <w:u w:val="none"/>
          <w:lang w:val="en-US" w:eastAsia="zh-CN"/>
        </w:rPr>
        <w:t>，不在夜间、午间施工</w:t>
      </w:r>
      <w:r>
        <w:rPr>
          <w:rFonts w:hint="default" w:ascii="Times New Roman" w:hAnsi="Times New Roman" w:cs="Times New Roman"/>
          <w:color w:val="auto"/>
          <w:highlight w:val="none"/>
          <w:u w:val="none"/>
        </w:rPr>
        <w:t>，运输噪声为短暂影响，施工结束后影响随即消除，在采取以上防治措施后，运输噪声对沿线敏感点声环境的影响在可接受的范围内。</w:t>
      </w:r>
    </w:p>
    <w:p w14:paraId="585D7D47">
      <w:pPr>
        <w:pStyle w:val="5"/>
        <w:numPr>
          <w:ilvl w:val="2"/>
          <w:numId w:val="40"/>
        </w:numPr>
        <w:bidi w:val="0"/>
        <w:ind w:left="452" w:leftChars="0" w:firstLine="0" w:firstLineChars="0"/>
        <w:rPr>
          <w:rFonts w:hint="default"/>
          <w:color w:val="auto"/>
          <w:highlight w:val="none"/>
        </w:rPr>
      </w:pPr>
      <w:r>
        <w:rPr>
          <w:rFonts w:hint="default"/>
          <w:color w:val="auto"/>
          <w:highlight w:val="none"/>
          <w:lang w:eastAsia="zh-CN"/>
        </w:rPr>
        <w:t>对周边环境及敏感点的影响分析</w:t>
      </w:r>
    </w:p>
    <w:p w14:paraId="5089BC2B">
      <w:pPr>
        <w:pStyle w:val="41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本项目位于</w:t>
      </w:r>
      <w:r>
        <w:rPr>
          <w:rFonts w:hint="default" w:ascii="Times New Roman" w:hAnsi="Times New Roman" w:eastAsia="宋体" w:cs="Times New Roman"/>
          <w:color w:val="auto"/>
          <w:highlight w:val="none"/>
          <w:u w:val="none"/>
          <w:lang w:eastAsia="zh-CN"/>
        </w:rPr>
        <w:t>锦绣大道附近</w:t>
      </w:r>
      <w:r>
        <w:rPr>
          <w:rFonts w:hint="default" w:ascii="Times New Roman" w:hAnsi="Times New Roman" w:eastAsia="宋体" w:cs="Times New Roman"/>
          <w:color w:val="auto"/>
          <w:highlight w:val="none"/>
          <w:u w:val="none"/>
        </w:rPr>
        <w:t>，施工设备主要有推土机、挖掘机、装载机等。各施工点施工周期较短，仅在昼间施工。项目声环境保护目标主要有</w:t>
      </w:r>
      <w:r>
        <w:rPr>
          <w:rFonts w:hint="default" w:ascii="Times New Roman" w:hAnsi="Times New Roman" w:eastAsia="宋体" w:cs="Times New Roman"/>
          <w:color w:val="auto"/>
          <w:highlight w:val="none"/>
          <w:u w:val="none"/>
          <w:lang w:eastAsia="zh-CN"/>
        </w:rPr>
        <w:t>大岭脚村、细垌环村、大垌口村、巨龙如意城</w:t>
      </w:r>
      <w:r>
        <w:rPr>
          <w:rFonts w:hint="default" w:ascii="Times New Roman" w:hAnsi="Times New Roman" w:eastAsia="宋体" w:cs="Times New Roman"/>
          <w:color w:val="auto"/>
          <w:highlight w:val="none"/>
          <w:u w:val="none"/>
        </w:rPr>
        <w:t>。</w:t>
      </w:r>
    </w:p>
    <w:p w14:paraId="2D33EA84">
      <w:pPr>
        <w:pStyle w:val="41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施工期对敏感点的影响采用贡献值最大的基础开挖阶段源强进行计算。其噪声对不 同距离区域影响情况详见下表。</w:t>
      </w:r>
    </w:p>
    <w:p w14:paraId="5C8D968A">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lang w:eastAsia="zh-CN"/>
        </w:rPr>
      </w:pPr>
      <w:r>
        <w:rPr>
          <w:rFonts w:hint="default"/>
          <w:color w:val="auto"/>
          <w:highlight w:val="none"/>
          <w:lang w:eastAsia="zh-CN"/>
        </w:rPr>
        <w:t>施工基础开挖阶段噪声影响计算结果表    单位：dB（A）</w:t>
      </w:r>
    </w:p>
    <w:tbl>
      <w:tblPr>
        <w:tblStyle w:val="1679"/>
        <w:tblW w:w="5016" w:type="pct"/>
        <w:tblInd w:w="0" w:type="dxa"/>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0" w:type="dxa"/>
          <w:bottom w:w="0" w:type="dxa"/>
          <w:right w:w="0" w:type="dxa"/>
        </w:tblCellMar>
      </w:tblPr>
      <w:tblGrid>
        <w:gridCol w:w="1273"/>
        <w:gridCol w:w="619"/>
        <w:gridCol w:w="619"/>
        <w:gridCol w:w="619"/>
        <w:gridCol w:w="619"/>
        <w:gridCol w:w="619"/>
        <w:gridCol w:w="619"/>
        <w:gridCol w:w="619"/>
        <w:gridCol w:w="602"/>
        <w:gridCol w:w="602"/>
        <w:gridCol w:w="602"/>
        <w:gridCol w:w="604"/>
        <w:gridCol w:w="654"/>
      </w:tblGrid>
      <w:tr w14:paraId="0AD84875">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734" w:type="pct"/>
            <w:vMerge w:val="restart"/>
            <w:tcBorders>
              <w:bottom w:val="nil"/>
            </w:tcBorders>
            <w:noWrap w:val="0"/>
            <w:vAlign w:val="center"/>
          </w:tcPr>
          <w:p w14:paraId="624FCA78">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噪声源</w:t>
            </w:r>
          </w:p>
        </w:tc>
        <w:tc>
          <w:tcPr>
            <w:tcW w:w="4265" w:type="pct"/>
            <w:gridSpan w:val="12"/>
            <w:noWrap w:val="0"/>
            <w:vAlign w:val="center"/>
          </w:tcPr>
          <w:p w14:paraId="2F31580B">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不同距离处噪声预测值（ m）</w:t>
            </w:r>
          </w:p>
        </w:tc>
      </w:tr>
      <w:tr w14:paraId="0E07F43E">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734" w:type="pct"/>
            <w:vMerge w:val="continue"/>
            <w:tcBorders>
              <w:top w:val="nil"/>
            </w:tcBorders>
            <w:noWrap w:val="0"/>
            <w:vAlign w:val="center"/>
          </w:tcPr>
          <w:p w14:paraId="367A3741">
            <w:pPr>
              <w:autoSpaceDE/>
              <w:autoSpaceDN/>
              <w:jc w:val="center"/>
              <w:rPr>
                <w:rFonts w:hint="default" w:ascii="Times New Roman" w:hAnsi="Times New Roman" w:cs="Times New Roman"/>
                <w:color w:val="auto"/>
                <w:sz w:val="21"/>
                <w:szCs w:val="21"/>
                <w:highlight w:val="none"/>
                <w:lang w:eastAsia="en-US"/>
              </w:rPr>
            </w:pPr>
          </w:p>
        </w:tc>
        <w:tc>
          <w:tcPr>
            <w:tcW w:w="357" w:type="pct"/>
            <w:noWrap w:val="0"/>
            <w:vAlign w:val="center"/>
          </w:tcPr>
          <w:p w14:paraId="5D37EB3C">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10</w:t>
            </w:r>
          </w:p>
        </w:tc>
        <w:tc>
          <w:tcPr>
            <w:tcW w:w="357" w:type="pct"/>
            <w:noWrap w:val="0"/>
            <w:vAlign w:val="center"/>
          </w:tcPr>
          <w:p w14:paraId="6F7F0032">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20</w:t>
            </w:r>
          </w:p>
        </w:tc>
        <w:tc>
          <w:tcPr>
            <w:tcW w:w="357" w:type="pct"/>
            <w:noWrap w:val="0"/>
            <w:vAlign w:val="center"/>
          </w:tcPr>
          <w:p w14:paraId="446328FD">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40</w:t>
            </w:r>
          </w:p>
        </w:tc>
        <w:tc>
          <w:tcPr>
            <w:tcW w:w="357" w:type="pct"/>
            <w:noWrap w:val="0"/>
            <w:vAlign w:val="center"/>
          </w:tcPr>
          <w:p w14:paraId="605DECDF">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80</w:t>
            </w:r>
          </w:p>
        </w:tc>
        <w:tc>
          <w:tcPr>
            <w:tcW w:w="357" w:type="pct"/>
            <w:noWrap w:val="0"/>
            <w:vAlign w:val="center"/>
          </w:tcPr>
          <w:p w14:paraId="61CD7598">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100</w:t>
            </w:r>
          </w:p>
        </w:tc>
        <w:tc>
          <w:tcPr>
            <w:tcW w:w="357" w:type="pct"/>
            <w:noWrap w:val="0"/>
            <w:vAlign w:val="center"/>
          </w:tcPr>
          <w:p w14:paraId="5FCAF79E">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150</w:t>
            </w:r>
          </w:p>
        </w:tc>
        <w:tc>
          <w:tcPr>
            <w:tcW w:w="357" w:type="pct"/>
            <w:noWrap w:val="0"/>
            <w:vAlign w:val="center"/>
          </w:tcPr>
          <w:p w14:paraId="4BEC8411">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200</w:t>
            </w:r>
          </w:p>
        </w:tc>
        <w:tc>
          <w:tcPr>
            <w:tcW w:w="347" w:type="pct"/>
            <w:noWrap w:val="0"/>
            <w:vAlign w:val="center"/>
          </w:tcPr>
          <w:p w14:paraId="53992623">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250</w:t>
            </w:r>
          </w:p>
        </w:tc>
        <w:tc>
          <w:tcPr>
            <w:tcW w:w="347" w:type="pct"/>
            <w:noWrap w:val="0"/>
            <w:vAlign w:val="center"/>
          </w:tcPr>
          <w:p w14:paraId="770C4EED">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300</w:t>
            </w:r>
          </w:p>
        </w:tc>
        <w:tc>
          <w:tcPr>
            <w:tcW w:w="347" w:type="pct"/>
            <w:noWrap w:val="0"/>
            <w:vAlign w:val="center"/>
          </w:tcPr>
          <w:p w14:paraId="7D66F22D">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350</w:t>
            </w:r>
          </w:p>
        </w:tc>
        <w:tc>
          <w:tcPr>
            <w:tcW w:w="348" w:type="pct"/>
            <w:noWrap w:val="0"/>
            <w:vAlign w:val="center"/>
          </w:tcPr>
          <w:p w14:paraId="3AA1A75F">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400</w:t>
            </w:r>
          </w:p>
        </w:tc>
        <w:tc>
          <w:tcPr>
            <w:tcW w:w="373" w:type="pct"/>
            <w:noWrap w:val="0"/>
            <w:vAlign w:val="center"/>
          </w:tcPr>
          <w:p w14:paraId="436C3E04">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500</w:t>
            </w:r>
          </w:p>
        </w:tc>
      </w:tr>
      <w:tr w14:paraId="42D5F1E5">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734" w:type="pct"/>
            <w:noWrap w:val="0"/>
            <w:vAlign w:val="center"/>
          </w:tcPr>
          <w:p w14:paraId="3D23D896">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未隔声</w:t>
            </w:r>
          </w:p>
        </w:tc>
        <w:tc>
          <w:tcPr>
            <w:tcW w:w="357" w:type="pct"/>
            <w:noWrap w:val="0"/>
            <w:vAlign w:val="center"/>
          </w:tcPr>
          <w:p w14:paraId="260E7D0C">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71.8</w:t>
            </w:r>
          </w:p>
        </w:tc>
        <w:tc>
          <w:tcPr>
            <w:tcW w:w="357" w:type="pct"/>
            <w:noWrap w:val="0"/>
            <w:vAlign w:val="center"/>
          </w:tcPr>
          <w:p w14:paraId="6CA3E4BC">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65.8</w:t>
            </w:r>
          </w:p>
        </w:tc>
        <w:tc>
          <w:tcPr>
            <w:tcW w:w="357" w:type="pct"/>
            <w:noWrap w:val="0"/>
            <w:vAlign w:val="center"/>
          </w:tcPr>
          <w:p w14:paraId="57393AC4">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59.7</w:t>
            </w:r>
          </w:p>
        </w:tc>
        <w:tc>
          <w:tcPr>
            <w:tcW w:w="357" w:type="pct"/>
            <w:noWrap w:val="0"/>
            <w:vAlign w:val="center"/>
          </w:tcPr>
          <w:p w14:paraId="7300EBF8">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57.8</w:t>
            </w:r>
          </w:p>
        </w:tc>
        <w:tc>
          <w:tcPr>
            <w:tcW w:w="357" w:type="pct"/>
            <w:noWrap w:val="0"/>
            <w:vAlign w:val="center"/>
          </w:tcPr>
          <w:p w14:paraId="161E53EC">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54.3</w:t>
            </w:r>
          </w:p>
        </w:tc>
        <w:tc>
          <w:tcPr>
            <w:tcW w:w="357" w:type="pct"/>
            <w:noWrap w:val="0"/>
            <w:vAlign w:val="center"/>
          </w:tcPr>
          <w:p w14:paraId="7F5E8318">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51.8</w:t>
            </w:r>
          </w:p>
        </w:tc>
        <w:tc>
          <w:tcPr>
            <w:tcW w:w="357" w:type="pct"/>
            <w:noWrap w:val="0"/>
            <w:vAlign w:val="center"/>
          </w:tcPr>
          <w:p w14:paraId="62A0D524">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49.8</w:t>
            </w:r>
          </w:p>
        </w:tc>
        <w:tc>
          <w:tcPr>
            <w:tcW w:w="347" w:type="pct"/>
            <w:noWrap w:val="0"/>
            <w:vAlign w:val="center"/>
          </w:tcPr>
          <w:p w14:paraId="0E68209D">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48.3</w:t>
            </w:r>
          </w:p>
        </w:tc>
        <w:tc>
          <w:tcPr>
            <w:tcW w:w="347" w:type="pct"/>
            <w:noWrap w:val="0"/>
            <w:vAlign w:val="center"/>
          </w:tcPr>
          <w:p w14:paraId="1901BD73">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46.9</w:t>
            </w:r>
          </w:p>
        </w:tc>
        <w:tc>
          <w:tcPr>
            <w:tcW w:w="347" w:type="pct"/>
            <w:noWrap w:val="0"/>
            <w:vAlign w:val="center"/>
          </w:tcPr>
          <w:p w14:paraId="4B3E5B10">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45.8</w:t>
            </w:r>
          </w:p>
        </w:tc>
        <w:tc>
          <w:tcPr>
            <w:tcW w:w="348" w:type="pct"/>
            <w:noWrap w:val="0"/>
            <w:vAlign w:val="center"/>
          </w:tcPr>
          <w:p w14:paraId="3237600D">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43.8</w:t>
            </w:r>
          </w:p>
        </w:tc>
        <w:tc>
          <w:tcPr>
            <w:tcW w:w="373" w:type="pct"/>
            <w:noWrap w:val="0"/>
            <w:vAlign w:val="center"/>
          </w:tcPr>
          <w:p w14:paraId="102250E7">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71.8</w:t>
            </w:r>
          </w:p>
        </w:tc>
      </w:tr>
      <w:tr w14:paraId="1CC52F63">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734" w:type="pct"/>
            <w:noWrap w:val="0"/>
            <w:vAlign w:val="center"/>
          </w:tcPr>
          <w:p w14:paraId="1939C38A">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设置声屏障</w:t>
            </w:r>
          </w:p>
        </w:tc>
        <w:tc>
          <w:tcPr>
            <w:tcW w:w="357" w:type="pct"/>
            <w:noWrap w:val="0"/>
            <w:vAlign w:val="center"/>
          </w:tcPr>
          <w:p w14:paraId="05AB9938">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62.8</w:t>
            </w:r>
          </w:p>
        </w:tc>
        <w:tc>
          <w:tcPr>
            <w:tcW w:w="357" w:type="pct"/>
            <w:noWrap w:val="0"/>
            <w:vAlign w:val="center"/>
          </w:tcPr>
          <w:p w14:paraId="0846840F">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56.8</w:t>
            </w:r>
          </w:p>
        </w:tc>
        <w:tc>
          <w:tcPr>
            <w:tcW w:w="357" w:type="pct"/>
            <w:noWrap w:val="0"/>
            <w:vAlign w:val="center"/>
          </w:tcPr>
          <w:p w14:paraId="4CCA38C2">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50.8</w:t>
            </w:r>
          </w:p>
        </w:tc>
        <w:tc>
          <w:tcPr>
            <w:tcW w:w="357" w:type="pct"/>
            <w:noWrap w:val="0"/>
            <w:vAlign w:val="center"/>
          </w:tcPr>
          <w:p w14:paraId="63230E82">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44.7</w:t>
            </w:r>
          </w:p>
        </w:tc>
        <w:tc>
          <w:tcPr>
            <w:tcW w:w="357" w:type="pct"/>
            <w:noWrap w:val="0"/>
            <w:vAlign w:val="center"/>
          </w:tcPr>
          <w:p w14:paraId="2F2806D8">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42.8</w:t>
            </w:r>
          </w:p>
        </w:tc>
        <w:tc>
          <w:tcPr>
            <w:tcW w:w="357" w:type="pct"/>
            <w:noWrap w:val="0"/>
            <w:vAlign w:val="center"/>
          </w:tcPr>
          <w:p w14:paraId="325BE7A3">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39.3</w:t>
            </w:r>
          </w:p>
        </w:tc>
        <w:tc>
          <w:tcPr>
            <w:tcW w:w="357" w:type="pct"/>
            <w:noWrap w:val="0"/>
            <w:vAlign w:val="center"/>
          </w:tcPr>
          <w:p w14:paraId="23AD438B">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36.8</w:t>
            </w:r>
          </w:p>
        </w:tc>
        <w:tc>
          <w:tcPr>
            <w:tcW w:w="347" w:type="pct"/>
            <w:noWrap w:val="0"/>
            <w:vAlign w:val="center"/>
          </w:tcPr>
          <w:p w14:paraId="5C44E80A">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34.8</w:t>
            </w:r>
          </w:p>
        </w:tc>
        <w:tc>
          <w:tcPr>
            <w:tcW w:w="347" w:type="pct"/>
            <w:noWrap w:val="0"/>
            <w:vAlign w:val="center"/>
          </w:tcPr>
          <w:p w14:paraId="4836469D">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33.3</w:t>
            </w:r>
          </w:p>
        </w:tc>
        <w:tc>
          <w:tcPr>
            <w:tcW w:w="347" w:type="pct"/>
            <w:noWrap w:val="0"/>
            <w:vAlign w:val="center"/>
          </w:tcPr>
          <w:p w14:paraId="7EC32185">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31.9</w:t>
            </w:r>
          </w:p>
        </w:tc>
        <w:tc>
          <w:tcPr>
            <w:tcW w:w="348" w:type="pct"/>
            <w:noWrap w:val="0"/>
            <w:vAlign w:val="center"/>
          </w:tcPr>
          <w:p w14:paraId="7A846521">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30.8</w:t>
            </w:r>
          </w:p>
        </w:tc>
        <w:tc>
          <w:tcPr>
            <w:tcW w:w="373" w:type="pct"/>
            <w:noWrap w:val="0"/>
            <w:vAlign w:val="center"/>
          </w:tcPr>
          <w:p w14:paraId="74316B21">
            <w:pPr>
              <w:autoSpaceDE/>
              <w:autoSpaceDN/>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28.8</w:t>
            </w:r>
          </w:p>
        </w:tc>
      </w:tr>
    </w:tbl>
    <w:p w14:paraId="09993736">
      <w:pPr>
        <w:pStyle w:val="41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项目</w:t>
      </w:r>
      <w:r>
        <w:rPr>
          <w:rFonts w:hint="eastAsia" w:ascii="Times New Roman" w:cs="Times New Roman"/>
          <w:color w:val="auto"/>
          <w:highlight w:val="none"/>
          <w:lang w:eastAsia="zh-CN"/>
        </w:rPr>
        <w:t>禁止午间（北京时间</w:t>
      </w:r>
      <w:r>
        <w:rPr>
          <w:rFonts w:hint="eastAsia" w:ascii="Times New Roman" w:cs="Times New Roman"/>
          <w:color w:val="auto"/>
          <w:highlight w:val="none"/>
          <w:lang w:val="en-US" w:eastAsia="zh-CN"/>
        </w:rPr>
        <w:t>12：00-14：00</w:t>
      </w:r>
      <w:r>
        <w:rPr>
          <w:rFonts w:hint="eastAsia" w:ascii="Times New Roman" w:cs="Times New Roman"/>
          <w:color w:val="auto"/>
          <w:highlight w:val="none"/>
          <w:lang w:eastAsia="zh-CN"/>
        </w:rPr>
        <w:t>）和夜间（</w:t>
      </w:r>
      <w:r>
        <w:rPr>
          <w:rFonts w:hint="eastAsia" w:ascii="Times New Roman" w:cs="Times New Roman"/>
          <w:color w:val="auto"/>
          <w:highlight w:val="none"/>
          <w:lang w:val="en-US" w:eastAsia="zh-CN"/>
        </w:rPr>
        <w:t>22：00-次日凌晨6：00</w:t>
      </w:r>
      <w:r>
        <w:rPr>
          <w:rFonts w:hint="eastAsia" w:ascii="Times New Roman" w:cs="Times New Roman"/>
          <w:color w:val="auto"/>
          <w:highlight w:val="none"/>
          <w:lang w:eastAsia="zh-CN"/>
        </w:rPr>
        <w:t>）</w:t>
      </w:r>
      <w:r>
        <w:rPr>
          <w:rFonts w:hint="default" w:ascii="Times New Roman" w:hAnsi="Times New Roman" w:eastAsia="宋体" w:cs="Times New Roman"/>
          <w:color w:val="auto"/>
          <w:highlight w:val="none"/>
          <w:u w:val="none"/>
        </w:rPr>
        <w:t>施工，</w:t>
      </w:r>
      <w:r>
        <w:rPr>
          <w:rFonts w:hint="eastAsia" w:ascii="Times New Roman" w:cs="Times New Roman"/>
          <w:color w:val="auto"/>
          <w:highlight w:val="none"/>
          <w:u w:val="none"/>
          <w:lang w:val="en-US" w:eastAsia="zh-CN"/>
        </w:rPr>
        <w:t>合理施工布局，对于临近敏感点设置临时声屏障，施工区域加快施工进度，</w:t>
      </w:r>
      <w:r>
        <w:rPr>
          <w:rFonts w:hint="default" w:ascii="Times New Roman" w:hAnsi="Times New Roman" w:eastAsia="宋体" w:cs="Times New Roman"/>
          <w:color w:val="auto"/>
          <w:highlight w:val="none"/>
        </w:rPr>
        <w:t>施工噪声对</w:t>
      </w:r>
      <w:r>
        <w:rPr>
          <w:rFonts w:hint="eastAsia" w:ascii="Times New Roman" w:cs="Times New Roman"/>
          <w:color w:val="auto"/>
          <w:highlight w:val="none"/>
          <w:lang w:val="en-US" w:eastAsia="zh-CN"/>
        </w:rPr>
        <w:t>敏感点</w:t>
      </w:r>
      <w:r>
        <w:rPr>
          <w:rFonts w:hint="default" w:ascii="Times New Roman" w:hAnsi="Times New Roman" w:eastAsia="宋体" w:cs="Times New Roman"/>
          <w:color w:val="auto"/>
          <w:highlight w:val="none"/>
        </w:rPr>
        <w:t>声环境的影响是暂时的、短期的，且随着工程的竣工而消失，在采取使用先进的施工器械、合理安排施工时间等相关措施之后，对周边</w:t>
      </w:r>
      <w:r>
        <w:rPr>
          <w:rFonts w:hint="eastAsia" w:ascii="Times New Roman" w:cs="Times New Roman"/>
          <w:color w:val="auto"/>
          <w:highlight w:val="none"/>
          <w:lang w:val="en-US" w:eastAsia="zh-CN"/>
        </w:rPr>
        <w:t>敏感点</w:t>
      </w:r>
      <w:r>
        <w:rPr>
          <w:rFonts w:hint="default" w:ascii="Times New Roman" w:hAnsi="Times New Roman" w:eastAsia="宋体" w:cs="Times New Roman"/>
          <w:color w:val="auto"/>
          <w:highlight w:val="none"/>
        </w:rPr>
        <w:t>的影响是可接受的。</w:t>
      </w:r>
    </w:p>
    <w:p w14:paraId="2BE84DB9">
      <w:pPr>
        <w:pStyle w:val="5"/>
        <w:numPr>
          <w:ilvl w:val="2"/>
          <w:numId w:val="40"/>
        </w:numPr>
        <w:bidi w:val="0"/>
        <w:ind w:left="452" w:leftChars="0" w:firstLine="0" w:firstLineChars="0"/>
        <w:rPr>
          <w:rFonts w:hint="default"/>
          <w:color w:val="auto"/>
          <w:highlight w:val="none"/>
        </w:rPr>
      </w:pPr>
      <w:r>
        <w:rPr>
          <w:rFonts w:hint="default"/>
          <w:color w:val="auto"/>
          <w:highlight w:val="none"/>
        </w:rPr>
        <w:t>施工期固体废物环境影响分析</w:t>
      </w:r>
    </w:p>
    <w:p w14:paraId="11FE44F9">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本工程因钦州港路和</w:t>
      </w:r>
      <w:r>
        <w:rPr>
          <w:rFonts w:hint="eastAsia" w:ascii="Times New Roman" w:cs="Times New Roman"/>
          <w:color w:val="auto"/>
          <w:highlight w:val="none"/>
          <w:lang w:val="en-US" w:eastAsia="zh-CN"/>
        </w:rPr>
        <w:t>曲绣路</w:t>
      </w:r>
      <w:r>
        <w:rPr>
          <w:rFonts w:hint="default" w:ascii="Times New Roman" w:hAnsi="Times New Roman" w:cs="Times New Roman"/>
          <w:color w:val="auto"/>
          <w:highlight w:val="none"/>
          <w:lang w:val="en-US" w:eastAsia="zh-CN"/>
        </w:rPr>
        <w:t>回填所需土石方量较大，土石方经场内综合利用，弃土方产生，项目</w:t>
      </w:r>
      <w:r>
        <w:rPr>
          <w:rFonts w:hint="default" w:ascii="Times New Roman" w:hAnsi="Times New Roman" w:cs="Times New Roman"/>
          <w:color w:val="auto"/>
          <w:highlight w:val="none"/>
        </w:rPr>
        <w:t>固体废物主要包括两部分，一部分是</w:t>
      </w:r>
      <w:r>
        <w:rPr>
          <w:rFonts w:hint="default" w:ascii="Times New Roman" w:hAnsi="Times New Roman" w:cs="Times New Roman"/>
          <w:color w:val="auto"/>
          <w:highlight w:val="none"/>
          <w:lang w:val="en-US" w:eastAsia="zh-CN"/>
        </w:rPr>
        <w:t>施工产生的建筑垃圾</w:t>
      </w:r>
      <w:r>
        <w:rPr>
          <w:rFonts w:hint="default" w:ascii="Times New Roman" w:hAnsi="Times New Roman" w:cs="Times New Roman"/>
          <w:color w:val="auto"/>
          <w:highlight w:val="none"/>
        </w:rPr>
        <w:t>；另一部分是</w:t>
      </w:r>
      <w:r>
        <w:rPr>
          <w:rFonts w:hint="default" w:ascii="Times New Roman" w:hAnsi="Times New Roman" w:cs="Times New Roman"/>
          <w:color w:val="auto"/>
          <w:highlight w:val="none"/>
          <w:lang w:val="en-US" w:eastAsia="zh-CN"/>
        </w:rPr>
        <w:t>车辆冲洗废水经隔油处理后产生的隔油池污油</w:t>
      </w:r>
      <w:r>
        <w:rPr>
          <w:rFonts w:hint="default" w:ascii="Times New Roman" w:hAnsi="Times New Roman" w:cs="Times New Roman"/>
          <w:color w:val="auto"/>
          <w:highlight w:val="none"/>
        </w:rPr>
        <w:t>。</w:t>
      </w:r>
    </w:p>
    <w:p w14:paraId="79A1C009">
      <w:pPr>
        <w:pStyle w:val="410"/>
        <w:rPr>
          <w:rFonts w:hint="default" w:ascii="Times New Roman" w:hAnsi="Times New Roman" w:cs="Times New Roman"/>
          <w:b/>
          <w:bCs/>
          <w:color w:val="auto"/>
          <w:highlight w:val="none"/>
          <w:u w:val="none"/>
        </w:rPr>
      </w:pPr>
      <w:r>
        <w:rPr>
          <w:rFonts w:hint="default" w:ascii="Times New Roman" w:hAnsi="Times New Roman" w:cs="Times New Roman"/>
          <w:b/>
          <w:bCs/>
          <w:color w:val="auto"/>
          <w:highlight w:val="none"/>
          <w:u w:val="none"/>
        </w:rPr>
        <w:t>（1）施工土石方</w:t>
      </w:r>
    </w:p>
    <w:p w14:paraId="7A3A48F0">
      <w:pPr>
        <w:pStyle w:val="41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u w:val="none"/>
          <w:lang w:val="en-US" w:eastAsia="zh-CN"/>
        </w:rPr>
        <w:t>根据土石方平衡</w:t>
      </w:r>
      <w:r>
        <w:rPr>
          <w:rFonts w:hint="eastAsia" w:ascii="Times New Roman" w:cs="Times New Roman"/>
          <w:color w:val="auto"/>
          <w:highlight w:val="none"/>
          <w:u w:val="none"/>
          <w:lang w:val="en-US" w:eastAsia="zh-CN"/>
        </w:rPr>
        <w:t>，项目总挖方量约3.74万m</w:t>
      </w:r>
      <w:r>
        <w:rPr>
          <w:rFonts w:hint="eastAsia" w:ascii="Times New Roman" w:cs="Times New Roman"/>
          <w:color w:val="auto"/>
          <w:highlight w:val="none"/>
          <w:u w:val="none"/>
          <w:vertAlign w:val="superscript"/>
          <w:lang w:val="en-US" w:eastAsia="zh-CN"/>
        </w:rPr>
        <w:t>3</w:t>
      </w:r>
      <w:r>
        <w:rPr>
          <w:rFonts w:hint="default" w:ascii="Times New Roman" w:hAnsi="Times New Roman" w:cs="Times New Roman"/>
          <w:color w:val="auto"/>
          <w:highlight w:val="none"/>
          <w:u w:val="none"/>
          <w:lang w:val="en-US" w:eastAsia="zh-CN"/>
        </w:rPr>
        <w:t>，</w:t>
      </w:r>
      <w:r>
        <w:rPr>
          <w:rFonts w:hint="eastAsia" w:ascii="Times New Roman" w:cs="Times New Roman"/>
          <w:color w:val="auto"/>
          <w:highlight w:val="none"/>
          <w:u w:val="none"/>
          <w:lang w:val="en-US" w:eastAsia="zh-CN"/>
        </w:rPr>
        <w:t>总填方量约26.04万m</w:t>
      </w:r>
      <w:r>
        <w:rPr>
          <w:rFonts w:hint="eastAsia" w:ascii="Times New Roman" w:cs="Times New Roman"/>
          <w:color w:val="auto"/>
          <w:highlight w:val="none"/>
          <w:u w:val="none"/>
          <w:vertAlign w:val="superscript"/>
          <w:lang w:val="en-US" w:eastAsia="zh-CN"/>
        </w:rPr>
        <w:t>3</w:t>
      </w:r>
      <w:r>
        <w:rPr>
          <w:rFonts w:hint="eastAsia" w:ascii="Times New Roman" w:cs="Times New Roman"/>
          <w:color w:val="auto"/>
          <w:highlight w:val="none"/>
          <w:u w:val="none"/>
          <w:vertAlign w:val="baseline"/>
          <w:lang w:val="en-US" w:eastAsia="zh-CN"/>
        </w:rPr>
        <w:t>，借方22.30万m</w:t>
      </w:r>
      <w:r>
        <w:rPr>
          <w:rFonts w:hint="eastAsia" w:ascii="Times New Roman" w:cs="Times New Roman"/>
          <w:color w:val="auto"/>
          <w:highlight w:val="none"/>
          <w:u w:val="none"/>
          <w:vertAlign w:val="superscript"/>
          <w:lang w:val="en-US" w:eastAsia="zh-CN"/>
        </w:rPr>
        <w:t>3</w:t>
      </w:r>
      <w:r>
        <w:rPr>
          <w:rFonts w:hint="eastAsia" w:ascii="Times New Roman" w:cs="Times New Roman"/>
          <w:color w:val="auto"/>
          <w:highlight w:val="none"/>
          <w:u w:val="none"/>
          <w:vertAlign w:val="baseline"/>
          <w:lang w:val="en-US" w:eastAsia="zh-CN"/>
        </w:rPr>
        <w:t>，</w:t>
      </w:r>
      <w:r>
        <w:rPr>
          <w:rFonts w:hint="default" w:ascii="Times New Roman" w:hAnsi="Times New Roman" w:cs="Times New Roman"/>
          <w:color w:val="auto"/>
          <w:highlight w:val="none"/>
          <w:u w:val="none"/>
          <w:lang w:val="en-US" w:eastAsia="zh-CN"/>
        </w:rPr>
        <w:t>无弃方产生</w:t>
      </w:r>
      <w:r>
        <w:rPr>
          <w:rFonts w:hint="default" w:ascii="Times New Roman" w:hAnsi="Times New Roman" w:cs="Times New Roman"/>
          <w:color w:val="auto"/>
          <w:highlight w:val="none"/>
          <w:u w:val="none"/>
        </w:rPr>
        <w:t>。</w:t>
      </w:r>
    </w:p>
    <w:p w14:paraId="5448B98A">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工程施工前期对扰动地表进行了表土剥离，用于后期绿化覆土，水系改造清除工程产生的淤泥，</w:t>
      </w:r>
      <w:r>
        <w:rPr>
          <w:rFonts w:hint="eastAsia" w:ascii="Times New Roman" w:hAnsi="Times New Roman" w:eastAsia="宋体" w:cs="Times New Roman"/>
          <w:color w:val="auto"/>
          <w:highlight w:val="none"/>
          <w:lang w:val="en-US" w:eastAsia="zh-CN"/>
        </w:rPr>
        <w:t>在临时中转场内</w:t>
      </w:r>
      <w:r>
        <w:rPr>
          <w:rFonts w:hint="default" w:ascii="Times New Roman" w:hAnsi="Times New Roman" w:eastAsia="宋体" w:cs="Times New Roman"/>
          <w:color w:val="auto"/>
          <w:highlight w:val="none"/>
          <w:lang w:val="en-US" w:eastAsia="zh-CN"/>
        </w:rPr>
        <w:t>晒干后用于道路边坡的覆土</w:t>
      </w:r>
      <w:r>
        <w:rPr>
          <w:rFonts w:hint="eastAsia" w:ascii="Times New Roman" w:hAnsi="Times New Roman" w:eastAsia="宋体" w:cs="Times New Roman"/>
          <w:color w:val="auto"/>
          <w:highlight w:val="none"/>
          <w:lang w:val="en-US" w:eastAsia="zh-CN"/>
        </w:rPr>
        <w:t>。根据项目底泥环境质量及土壤环境质量现状监测数据，区域土壤、底泥均满足</w:t>
      </w:r>
      <w:r>
        <w:rPr>
          <w:rFonts w:hint="default" w:ascii="Times New Roman" w:hAnsi="Times New Roman" w:eastAsia="宋体" w:cs="Times New Roman"/>
          <w:color w:val="auto"/>
          <w:highlight w:val="none"/>
          <w:lang w:val="en-US" w:eastAsia="zh-CN"/>
        </w:rPr>
        <w:t>《土壤环境质量标准农用地土壤污染风险管控标准</w:t>
      </w:r>
      <w:r>
        <w:rPr>
          <w:rFonts w:hint="eastAsia" w:ascii="Times New Roman" w:cs="Times New Roman"/>
          <w:color w:val="auto"/>
          <w:highlight w:val="none"/>
          <w:lang w:val="en-US" w:eastAsia="zh-CN"/>
        </w:rPr>
        <w:t>（试行）》</w:t>
      </w:r>
      <w:r>
        <w:rPr>
          <w:rFonts w:hint="default" w:ascii="Times New Roman" w:hAnsi="Times New Roman" w:eastAsia="宋体" w:cs="Times New Roman"/>
          <w:color w:val="auto"/>
          <w:highlight w:val="none"/>
          <w:lang w:val="en-US" w:eastAsia="zh-CN"/>
        </w:rPr>
        <w:t>（GB15618-2018）中其他用地风险筛选值标准，</w:t>
      </w:r>
      <w:r>
        <w:rPr>
          <w:rFonts w:hint="eastAsia" w:ascii="Times New Roman" w:hAnsi="Times New Roman" w:eastAsia="宋体" w:cs="Times New Roman"/>
          <w:color w:val="auto"/>
          <w:highlight w:val="none"/>
          <w:lang w:val="en-US" w:eastAsia="zh-CN"/>
        </w:rPr>
        <w:t>项目底泥用于道路边坡覆土不会对农产品质量安全、农作物生长造成影响，对土壤生态环境的风险低。</w:t>
      </w:r>
    </w:p>
    <w:p w14:paraId="5C2A0A79">
      <w:pPr>
        <w:pStyle w:val="41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w:t>
      </w:r>
      <w:r>
        <w:rPr>
          <w:rFonts w:hint="default"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rPr>
        <w:t>）建筑垃圾</w:t>
      </w:r>
    </w:p>
    <w:p w14:paraId="5F750D5B">
      <w:pPr>
        <w:pStyle w:val="410"/>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施工期产生的建筑垃圾（如废弃钢筋）能回收利用的回收利用，不能回收利用的部分（如废渣土、混凝土碎块）需按照城市建设主管部门要求运至钦州市指定的建筑垃圾处置地点妥善处置。本项目施工前，负责施工的单位应当向当地环境卫生行政主管部门提出申请，经核准并按规定缴纳建筑垃圾处理费，取得《建筑垃圾处置许可证》后，方可施工过程产生的建筑垃圾运至许可证中规定的卸放建筑垃圾的地点统一处置，同时，建筑垃圾应当交由依法取得《建筑垃圾运输许可证》的单位运输，处置后建筑垃圾对环境影响较小。</w:t>
      </w:r>
    </w:p>
    <w:p w14:paraId="2D45D98E">
      <w:pPr>
        <w:pStyle w:val="410"/>
        <w:rPr>
          <w:rFonts w:hint="default" w:ascii="Times New Roman" w:hAnsi="Times New Roman" w:eastAsia="宋体" w:cs="Times New Roman"/>
          <w:b/>
          <w:bCs/>
          <w:color w:val="auto"/>
          <w:highlight w:val="none"/>
          <w:u w:val="none"/>
          <w:lang w:val="en-US" w:eastAsia="zh-CN"/>
        </w:rPr>
      </w:pPr>
      <w:r>
        <w:rPr>
          <w:rFonts w:hint="default" w:ascii="Times New Roman" w:hAnsi="Times New Roman" w:eastAsia="宋体" w:cs="Times New Roman"/>
          <w:b/>
          <w:bCs/>
          <w:color w:val="auto"/>
          <w:highlight w:val="none"/>
          <w:u w:val="none"/>
          <w:lang w:val="en-US" w:eastAsia="zh-CN"/>
        </w:rPr>
        <w:t>（3）隔油池污油</w:t>
      </w:r>
    </w:p>
    <w:p w14:paraId="0D07FFA7">
      <w:pPr>
        <w:pStyle w:val="41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color w:val="auto"/>
          <w:highlight w:val="none"/>
          <w:u w:val="none"/>
          <w:lang w:val="en-US" w:eastAsia="zh-CN"/>
        </w:rPr>
        <w:t>施工区主要污染物为隔油沉淀池产生的污油，经估算，项目施工期产生的隔油池污油约0.0021t，隔油池污油按照《国家危险废物名录》（2025年版），属于危险废物（HW08废矿物油与含矿物油废物），隔油池定期交由专业清理单位清理，污油由清运单位清运处置，对环境影响不大。</w:t>
      </w:r>
    </w:p>
    <w:p w14:paraId="0FA126CE">
      <w:pPr>
        <w:pStyle w:val="5"/>
        <w:numPr>
          <w:ilvl w:val="2"/>
          <w:numId w:val="40"/>
        </w:numPr>
        <w:bidi w:val="0"/>
        <w:ind w:left="452" w:leftChars="0" w:firstLine="0" w:firstLineChars="0"/>
        <w:rPr>
          <w:rFonts w:hint="default"/>
          <w:color w:val="auto"/>
          <w:highlight w:val="none"/>
          <w:u w:val="single"/>
          <w:lang w:val="en-US" w:eastAsia="zh-CN"/>
        </w:rPr>
      </w:pPr>
      <w:r>
        <w:rPr>
          <w:rFonts w:hint="eastAsia" w:cs="Times New Roman"/>
          <w:b/>
          <w:bCs/>
          <w:color w:val="auto"/>
          <w:highlight w:val="none"/>
          <w:u w:val="single"/>
          <w:lang w:val="en-US" w:eastAsia="zh-CN"/>
        </w:rPr>
        <w:t>临时设施</w:t>
      </w:r>
      <w:r>
        <w:rPr>
          <w:rFonts w:hint="eastAsia" w:ascii="Times New Roman" w:hAnsi="Times New Roman" w:eastAsia="宋体" w:cs="Times New Roman"/>
          <w:b/>
          <w:bCs/>
          <w:color w:val="auto"/>
          <w:highlight w:val="none"/>
          <w:u w:val="single"/>
          <w:lang w:eastAsia="zh-CN"/>
        </w:rPr>
        <w:t>选址合理性</w:t>
      </w:r>
    </w:p>
    <w:p w14:paraId="3804B899">
      <w:pPr>
        <w:pStyle w:val="410"/>
        <w:numPr>
          <w:ilvl w:val="0"/>
          <w:numId w:val="45"/>
        </w:numPr>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管网敷设施工区</w:t>
      </w:r>
    </w:p>
    <w:p w14:paraId="0008D1A9">
      <w:pPr>
        <w:pStyle w:val="684"/>
        <w:ind w:firstLine="453"/>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区域锦绣大道已建成，锦绣大道雨水管网敷设位于道路红线范围内，考虑施工机械活动，选取管网沟槽两侧5m范围内作为管网敷设施工区，对于临近敏感点施工段应调整施工布局，选取远离敏感点一侧进行施工可有效减少施工活动对敏感点的影响。管网铺设施工区临时占地面积较小，施工结束后恢复原状，选址合理。</w:t>
      </w:r>
    </w:p>
    <w:p w14:paraId="7FC8E4F5">
      <w:pPr>
        <w:pStyle w:val="410"/>
        <w:numPr>
          <w:ilvl w:val="0"/>
          <w:numId w:val="45"/>
        </w:numPr>
        <w:rPr>
          <w:rFonts w:hint="default" w:ascii="Times New Roman" w:cs="Times New Roman"/>
          <w:color w:val="auto"/>
          <w:highlight w:val="none"/>
          <w:u w:val="single"/>
          <w:lang w:val="en-US" w:eastAsia="zh-CN"/>
        </w:rPr>
      </w:pPr>
      <w:r>
        <w:rPr>
          <w:rFonts w:hint="eastAsia" w:ascii="Times New Roman" w:cs="Times New Roman"/>
          <w:color w:val="auto"/>
          <w:highlight w:val="none"/>
          <w:lang w:val="en-US" w:eastAsia="zh-CN"/>
        </w:rPr>
        <w:t>钦州港路、曲绣路回填区</w:t>
      </w:r>
      <w:r>
        <w:rPr>
          <w:rFonts w:hint="eastAsia" w:ascii="Times New Roman" w:cs="Times New Roman"/>
          <w:color w:val="auto"/>
          <w:highlight w:val="none"/>
          <w:u w:val="single"/>
          <w:lang w:val="en-US" w:eastAsia="zh-CN"/>
        </w:rPr>
        <w:t>(兼临时施工道路，施工围堰)</w:t>
      </w:r>
    </w:p>
    <w:p w14:paraId="21DD5D27">
      <w:pPr>
        <w:pStyle w:val="410"/>
        <w:rPr>
          <w:rFonts w:hint="default" w:ascii="Times New Roman" w:eastAsia="宋体" w:cs="Times New Roman"/>
          <w:color w:val="auto"/>
          <w:highlight w:val="none"/>
          <w:lang w:val="en-US" w:eastAsia="zh-CN"/>
        </w:rPr>
      </w:pPr>
      <w:r>
        <w:rPr>
          <w:rFonts w:hint="eastAsia" w:ascii="Times New Roman" w:cs="Times New Roman"/>
          <w:color w:val="auto"/>
          <w:highlight w:val="none"/>
          <w:lang w:val="en-US" w:eastAsia="zh-CN"/>
        </w:rPr>
        <w:t>根据《中国-马来西亚钦州产业园区总体规划（2015~2030）》，项目钦州港路、曲绣路回填区规划用地类型为公共交通用地，项目因管道铺设标高需要对规划钦州港路、规划曲绣路进行回填</w:t>
      </w:r>
      <w:r>
        <w:rPr>
          <w:rFonts w:hint="eastAsia" w:ascii="Times New Roman" w:eastAsia="宋体" w:cs="Times New Roman"/>
          <w:color w:val="auto"/>
          <w:highlight w:val="none"/>
          <w:lang w:val="en-US" w:eastAsia="zh-CN"/>
        </w:rPr>
        <w:t>，</w:t>
      </w:r>
      <w:r>
        <w:rPr>
          <w:rFonts w:hint="default" w:ascii="Times New Roman" w:eastAsia="宋体" w:cs="Times New Roman"/>
          <w:color w:val="auto"/>
          <w:highlight w:val="none"/>
          <w:lang w:val="en-US" w:eastAsia="zh-CN"/>
        </w:rPr>
        <w:t>道路路面及其他工程不属于本次建设内容。</w:t>
      </w:r>
    </w:p>
    <w:p w14:paraId="4BA37B08">
      <w:pPr>
        <w:pStyle w:val="410"/>
        <w:rPr>
          <w:rFonts w:hint="eastAsia" w:ascii="Times New Roman" w:eastAsia="宋体" w:cs="Times New Roman"/>
          <w:color w:val="auto"/>
          <w:highlight w:val="none"/>
          <w:lang w:val="en-US" w:eastAsia="zh-CN"/>
        </w:rPr>
      </w:pPr>
      <w:r>
        <w:rPr>
          <w:rFonts w:hint="eastAsia" w:ascii="Times New Roman" w:eastAsia="宋体" w:cs="Times New Roman"/>
          <w:color w:val="auto"/>
          <w:highlight w:val="none"/>
          <w:lang w:val="en-US" w:eastAsia="zh-CN"/>
        </w:rPr>
        <w:t>钦州港路、</w:t>
      </w:r>
      <w:r>
        <w:rPr>
          <w:rFonts w:hint="eastAsia" w:ascii="Times New Roman" w:cs="Times New Roman"/>
          <w:color w:val="auto"/>
          <w:highlight w:val="none"/>
          <w:lang w:val="en-US" w:eastAsia="zh-CN"/>
        </w:rPr>
        <w:t>曲绣路</w:t>
      </w:r>
      <w:r>
        <w:rPr>
          <w:rFonts w:hint="eastAsia" w:ascii="Times New Roman" w:eastAsia="宋体" w:cs="Times New Roman"/>
          <w:color w:val="auto"/>
          <w:highlight w:val="none"/>
          <w:lang w:val="en-US" w:eastAsia="zh-CN"/>
        </w:rPr>
        <w:t>回填区位于规划建设范围内，根据正在实施建设的</w:t>
      </w:r>
      <w:r>
        <w:rPr>
          <w:rFonts w:hint="default" w:ascii="Times New Roman" w:eastAsia="宋体" w:cs="Times New Roman"/>
          <w:color w:val="auto"/>
          <w:highlight w:val="none"/>
          <w:lang w:val="en-US" w:eastAsia="zh-CN"/>
        </w:rPr>
        <w:t>钦州港新型城乡融合发展示范区(自贸新城)淡水湾</w:t>
      </w:r>
      <w:r>
        <w:rPr>
          <w:rFonts w:hint="eastAsia" w:ascii="Times New Roman" w:eastAsia="宋体" w:cs="Times New Roman"/>
          <w:color w:val="auto"/>
          <w:highlight w:val="none"/>
          <w:lang w:val="en-US" w:eastAsia="zh-CN"/>
        </w:rPr>
        <w:t>项目和</w:t>
      </w:r>
      <w:r>
        <w:rPr>
          <w:rFonts w:hint="default" w:ascii="Times New Roman" w:eastAsia="宋体" w:cs="Times New Roman"/>
          <w:color w:val="auto"/>
          <w:highlight w:val="none"/>
          <w:lang w:val="en-US" w:eastAsia="zh-CN"/>
        </w:rPr>
        <w:t>鸡墩头</w:t>
      </w:r>
      <w:r>
        <w:rPr>
          <w:rFonts w:hint="eastAsia" w:ascii="Times New Roman" w:eastAsia="宋体" w:cs="Times New Roman"/>
          <w:color w:val="auto"/>
          <w:highlight w:val="none"/>
          <w:lang w:val="en-US" w:eastAsia="zh-CN"/>
        </w:rPr>
        <w:t>项目总平面设计，钦州港路、</w:t>
      </w:r>
      <w:r>
        <w:rPr>
          <w:rFonts w:hint="eastAsia" w:ascii="Times New Roman" w:cs="Times New Roman"/>
          <w:color w:val="auto"/>
          <w:highlight w:val="none"/>
          <w:lang w:val="en-US" w:eastAsia="zh-CN"/>
        </w:rPr>
        <w:t>曲绣路</w:t>
      </w:r>
      <w:r>
        <w:rPr>
          <w:rFonts w:hint="eastAsia" w:ascii="Times New Roman" w:eastAsia="宋体" w:cs="Times New Roman"/>
          <w:color w:val="auto"/>
          <w:highlight w:val="none"/>
          <w:lang w:val="en-US" w:eastAsia="zh-CN"/>
        </w:rPr>
        <w:t>回填区与</w:t>
      </w:r>
      <w:r>
        <w:rPr>
          <w:rFonts w:hint="default" w:ascii="Times New Roman" w:eastAsia="宋体" w:cs="Times New Roman"/>
          <w:color w:val="auto"/>
          <w:highlight w:val="none"/>
          <w:lang w:val="en-US" w:eastAsia="zh-CN"/>
        </w:rPr>
        <w:t>淡水湾</w:t>
      </w:r>
      <w:r>
        <w:rPr>
          <w:rFonts w:hint="eastAsia" w:ascii="Times New Roman" w:eastAsia="宋体" w:cs="Times New Roman"/>
          <w:color w:val="auto"/>
          <w:highlight w:val="none"/>
          <w:lang w:val="en-US" w:eastAsia="zh-CN"/>
        </w:rPr>
        <w:t>项目和</w:t>
      </w:r>
      <w:r>
        <w:rPr>
          <w:rFonts w:hint="default" w:ascii="Times New Roman" w:eastAsia="宋体" w:cs="Times New Roman"/>
          <w:color w:val="auto"/>
          <w:highlight w:val="none"/>
          <w:lang w:val="en-US" w:eastAsia="zh-CN"/>
        </w:rPr>
        <w:t>鸡墩头</w:t>
      </w:r>
      <w:r>
        <w:rPr>
          <w:rFonts w:hint="eastAsia" w:ascii="Times New Roman" w:eastAsia="宋体" w:cs="Times New Roman"/>
          <w:color w:val="auto"/>
          <w:highlight w:val="none"/>
          <w:lang w:val="en-US" w:eastAsia="zh-CN"/>
        </w:rPr>
        <w:t>项目规划建设道路相吻合，</w:t>
      </w:r>
      <w:r>
        <w:rPr>
          <w:rFonts w:hint="default" w:ascii="Times New Roman" w:eastAsia="宋体" w:cs="Times New Roman"/>
          <w:color w:val="auto"/>
          <w:highlight w:val="none"/>
          <w:lang w:val="en-US" w:eastAsia="zh-CN" w:bidi="en-US"/>
        </w:rPr>
        <w:t>铺设管网后对路基及路基边坡绿化覆土后撒播草籽植被覆盖</w:t>
      </w:r>
      <w:r>
        <w:rPr>
          <w:rFonts w:hint="eastAsia" w:ascii="Times New Roman" w:eastAsia="宋体" w:cs="Times New Roman"/>
          <w:color w:val="auto"/>
          <w:highlight w:val="none"/>
          <w:lang w:val="en-US" w:eastAsia="zh-CN" w:bidi="en-US"/>
        </w:rPr>
        <w:t>，交由</w:t>
      </w:r>
      <w:r>
        <w:rPr>
          <w:rFonts w:hint="default" w:ascii="Times New Roman" w:eastAsia="宋体" w:cs="Times New Roman"/>
          <w:color w:val="auto"/>
          <w:highlight w:val="none"/>
          <w:lang w:val="en-US" w:eastAsia="zh-CN"/>
        </w:rPr>
        <w:t>淡水湾</w:t>
      </w:r>
      <w:r>
        <w:rPr>
          <w:rFonts w:hint="eastAsia" w:ascii="Times New Roman" w:eastAsia="宋体" w:cs="Times New Roman"/>
          <w:color w:val="auto"/>
          <w:highlight w:val="none"/>
          <w:lang w:val="en-US" w:eastAsia="zh-CN"/>
        </w:rPr>
        <w:t>项目和</w:t>
      </w:r>
      <w:r>
        <w:rPr>
          <w:rFonts w:hint="default" w:ascii="Times New Roman" w:eastAsia="宋体" w:cs="Times New Roman"/>
          <w:color w:val="auto"/>
          <w:highlight w:val="none"/>
          <w:lang w:val="en-US" w:eastAsia="zh-CN"/>
        </w:rPr>
        <w:t>鸡墩头</w:t>
      </w:r>
      <w:r>
        <w:rPr>
          <w:rFonts w:hint="eastAsia" w:ascii="Times New Roman" w:eastAsia="宋体" w:cs="Times New Roman"/>
          <w:color w:val="auto"/>
          <w:highlight w:val="none"/>
          <w:lang w:val="en-US" w:eastAsia="zh-CN"/>
        </w:rPr>
        <w:t>项目进行后续工程的建设，钦州港路、</w:t>
      </w:r>
      <w:r>
        <w:rPr>
          <w:rFonts w:hint="eastAsia" w:ascii="Times New Roman" w:cs="Times New Roman"/>
          <w:color w:val="auto"/>
          <w:highlight w:val="none"/>
          <w:lang w:val="en-US" w:eastAsia="zh-CN"/>
        </w:rPr>
        <w:t>曲绣路</w:t>
      </w:r>
      <w:r>
        <w:rPr>
          <w:rFonts w:hint="eastAsia" w:ascii="Times New Roman" w:eastAsia="宋体" w:cs="Times New Roman"/>
          <w:color w:val="auto"/>
          <w:highlight w:val="none"/>
          <w:lang w:val="en-US" w:eastAsia="zh-CN"/>
        </w:rPr>
        <w:t>回填区不涉及</w:t>
      </w:r>
      <w:r>
        <w:rPr>
          <w:rFonts w:hint="default" w:ascii="Times New Roman" w:eastAsia="宋体" w:cs="Times New Roman"/>
          <w:color w:val="auto"/>
          <w:highlight w:val="none"/>
          <w:lang w:val="en-US" w:eastAsia="zh-CN"/>
        </w:rPr>
        <w:t>占用环境生态敏感区、饮用水水源地保护区</w:t>
      </w:r>
      <w:r>
        <w:rPr>
          <w:rFonts w:hint="eastAsia" w:ascii="Times New Roman" w:eastAsia="宋体" w:cs="Times New Roman"/>
          <w:color w:val="auto"/>
          <w:highlight w:val="none"/>
          <w:lang w:val="en-US" w:eastAsia="zh-CN"/>
        </w:rPr>
        <w:t>等</w:t>
      </w:r>
      <w:r>
        <w:rPr>
          <w:rFonts w:hint="default" w:ascii="Times New Roman" w:eastAsia="宋体" w:cs="Times New Roman"/>
          <w:color w:val="auto"/>
          <w:highlight w:val="none"/>
          <w:lang w:val="en-US" w:eastAsia="zh-CN"/>
        </w:rPr>
        <w:t>敏感区</w:t>
      </w:r>
      <w:r>
        <w:rPr>
          <w:rFonts w:hint="eastAsia" w:ascii="Times New Roman" w:eastAsia="宋体" w:cs="Times New Roman"/>
          <w:color w:val="auto"/>
          <w:highlight w:val="none"/>
          <w:lang w:val="en-US" w:eastAsia="zh-CN"/>
        </w:rPr>
        <w:t>，回填区选址合理。</w:t>
      </w:r>
    </w:p>
    <w:p w14:paraId="298F50EE">
      <w:pPr>
        <w:pStyle w:val="410"/>
        <w:numPr>
          <w:ilvl w:val="0"/>
          <w:numId w:val="45"/>
        </w:numP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运输车辆冲洗平台</w:t>
      </w:r>
    </w:p>
    <w:p w14:paraId="7078EE14">
      <w:pPr>
        <w:pStyle w:val="410"/>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本项目运输车辆主要用于土方运输和中转，本项目位于临时中转场出入口处设置车辆停放区和车辆冲洗平台，便于运输车辆冲洗的同时无新增临时占地，车辆冲洗平台选址合理。</w:t>
      </w:r>
    </w:p>
    <w:p w14:paraId="3B7686C1">
      <w:pPr>
        <w:pStyle w:val="410"/>
        <w:numPr>
          <w:ilvl w:val="0"/>
          <w:numId w:val="45"/>
        </w:numPr>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临时中转场</w:t>
      </w:r>
    </w:p>
    <w:p w14:paraId="06D55979">
      <w:pPr>
        <w:pStyle w:val="41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本项目设计单位位于设置</w:t>
      </w:r>
      <w:r>
        <w:rPr>
          <w:rFonts w:hint="default" w:ascii="Times New Roman" w:hAnsi="Times New Roman" w:eastAsia="宋体" w:cs="Times New Roman"/>
          <w:color w:val="auto"/>
          <w:highlight w:val="none"/>
          <w:lang w:val="en-US" w:eastAsia="zh-CN"/>
        </w:rPr>
        <w:t>钦州港路与锦绣大道交叉口处的西南侧设置1处面积约</w:t>
      </w:r>
      <w:r>
        <w:rPr>
          <w:rFonts w:hint="eastAsia" w:ascii="Times New Roman" w:cs="Times New Roman"/>
          <w:color w:val="auto"/>
          <w:highlight w:val="none"/>
          <w:u w:val="single"/>
          <w:lang w:val="en-US" w:eastAsia="zh-CN"/>
        </w:rPr>
        <w:t>0.85</w:t>
      </w:r>
      <w:r>
        <w:rPr>
          <w:rFonts w:hint="default" w:ascii="Times New Roman" w:hAnsi="Times New Roman" w:eastAsia="宋体" w:cs="Times New Roman"/>
          <w:color w:val="auto"/>
          <w:highlight w:val="none"/>
          <w:u w:val="single"/>
          <w:lang w:val="en-US" w:eastAsia="zh-CN"/>
        </w:rPr>
        <w:t>hm</w:t>
      </w:r>
      <w:r>
        <w:rPr>
          <w:rFonts w:hint="default" w:ascii="Times New Roman" w:hAnsi="Times New Roman" w:eastAsia="宋体" w:cs="Times New Roman"/>
          <w:color w:val="auto"/>
          <w:highlight w:val="none"/>
          <w:u w:val="single"/>
          <w:vertAlign w:val="superscript"/>
          <w:lang w:val="en-US" w:eastAsia="zh-CN"/>
        </w:rPr>
        <w:t>2</w:t>
      </w:r>
      <w:r>
        <w:rPr>
          <w:rFonts w:hint="default" w:ascii="Times New Roman" w:hAnsi="Times New Roman" w:eastAsia="宋体" w:cs="Times New Roman"/>
          <w:color w:val="auto"/>
          <w:highlight w:val="none"/>
          <w:lang w:val="en-US" w:eastAsia="zh-CN"/>
        </w:rPr>
        <w:t>的临时中转场，临时中转场占地类型为耕地，地势平坦，起堆高程0.6~0.8m，最大堆高4m，</w:t>
      </w:r>
      <w:r>
        <w:rPr>
          <w:rFonts w:hint="default" w:ascii="Times New Roman" w:hAnsi="Times New Roman" w:eastAsia="宋体" w:cs="Times New Roman"/>
          <w:color w:val="auto"/>
          <w:highlight w:val="none"/>
          <w:u w:val="single"/>
          <w:lang w:val="en-US" w:eastAsia="zh-CN"/>
        </w:rPr>
        <w:t>可堆土容量约</w:t>
      </w:r>
      <w:r>
        <w:rPr>
          <w:rFonts w:hint="eastAsia" w:ascii="Times New Roman" w:cs="Times New Roman"/>
          <w:color w:val="auto"/>
          <w:highlight w:val="none"/>
          <w:u w:val="single"/>
          <w:lang w:val="en-US" w:eastAsia="zh-CN"/>
        </w:rPr>
        <w:t>2.64</w:t>
      </w:r>
      <w:r>
        <w:rPr>
          <w:rFonts w:hint="default" w:ascii="Times New Roman" w:hAnsi="Times New Roman" w:eastAsia="宋体" w:cs="Times New Roman"/>
          <w:color w:val="auto"/>
          <w:highlight w:val="none"/>
          <w:u w:val="single"/>
          <w:lang w:val="en-US" w:eastAsia="zh-CN"/>
        </w:rPr>
        <w:t>万m</w:t>
      </w:r>
      <w:r>
        <w:rPr>
          <w:rFonts w:hint="default" w:ascii="Times New Roman" w:hAnsi="Times New Roman" w:eastAsia="宋体" w:cs="Times New Roman"/>
          <w:color w:val="auto"/>
          <w:highlight w:val="none"/>
          <w:u w:val="single"/>
          <w:vertAlign w:val="superscript"/>
          <w:lang w:val="en-US" w:eastAsia="zh-CN"/>
        </w:rPr>
        <w:t>3</w:t>
      </w:r>
      <w:r>
        <w:rPr>
          <w:rFonts w:hint="default" w:ascii="Times New Roman" w:hAnsi="Times New Roman" w:eastAsia="宋体" w:cs="Times New Roman"/>
          <w:color w:val="auto"/>
          <w:highlight w:val="none"/>
          <w:lang w:val="en-US" w:eastAsia="zh-CN"/>
        </w:rPr>
        <w:t>，可以满足本项目淤泥及耕植土的临时堆放要求，堆渣结束后恢复成耕地。</w:t>
      </w:r>
    </w:p>
    <w:p w14:paraId="2E4B26CA">
      <w:pPr>
        <w:pStyle w:val="684"/>
        <w:ind w:firstLine="442"/>
        <w:rPr>
          <w:rFonts w:hint="default" w:ascii="Times New Roman" w:hAnsi="Times New Roman" w:cs="Times New Roman"/>
          <w:bCs/>
          <w:color w:val="auto"/>
          <w:kern w:val="0"/>
          <w:szCs w:val="24"/>
          <w:highlight w:val="none"/>
          <w:lang w:eastAsia="zh-CN" w:bidi="ar"/>
        </w:rPr>
      </w:pPr>
      <w:r>
        <w:rPr>
          <w:rFonts w:hint="default" w:ascii="Times New Roman" w:hAnsi="Times New Roman" w:eastAsia="宋体" w:cs="Times New Roman"/>
          <w:color w:val="auto"/>
          <w:highlight w:val="none"/>
          <w:lang w:val="en-US" w:eastAsia="zh-CN"/>
        </w:rPr>
        <w:t>项目临时中转场选址不涉及</w:t>
      </w:r>
      <w:r>
        <w:rPr>
          <w:rFonts w:hint="default" w:ascii="Times New Roman" w:hAnsi="Times New Roman" w:cs="Times New Roman"/>
          <w:bCs/>
          <w:color w:val="auto"/>
          <w:kern w:val="0"/>
          <w:szCs w:val="24"/>
          <w:highlight w:val="none"/>
          <w:lang w:bidi="ar"/>
        </w:rPr>
        <w:t>占用环境生态敏感区、饮用水水源地保护区，未占用基本农田等敏感区域</w:t>
      </w:r>
      <w:r>
        <w:rPr>
          <w:rFonts w:hint="default" w:ascii="Times New Roman" w:hAnsi="Times New Roman" w:cs="Times New Roman"/>
          <w:bCs/>
          <w:color w:val="auto"/>
          <w:kern w:val="0"/>
          <w:szCs w:val="24"/>
          <w:highlight w:val="none"/>
          <w:lang w:eastAsia="zh-CN" w:bidi="ar"/>
        </w:rPr>
        <w:t>。距离最近敏感点大岭脚村约</w:t>
      </w:r>
      <w:r>
        <w:rPr>
          <w:rFonts w:hint="default" w:ascii="Times New Roman" w:hAnsi="Times New Roman" w:cs="Times New Roman"/>
          <w:bCs/>
          <w:color w:val="auto"/>
          <w:kern w:val="0"/>
          <w:szCs w:val="24"/>
          <w:highlight w:val="none"/>
          <w:lang w:val="en-US" w:eastAsia="zh-CN" w:bidi="ar"/>
        </w:rPr>
        <w:t>160m</w:t>
      </w:r>
      <w:r>
        <w:rPr>
          <w:rFonts w:hint="eastAsia" w:ascii="Times New Roman" w:hAnsi="Times New Roman" w:cs="Times New Roman"/>
          <w:bCs/>
          <w:color w:val="auto"/>
          <w:kern w:val="0"/>
          <w:szCs w:val="24"/>
          <w:highlight w:val="none"/>
          <w:lang w:val="en-US" w:eastAsia="zh-CN" w:bidi="ar"/>
        </w:rPr>
        <w:t>，</w:t>
      </w:r>
      <w:r>
        <w:rPr>
          <w:rFonts w:hint="default" w:ascii="Times New Roman" w:hAnsi="Times New Roman" w:cs="Times New Roman"/>
          <w:bCs/>
          <w:color w:val="auto"/>
          <w:kern w:val="0"/>
          <w:szCs w:val="24"/>
          <w:highlight w:val="none"/>
          <w:lang w:eastAsia="zh-CN" w:bidi="ar"/>
        </w:rPr>
        <w:t>临时中转场在堆土前设置临时拦挡，在场地周边布设临时排水沟，排水沟末端布设沉沙池，堆土采用密目网临时覆盖，施工结束后对临时中转场区占地范围进行土地整治。</w:t>
      </w:r>
    </w:p>
    <w:p w14:paraId="3752A26D">
      <w:pPr>
        <w:pStyle w:val="684"/>
        <w:ind w:firstLine="442"/>
        <w:rPr>
          <w:rFonts w:hint="default" w:ascii="Times New Roman" w:hAnsi="Times New Roman" w:cs="Times New Roman"/>
          <w:bCs/>
          <w:color w:val="auto"/>
          <w:kern w:val="0"/>
          <w:szCs w:val="24"/>
          <w:highlight w:val="none"/>
          <w:lang w:bidi="ar"/>
        </w:rPr>
      </w:pPr>
      <w:r>
        <w:rPr>
          <w:rFonts w:hint="default" w:ascii="Times New Roman" w:hAnsi="Times New Roman" w:cs="Times New Roman"/>
          <w:bCs/>
          <w:color w:val="auto"/>
          <w:kern w:val="0"/>
          <w:szCs w:val="24"/>
          <w:highlight w:val="none"/>
          <w:lang w:eastAsia="zh-CN" w:bidi="ar"/>
        </w:rPr>
        <w:t>项目在采取以上临时措施，</w:t>
      </w:r>
      <w:r>
        <w:rPr>
          <w:rFonts w:hint="default" w:ascii="Times New Roman" w:hAnsi="Times New Roman" w:cs="Times New Roman"/>
          <w:bCs/>
          <w:color w:val="auto"/>
          <w:kern w:val="0"/>
          <w:szCs w:val="24"/>
          <w:highlight w:val="none"/>
          <w:lang w:bidi="ar"/>
        </w:rPr>
        <w:t>减缓施工噪声影响、及时洒水降尘等环保措施的前提下，从环保角度考虑，对环境影响是可接受的，选址基本合理。</w:t>
      </w:r>
    </w:p>
    <w:p w14:paraId="31B15CC4">
      <w:pPr>
        <w:pStyle w:val="4"/>
        <w:numPr>
          <w:ilvl w:val="1"/>
          <w:numId w:val="40"/>
        </w:numPr>
        <w:bidi w:val="0"/>
        <w:ind w:left="678" w:leftChars="0" w:firstLine="0" w:firstLineChars="0"/>
        <w:rPr>
          <w:rFonts w:hint="default"/>
          <w:color w:val="auto"/>
          <w:highlight w:val="none"/>
        </w:rPr>
      </w:pPr>
      <w:bookmarkStart w:id="118" w:name="_Toc13163"/>
      <w:r>
        <w:rPr>
          <w:rFonts w:hint="eastAsia"/>
          <w:color w:val="auto"/>
          <w:highlight w:val="none"/>
          <w:lang w:eastAsia="zh-CN"/>
        </w:rPr>
        <w:t>运营期</w:t>
      </w:r>
      <w:r>
        <w:rPr>
          <w:rFonts w:hint="default"/>
          <w:color w:val="auto"/>
          <w:highlight w:val="none"/>
        </w:rPr>
        <w:t>环境影响评价</w:t>
      </w:r>
      <w:bookmarkEnd w:id="118"/>
    </w:p>
    <w:p w14:paraId="4AFA4547">
      <w:pPr>
        <w:pStyle w:val="5"/>
        <w:numPr>
          <w:ilvl w:val="2"/>
          <w:numId w:val="40"/>
        </w:numPr>
        <w:bidi w:val="0"/>
        <w:ind w:left="452" w:leftChars="0" w:firstLine="0" w:firstLineChars="0"/>
        <w:rPr>
          <w:rFonts w:hint="default"/>
          <w:color w:val="auto"/>
          <w:highlight w:val="none"/>
        </w:rPr>
      </w:pPr>
      <w:r>
        <w:rPr>
          <w:rFonts w:hint="eastAsia"/>
          <w:color w:val="auto"/>
          <w:highlight w:val="none"/>
          <w:lang w:eastAsia="zh-CN"/>
        </w:rPr>
        <w:t>运营期</w:t>
      </w:r>
      <w:r>
        <w:rPr>
          <w:rFonts w:hint="default"/>
          <w:color w:val="auto"/>
          <w:highlight w:val="none"/>
        </w:rPr>
        <w:t>生态环境影响分析</w:t>
      </w:r>
    </w:p>
    <w:p w14:paraId="4C2A2892">
      <w:pPr>
        <w:pStyle w:val="410"/>
        <w:numPr>
          <w:ilvl w:val="0"/>
          <w:numId w:val="46"/>
        </w:numPr>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t>土地利用类型的改变</w:t>
      </w:r>
    </w:p>
    <w:p w14:paraId="0547FED4">
      <w:pPr>
        <w:pStyle w:val="41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评价范围内用地现状主要为城镇村道路用地、水域及水利设施用地、耕地、空闲地等，项目建成后永久占地内土地利用类型发生改变，项目所在区域多年受人类活动影响，生态系统敏感程度较低，基本无原生植被生长，永久占地造成的生物损失量较小，且钦州港路、</w:t>
      </w:r>
      <w:r>
        <w:rPr>
          <w:rFonts w:hint="eastAsia" w:ascii="Times New Roman" w:cs="Times New Roman"/>
          <w:color w:val="auto"/>
          <w:highlight w:val="none"/>
          <w:lang w:eastAsia="zh-CN"/>
        </w:rPr>
        <w:t>曲绣路</w:t>
      </w:r>
      <w:r>
        <w:rPr>
          <w:rFonts w:hint="default" w:ascii="Times New Roman" w:hAnsi="Times New Roman" w:eastAsia="宋体" w:cs="Times New Roman"/>
          <w:color w:val="auto"/>
          <w:highlight w:val="none"/>
          <w:lang w:eastAsia="zh-CN"/>
        </w:rPr>
        <w:t>绿化对生物损失进行一定的生态补偿作用，对区域生态系统的功能结构及稳定性影响不大。</w:t>
      </w:r>
    </w:p>
    <w:p w14:paraId="35FBC564">
      <w:pPr>
        <w:pStyle w:val="410"/>
        <w:numPr>
          <w:ilvl w:val="0"/>
          <w:numId w:val="46"/>
        </w:numPr>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对陆生生态影响分析</w:t>
      </w:r>
    </w:p>
    <w:p w14:paraId="3E35C247">
      <w:pPr>
        <w:pStyle w:val="41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本项目评价范围内植物种类均为常见种、广布种，工程建设期间扰动地表破坏植物种类仅仅是局部的，不会造成区域植物区系组成、植物群落和物种多样性发生根本性的影响，也不会造成显著不利的影响。</w:t>
      </w:r>
    </w:p>
    <w:p w14:paraId="382EB5A3">
      <w:pPr>
        <w:pStyle w:val="41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陆生野生动物较少，野生动物主要为与人类活动密切的各种常见两栖类、爬行类、哺乳类等，无保护野生动物分布，项目运营活动主要位于项目用地红线内，对周边野生动物的生存、繁殖影响较小。</w:t>
      </w:r>
    </w:p>
    <w:p w14:paraId="0A6375B6">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总体上，工程建设和营运对区域生态完整性的影响较小，属于可接受范围。</w:t>
      </w:r>
    </w:p>
    <w:p w14:paraId="6D6018B5">
      <w:pPr>
        <w:pStyle w:val="410"/>
        <w:numPr>
          <w:ilvl w:val="0"/>
          <w:numId w:val="46"/>
        </w:numP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项目运营对水生生态影响</w:t>
      </w:r>
    </w:p>
    <w:p w14:paraId="1F7C3E55">
      <w:pPr>
        <w:pStyle w:val="410"/>
        <w:rPr>
          <w:rFonts w:hint="eastAsia" w:ascii="Times New Roman" w:cs="Times New Roman"/>
          <w:color w:val="auto"/>
          <w:spacing w:val="24"/>
          <w:sz w:val="24"/>
          <w:szCs w:val="24"/>
          <w:highlight w:val="none"/>
          <w:u w:val="single"/>
          <w:lang w:eastAsia="zh-CN"/>
        </w:rPr>
      </w:pPr>
      <w:r>
        <w:rPr>
          <w:rFonts w:hint="default" w:ascii="Times New Roman" w:hAnsi="Times New Roman" w:eastAsia="宋体" w:cs="Times New Roman"/>
          <w:color w:val="auto"/>
          <w:highlight w:val="none"/>
          <w:shd w:val="clear" w:color="auto" w:fill="auto"/>
          <w:lang w:val="en-US" w:eastAsia="zh-CN"/>
        </w:rPr>
        <w:t>项目建成后对原有淡水湾江河流流态造成一定影响，破坏</w:t>
      </w:r>
      <w:r>
        <w:rPr>
          <w:rFonts w:hint="eastAsia"/>
          <w:color w:val="auto"/>
          <w:highlight w:val="none"/>
          <w:lang w:val="en-US" w:eastAsia="zh-CN"/>
        </w:rPr>
        <w:t>施工段原河道的</w:t>
      </w:r>
      <w:r>
        <w:rPr>
          <w:rFonts w:hint="default" w:ascii="Times New Roman" w:hAnsi="Times New Roman" w:eastAsia="宋体" w:cs="Times New Roman"/>
          <w:color w:val="auto"/>
          <w:highlight w:val="none"/>
          <w:shd w:val="clear" w:color="auto" w:fill="auto"/>
          <w:lang w:val="en-US" w:eastAsia="zh-CN"/>
        </w:rPr>
        <w:t>水生生境，造成区域水生生物物种和数量减少</w:t>
      </w:r>
      <w:r>
        <w:rPr>
          <w:rFonts w:hint="eastAsia" w:ascii="Times New Roman" w:cs="Times New Roman"/>
          <w:color w:val="auto"/>
          <w:highlight w:val="none"/>
          <w:shd w:val="clear" w:color="auto" w:fill="auto"/>
          <w:lang w:val="en-US" w:eastAsia="zh-CN"/>
        </w:rPr>
        <w:t>。</w:t>
      </w:r>
      <w:r>
        <w:rPr>
          <w:rFonts w:hint="eastAsia" w:ascii="Times New Roman" w:cs="Times New Roman"/>
          <w:color w:val="auto"/>
          <w:spacing w:val="24"/>
          <w:sz w:val="24"/>
          <w:szCs w:val="24"/>
          <w:highlight w:val="none"/>
          <w:u w:val="single"/>
          <w:lang w:eastAsia="zh-CN"/>
        </w:rPr>
        <w:t>项目建成后上游水流经过新建排水渠排入下游现状水系，区域水流流经改变，原淡水湾江因截流导致断流，原有水生生境被破坏，栖息地结构发生改从而导致部分水生生物向其他类似生境迁移，底栖生物、水生植物等部分水生生物死亡。丰水期工程段淡水湾江主要来源周边溪沟汇水及周边耕地雨水的汇入并形成静水区，可能因滞留导致氮磷积累，引发藻类暴发，沉水植物及高氧需求生物的死亡。枯水期工程段淡水湾江区域水量锐减甚至干涸，水生生态生境被破坏，水生生物失去生存空间，区域水生生物死亡。</w:t>
      </w:r>
    </w:p>
    <w:p w14:paraId="37DBFB6F">
      <w:pPr>
        <w:pStyle w:val="410"/>
        <w:rPr>
          <w:rFonts w:hint="default" w:ascii="Times New Roman" w:hAnsi="Times New Roman" w:cs="Times New Roman"/>
          <w:color w:val="auto"/>
          <w:highlight w:val="none"/>
          <w:u w:val="none"/>
        </w:rPr>
      </w:pPr>
      <w:r>
        <w:rPr>
          <w:rFonts w:hint="eastAsia" w:ascii="Times New Roman" w:cs="Times New Roman"/>
          <w:color w:val="auto"/>
          <w:spacing w:val="24"/>
          <w:sz w:val="24"/>
          <w:szCs w:val="24"/>
          <w:highlight w:val="none"/>
          <w:u w:val="single"/>
          <w:lang w:eastAsia="zh-CN"/>
        </w:rPr>
        <w:t>根据《钦州市城市总体规划修改（</w:t>
      </w:r>
      <w:r>
        <w:rPr>
          <w:rFonts w:hint="eastAsia" w:ascii="Times New Roman" w:cs="Times New Roman"/>
          <w:color w:val="auto"/>
          <w:spacing w:val="24"/>
          <w:sz w:val="24"/>
          <w:szCs w:val="24"/>
          <w:highlight w:val="none"/>
          <w:u w:val="single"/>
          <w:lang w:val="en-US" w:eastAsia="zh-CN"/>
        </w:rPr>
        <w:t>2012-2030</w:t>
      </w:r>
      <w:r>
        <w:rPr>
          <w:rFonts w:hint="eastAsia" w:ascii="Times New Roman" w:cs="Times New Roman"/>
          <w:color w:val="auto"/>
          <w:spacing w:val="24"/>
          <w:sz w:val="24"/>
          <w:szCs w:val="24"/>
          <w:highlight w:val="none"/>
          <w:u w:val="single"/>
          <w:lang w:eastAsia="zh-CN"/>
        </w:rPr>
        <w:t>）》，工程段淡水湾江所在区域用地类型为工业用地，后期城市开发建设对原淡水湾江进行回填。本工程水系改造为提高区域防洪除涝能力的同时顺应城市发展需求，新建排水渠连接上下游水系，项目建成后鱼类等水生生物会向新建排水渠内迁移</w:t>
      </w:r>
      <w:r>
        <w:rPr>
          <w:rFonts w:hint="eastAsia" w:ascii="Times New Roman" w:cs="Times New Roman"/>
          <w:color w:val="auto"/>
          <w:spacing w:val="24"/>
          <w:sz w:val="24"/>
          <w:szCs w:val="24"/>
          <w:highlight w:val="none"/>
          <w:u w:val="none"/>
          <w:lang w:eastAsia="zh-CN"/>
        </w:rPr>
        <w:t>，</w:t>
      </w:r>
      <w:r>
        <w:rPr>
          <w:rFonts w:hint="default" w:ascii="Times New Roman" w:hAnsi="Times New Roman" w:eastAsia="宋体" w:cs="Times New Roman"/>
          <w:color w:val="auto"/>
          <w:highlight w:val="none"/>
          <w:u w:val="none"/>
          <w:shd w:val="clear" w:color="auto" w:fill="auto"/>
          <w:lang w:val="en-US" w:eastAsia="zh-CN"/>
        </w:rPr>
        <w:t>水系改造段生物多样性和生物量增加，生境质量提升后周边水生生物向水系改造段迁移，形成新的完整的水生生态系统。</w:t>
      </w:r>
    </w:p>
    <w:p w14:paraId="46F59760">
      <w:pPr>
        <w:pStyle w:val="41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从整个流域水平来看，本工程在正常</w:t>
      </w:r>
      <w:r>
        <w:rPr>
          <w:rFonts w:hint="eastAsia" w:ascii="Times New Roman" w:hAnsi="Times New Roman" w:cs="Times New Roman"/>
          <w:color w:val="auto"/>
          <w:highlight w:val="none"/>
          <w:lang w:eastAsia="zh-CN"/>
        </w:rPr>
        <w:t>运营期</w:t>
      </w:r>
      <w:r>
        <w:rPr>
          <w:rFonts w:hint="default" w:ascii="Times New Roman" w:hAnsi="Times New Roman" w:cs="Times New Roman"/>
          <w:color w:val="auto"/>
          <w:highlight w:val="none"/>
        </w:rPr>
        <w:t>间对水生生物的不利影响是局部的、较轻的</w:t>
      </w:r>
      <w:r>
        <w:rPr>
          <w:rFonts w:hint="default" w:ascii="Times New Roman" w:hAnsi="Times New Roman" w:cs="Times New Roman"/>
          <w:color w:val="auto"/>
          <w:highlight w:val="none"/>
          <w:lang w:eastAsia="zh-CN"/>
        </w:rPr>
        <w:t>。</w:t>
      </w:r>
    </w:p>
    <w:p w14:paraId="76D07B45">
      <w:pPr>
        <w:pStyle w:val="5"/>
        <w:numPr>
          <w:ilvl w:val="2"/>
          <w:numId w:val="40"/>
        </w:numPr>
        <w:bidi w:val="0"/>
        <w:ind w:left="452" w:leftChars="0" w:firstLine="0" w:firstLineChars="0"/>
        <w:rPr>
          <w:rFonts w:hint="default"/>
          <w:color w:val="auto"/>
          <w:highlight w:val="none"/>
        </w:rPr>
      </w:pPr>
      <w:r>
        <w:rPr>
          <w:rFonts w:hint="eastAsia"/>
          <w:color w:val="auto"/>
          <w:highlight w:val="none"/>
          <w:lang w:eastAsia="zh-CN"/>
        </w:rPr>
        <w:t>运营期</w:t>
      </w:r>
      <w:r>
        <w:rPr>
          <w:rFonts w:hint="default"/>
          <w:color w:val="auto"/>
          <w:highlight w:val="none"/>
        </w:rPr>
        <w:t>环境空气影响预测与评价</w:t>
      </w:r>
    </w:p>
    <w:p w14:paraId="3690BD0F">
      <w:pPr>
        <w:pStyle w:val="410"/>
        <w:rPr>
          <w:rFonts w:hint="default" w:ascii="Times New Roman" w:hAnsi="Times New Roman" w:eastAsia="宋体" w:cs="Times New Roman"/>
          <w:color w:val="auto"/>
          <w:highlight w:val="none"/>
          <w:shd w:val="clear" w:color="auto" w:fill="auto"/>
          <w:lang w:eastAsia="zh-CN"/>
        </w:rPr>
      </w:pPr>
      <w:r>
        <w:rPr>
          <w:rFonts w:hint="eastAsia" w:ascii="Times New Roman" w:hAnsi="Times New Roman" w:eastAsia="宋体" w:cs="Times New Roman"/>
          <w:color w:val="auto"/>
          <w:highlight w:val="none"/>
          <w:shd w:val="clear" w:color="auto" w:fill="auto"/>
          <w:lang w:val="en-US" w:eastAsia="zh-CN"/>
        </w:rPr>
        <w:t>本项目运营期无废气产生，无大气环境影响</w:t>
      </w:r>
      <w:r>
        <w:rPr>
          <w:rFonts w:hint="default" w:ascii="Times New Roman" w:hAnsi="Times New Roman" w:eastAsia="宋体" w:cs="Times New Roman"/>
          <w:color w:val="auto"/>
          <w:highlight w:val="none"/>
          <w:shd w:val="clear" w:color="auto" w:fill="auto"/>
          <w:lang w:eastAsia="zh-CN"/>
        </w:rPr>
        <w:t>。</w:t>
      </w:r>
    </w:p>
    <w:p w14:paraId="5EF7BF3D">
      <w:pPr>
        <w:pStyle w:val="5"/>
        <w:numPr>
          <w:ilvl w:val="2"/>
          <w:numId w:val="40"/>
        </w:numPr>
        <w:bidi w:val="0"/>
        <w:ind w:left="452" w:leftChars="0" w:firstLine="0" w:firstLineChars="0"/>
        <w:rPr>
          <w:rFonts w:hint="default"/>
          <w:color w:val="auto"/>
          <w:highlight w:val="none"/>
        </w:rPr>
      </w:pPr>
      <w:r>
        <w:rPr>
          <w:rFonts w:hint="eastAsia"/>
          <w:color w:val="auto"/>
          <w:highlight w:val="none"/>
          <w:lang w:eastAsia="zh-CN"/>
        </w:rPr>
        <w:t>运营期</w:t>
      </w:r>
      <w:r>
        <w:rPr>
          <w:rFonts w:hint="default"/>
          <w:color w:val="auto"/>
          <w:highlight w:val="none"/>
        </w:rPr>
        <w:t>水环境影响分析</w:t>
      </w:r>
    </w:p>
    <w:p w14:paraId="6708D5A8">
      <w:pPr>
        <w:pStyle w:val="410"/>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运营期</w:t>
      </w:r>
      <w:r>
        <w:rPr>
          <w:rFonts w:hint="default" w:ascii="Times New Roman" w:hAnsi="Times New Roman" w:cs="Times New Roman"/>
          <w:color w:val="auto"/>
          <w:highlight w:val="none"/>
          <w:lang w:eastAsia="zh-CN"/>
        </w:rPr>
        <w:t>雨水管网及水系改造本身无废水、废气、固体废物产生，</w:t>
      </w:r>
      <w:r>
        <w:rPr>
          <w:rFonts w:hint="eastAsia" w:ascii="Times New Roman" w:hAnsi="Times New Roman" w:cs="Times New Roman"/>
          <w:color w:val="auto"/>
          <w:highlight w:val="none"/>
          <w:lang w:eastAsia="zh-CN"/>
        </w:rPr>
        <w:t>运营期</w:t>
      </w:r>
      <w:r>
        <w:rPr>
          <w:rFonts w:hint="default" w:ascii="Times New Roman" w:hAnsi="Times New Roman" w:cs="Times New Roman"/>
          <w:color w:val="auto"/>
          <w:highlight w:val="none"/>
          <w:lang w:eastAsia="zh-CN"/>
        </w:rPr>
        <w:t>主要表现在景观改善和城市生态环境的优化与提高、自然河道变为堤防后对自然生态的影响、河流水文情势的影响和防洪影响，总体上有利于当地生态环境的改善</w:t>
      </w:r>
      <w:r>
        <w:rPr>
          <w:rFonts w:hint="default" w:ascii="Times New Roman" w:hAnsi="Times New Roman" w:cs="Times New Roman"/>
          <w:color w:val="auto"/>
          <w:highlight w:val="none"/>
        </w:rPr>
        <w:t>。</w:t>
      </w:r>
    </w:p>
    <w:p w14:paraId="084867D4">
      <w:pPr>
        <w:pStyle w:val="410"/>
        <w:numPr>
          <w:ilvl w:val="0"/>
          <w:numId w:val="47"/>
        </w:numPr>
        <w:rPr>
          <w:rFonts w:hint="default"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lang w:eastAsia="zh-CN"/>
        </w:rPr>
        <w:t>运营期</w:t>
      </w:r>
      <w:r>
        <w:rPr>
          <w:rFonts w:hint="default" w:ascii="Times New Roman" w:hAnsi="Times New Roman" w:eastAsia="宋体" w:cs="Times New Roman"/>
          <w:b/>
          <w:bCs/>
          <w:color w:val="auto"/>
          <w:highlight w:val="none"/>
        </w:rPr>
        <w:t>污水影响分析</w:t>
      </w:r>
    </w:p>
    <w:p w14:paraId="4633FE93">
      <w:pPr>
        <w:pStyle w:val="410"/>
        <w:rPr>
          <w:rFonts w:hint="default" w:ascii="Times New Roman" w:hAnsi="Times New Roman" w:eastAsia="宋体" w:cs="Times New Roman"/>
          <w:color w:val="auto"/>
          <w:highlight w:val="none"/>
          <w:lang w:eastAsia="zh-CN"/>
        </w:rPr>
      </w:pPr>
      <w:r>
        <w:rPr>
          <w:rFonts w:hint="eastAsia" w:ascii="Times New Roman" w:cs="Times New Roman"/>
          <w:color w:val="auto"/>
          <w:highlight w:val="none"/>
          <w:lang w:eastAsia="zh-CN"/>
        </w:rPr>
        <w:t>本项目运营期无废水产生</w:t>
      </w:r>
      <w:r>
        <w:rPr>
          <w:rFonts w:hint="default" w:ascii="Times New Roman" w:hAnsi="Times New Roman" w:eastAsia="宋体" w:cs="Times New Roman"/>
          <w:color w:val="auto"/>
          <w:highlight w:val="none"/>
          <w:lang w:eastAsia="zh-CN"/>
        </w:rPr>
        <w:t>，</w:t>
      </w:r>
      <w:r>
        <w:rPr>
          <w:rFonts w:hint="eastAsia" w:ascii="Times New Roman" w:cs="Times New Roman"/>
          <w:color w:val="auto"/>
          <w:highlight w:val="none"/>
          <w:lang w:eastAsia="zh-CN"/>
        </w:rPr>
        <w:t>对地表水环境无影响</w:t>
      </w:r>
      <w:r>
        <w:rPr>
          <w:rFonts w:hint="default" w:ascii="Times New Roman" w:hAnsi="Times New Roman" w:cs="Times New Roman"/>
          <w:color w:val="auto"/>
          <w:highlight w:val="none"/>
        </w:rPr>
        <w:t>。</w:t>
      </w:r>
    </w:p>
    <w:p w14:paraId="65FE38A5">
      <w:pPr>
        <w:pStyle w:val="410"/>
        <w:numPr>
          <w:ilvl w:val="0"/>
          <w:numId w:val="47"/>
        </w:numPr>
        <w:rPr>
          <w:rFonts w:hint="default" w:ascii="Times New Roman" w:hAnsi="Times New Roman" w:eastAsia="宋体" w:cs="Times New Roman"/>
          <w:b/>
          <w:bCs/>
          <w:color w:val="auto"/>
          <w:highlight w:val="none"/>
          <w:lang w:eastAsia="zh-CN"/>
        </w:rPr>
      </w:pPr>
      <w:r>
        <w:rPr>
          <w:rFonts w:hint="eastAsia" w:ascii="Times New Roman" w:hAnsi="Times New Roman" w:eastAsia="宋体" w:cs="Times New Roman"/>
          <w:b/>
          <w:bCs/>
          <w:color w:val="auto"/>
          <w:highlight w:val="none"/>
          <w:lang w:eastAsia="zh-CN"/>
        </w:rPr>
        <w:t>运营期</w:t>
      </w:r>
      <w:r>
        <w:rPr>
          <w:rFonts w:hint="default" w:ascii="Times New Roman" w:hAnsi="Times New Roman" w:eastAsia="宋体" w:cs="Times New Roman"/>
          <w:b/>
          <w:bCs/>
          <w:color w:val="auto"/>
          <w:highlight w:val="none"/>
          <w:lang w:eastAsia="zh-CN"/>
        </w:rPr>
        <w:t>对水文情势影响分析</w:t>
      </w:r>
    </w:p>
    <w:p w14:paraId="26F07F7B">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①水面面积、水量及水面宽度</w:t>
      </w:r>
    </w:p>
    <w:p w14:paraId="11B4DFD4">
      <w:pPr>
        <w:pStyle w:val="410"/>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淡水湾江起点连接企山水库溢洪坝，起点至项目水系改造段无支流汇入，</w:t>
      </w:r>
      <w:r>
        <w:rPr>
          <w:rFonts w:hint="default" w:ascii="Times New Roman" w:hAnsi="Times New Roman" w:eastAsia="宋体" w:cs="Times New Roman"/>
          <w:color w:val="auto"/>
          <w:highlight w:val="none"/>
          <w:lang w:val="en-US" w:eastAsia="zh-CN"/>
        </w:rPr>
        <w:t>区域水量受企山水库调度方案影响，项目建设对水量无影响。淡水湾江地势平坦，原水系主要为漫流，渠道建成后，设计标准下的洪水将不再漫滩而全部归于渠道内</w:t>
      </w:r>
      <w:r>
        <w:rPr>
          <w:rFonts w:hint="eastAsia" w:ascii="Times New Roman" w:cs="Times New Roman"/>
          <w:color w:val="auto"/>
          <w:highlight w:val="none"/>
          <w:lang w:val="en-US" w:eastAsia="zh-CN"/>
        </w:rPr>
        <w:t>；淡水湾江水面宽度为30m，建成后渠道水面宽度为13.5m，新</w:t>
      </w:r>
      <w:r>
        <w:rPr>
          <w:rFonts w:hint="default" w:ascii="Times New Roman" w:hAnsi="Times New Roman" w:eastAsia="宋体" w:cs="Times New Roman"/>
          <w:color w:val="auto"/>
          <w:highlight w:val="none"/>
          <w:lang w:val="en-US" w:eastAsia="zh-CN"/>
        </w:rPr>
        <w:t>建渠道较原水系平均水面宽度减少，</w:t>
      </w:r>
      <w:r>
        <w:rPr>
          <w:rFonts w:hint="eastAsia" w:ascii="Times New Roman" w:cs="Times New Roman"/>
          <w:color w:val="auto"/>
          <w:highlight w:val="none"/>
          <w:lang w:val="en-US" w:eastAsia="zh-CN"/>
        </w:rPr>
        <w:t>由于渠道底部标高低于现状水系标高，水位基本不变，对淡水湾江排洪、灌溉功能的发挥影响不大。</w:t>
      </w:r>
    </w:p>
    <w:p w14:paraId="675983DD">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②水温</w:t>
      </w:r>
    </w:p>
    <w:p w14:paraId="50E4F97F">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本项目不产生热性废水，项目</w:t>
      </w:r>
      <w:r>
        <w:rPr>
          <w:rFonts w:hint="eastAsia" w:ascii="Times New Roman" w:hAnsi="Times New Roman" w:eastAsia="宋体" w:cs="Times New Roman"/>
          <w:color w:val="auto"/>
          <w:highlight w:val="none"/>
          <w:lang w:val="en-US" w:eastAsia="zh-CN"/>
        </w:rPr>
        <w:t>运营期</w:t>
      </w:r>
      <w:r>
        <w:rPr>
          <w:rFonts w:hint="default" w:ascii="Times New Roman" w:hAnsi="Times New Roman" w:eastAsia="宋体" w:cs="Times New Roman"/>
          <w:color w:val="auto"/>
          <w:highlight w:val="none"/>
          <w:lang w:val="en-US" w:eastAsia="zh-CN"/>
        </w:rPr>
        <w:t>无废水产生，项目建设不会对区域水温发生变化。</w:t>
      </w:r>
    </w:p>
    <w:p w14:paraId="3ECA2D73">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③流态、流速</w:t>
      </w:r>
    </w:p>
    <w:p w14:paraId="5E0248C3">
      <w:pPr>
        <w:pStyle w:val="410"/>
        <w:rPr>
          <w:rFonts w:hint="default" w:ascii="Times New Roman" w:hAnsi="Times New Roman" w:eastAsia="宋体" w:cs="Times New Roman"/>
          <w:color w:val="auto"/>
          <w:highlight w:val="none"/>
          <w:vertAlign w:val="superscript"/>
          <w:lang w:val="en-US" w:eastAsia="zh-CN"/>
        </w:rPr>
      </w:pPr>
      <w:r>
        <w:rPr>
          <w:rFonts w:hint="eastAsia" w:ascii="Times New Roman" w:cs="Times New Roman"/>
          <w:color w:val="auto"/>
          <w:highlight w:val="none"/>
          <w:lang w:val="en-US" w:eastAsia="zh-CN"/>
        </w:rPr>
        <w:t>淡水湾江主要用于区域行洪和周边农田灌溉，根据区域50年一遇泄洪情况，淡水湾江流速约为0.5m/s，</w:t>
      </w:r>
      <w:r>
        <w:rPr>
          <w:rFonts w:hint="default" w:ascii="Times New Roman" w:hAnsi="Times New Roman" w:eastAsia="宋体" w:cs="Times New Roman"/>
          <w:color w:val="auto"/>
          <w:highlight w:val="none"/>
          <w:lang w:val="en-US" w:eastAsia="zh-CN"/>
        </w:rPr>
        <w:t>项目新建排水渠坡度在0.3%，设计流速为</w:t>
      </w:r>
      <w:r>
        <w:rPr>
          <w:rFonts w:hint="eastAsia" w:ascii="Times New Roman" w:cs="Times New Roman"/>
          <w:color w:val="auto"/>
          <w:highlight w:val="none"/>
          <w:lang w:val="en-US" w:eastAsia="zh-CN"/>
        </w:rPr>
        <w:t>1.35</w:t>
      </w:r>
      <w:r>
        <w:rPr>
          <w:rFonts w:hint="default" w:ascii="Times New Roman" w:hAnsi="Times New Roman" w:eastAsia="宋体" w:cs="Times New Roman"/>
          <w:color w:val="auto"/>
          <w:highlight w:val="none"/>
          <w:lang w:val="en-US" w:eastAsia="zh-CN"/>
        </w:rPr>
        <w:t>m/s，河床底敷设10cmC15混凝土，河床底部设计标高在-1.58~-1.77m，设计常水位在0.5m。项目建设后渠道底部平滑，渠道走向顺直，渠道水流态流速相对稳定。</w:t>
      </w:r>
    </w:p>
    <w:p w14:paraId="3486B8DD">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④冲淤变化</w:t>
      </w:r>
    </w:p>
    <w:p w14:paraId="72FFCC8D">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工程挡土墙顺直布置，与河势流向相适应。因此工程实施后，在枯水季节，雨水顺水系改造段走向，基本不会对原河道产生冲刷；但在丰水期，特别是发生大洪水时，堤防工程能抑制洪水对两岸的冲刷，由于挡土墙抑制了洪水向水系改造段外侧的流向，一定程度上增大了水系的流速，势必加大对河槽和河漫滩的冲刷深度，在经过两到三次大洪水后，河道会产生新的冲淤平衡。</w:t>
      </w:r>
    </w:p>
    <w:p w14:paraId="76AF1055">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⑤泥沙情势</w:t>
      </w:r>
    </w:p>
    <w:p w14:paraId="3A983144">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建成后，河道两岸结构形式发生改变，本项目能够减少河水对两岸的冲刷，因此，本项目建成后，河道泥沙会减少，减少下游冲淤。总体而言，本项目的建设会减少区域河段输沙量，对河道泥沙情势有正效益。</w:t>
      </w:r>
    </w:p>
    <w:p w14:paraId="04AF4142">
      <w:pPr>
        <w:pStyle w:val="410"/>
        <w:numPr>
          <w:ilvl w:val="0"/>
          <w:numId w:val="47"/>
        </w:numPr>
        <w:rPr>
          <w:rFonts w:hint="default" w:ascii="Times New Roman" w:hAnsi="Times New Roman" w:eastAsia="宋体" w:cs="Times New Roman"/>
          <w:b/>
          <w:bCs/>
          <w:color w:val="auto"/>
          <w:highlight w:val="none"/>
          <w:lang w:val="en-US" w:eastAsia="zh-CN"/>
        </w:rPr>
      </w:pPr>
      <w:r>
        <w:rPr>
          <w:rFonts w:hint="eastAsia" w:ascii="Times New Roman" w:cs="Times New Roman"/>
          <w:b/>
          <w:bCs/>
          <w:color w:val="auto"/>
          <w:highlight w:val="none"/>
          <w:lang w:val="en-US" w:eastAsia="zh-CN"/>
        </w:rPr>
        <w:t>营运期对海洋环境影响分析</w:t>
      </w:r>
    </w:p>
    <w:p w14:paraId="0E5A2A8A">
      <w:pPr>
        <w:pStyle w:val="410"/>
        <w:rPr>
          <w:rFonts w:hint="default" w:ascii="Times New Roman" w:hAnsi="Times New Roman" w:eastAsia="宋体" w:cs="Times New Roman"/>
          <w:b w:val="0"/>
          <w:bCs w:val="0"/>
          <w:color w:val="auto"/>
          <w:highlight w:val="none"/>
          <w:lang w:val="en-US" w:eastAsia="zh-CN"/>
        </w:rPr>
      </w:pPr>
      <w:r>
        <w:rPr>
          <w:rFonts w:hint="eastAsia" w:ascii="Times New Roman" w:cs="Times New Roman"/>
          <w:b w:val="0"/>
          <w:bCs w:val="0"/>
          <w:color w:val="auto"/>
          <w:highlight w:val="none"/>
          <w:u w:val="single"/>
          <w:lang w:val="en-US" w:eastAsia="zh-CN"/>
        </w:rPr>
        <w:t>项目不涉及海洋，</w:t>
      </w:r>
      <w:r>
        <w:rPr>
          <w:rFonts w:hint="eastAsia" w:ascii="Times New Roman" w:cs="Times New Roman"/>
          <w:b w:val="0"/>
          <w:bCs w:val="0"/>
          <w:color w:val="auto"/>
          <w:highlight w:val="none"/>
          <w:lang w:val="en-US" w:eastAsia="zh-CN"/>
        </w:rPr>
        <w:t>营运期无废水产生，对海洋环境无影响。</w:t>
      </w:r>
    </w:p>
    <w:p w14:paraId="0847BB0D">
      <w:pPr>
        <w:pStyle w:val="5"/>
        <w:numPr>
          <w:ilvl w:val="2"/>
          <w:numId w:val="40"/>
        </w:numPr>
        <w:bidi w:val="0"/>
        <w:ind w:left="452" w:leftChars="0" w:firstLine="0" w:firstLineChars="0"/>
        <w:rPr>
          <w:rFonts w:hint="default"/>
          <w:color w:val="auto"/>
          <w:highlight w:val="none"/>
        </w:rPr>
      </w:pPr>
      <w:r>
        <w:rPr>
          <w:rFonts w:hint="default"/>
          <w:color w:val="auto"/>
          <w:highlight w:val="none"/>
          <w:lang w:eastAsia="zh-CN"/>
        </w:rPr>
        <w:t>地下水环境影响预测与评价</w:t>
      </w:r>
    </w:p>
    <w:p w14:paraId="3FBA68D2">
      <w:pPr>
        <w:pStyle w:val="684"/>
        <w:ind w:firstLine="442"/>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本工程建设后，大部分渠道形成混凝土硬化地面，使下垫面的性质发生了改变，降雨入渗补给地下水的方式受到一定的阻碍，但工程采用的混凝土底面仍具有一定渗透系数，工程的运营不会造成地下水补给来源的断绝，从区域整体角度考虑，工程运营期对地下水的水位影响不大。</w:t>
      </w:r>
    </w:p>
    <w:p w14:paraId="0588EBA0">
      <w:pPr>
        <w:pStyle w:val="684"/>
        <w:ind w:firstLine="442"/>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lang w:val="en-US" w:eastAsia="zh-CN"/>
        </w:rPr>
        <w:t>工程运营期间无新增生活污水排放，对地下水的水质影响不大。</w:t>
      </w:r>
    </w:p>
    <w:p w14:paraId="3D80DC38">
      <w:pPr>
        <w:pStyle w:val="5"/>
        <w:numPr>
          <w:ilvl w:val="2"/>
          <w:numId w:val="40"/>
        </w:numPr>
        <w:bidi w:val="0"/>
        <w:ind w:left="452" w:leftChars="0" w:firstLine="0" w:firstLineChars="0"/>
        <w:rPr>
          <w:rFonts w:hint="default"/>
          <w:color w:val="auto"/>
          <w:highlight w:val="none"/>
        </w:rPr>
      </w:pPr>
      <w:r>
        <w:rPr>
          <w:rFonts w:hint="eastAsia"/>
          <w:color w:val="auto"/>
          <w:highlight w:val="none"/>
          <w:lang w:eastAsia="zh-CN"/>
        </w:rPr>
        <w:t>运营期</w:t>
      </w:r>
      <w:r>
        <w:rPr>
          <w:rFonts w:hint="default"/>
          <w:color w:val="auto"/>
          <w:highlight w:val="none"/>
        </w:rPr>
        <w:t>声环境影响预测评价</w:t>
      </w:r>
    </w:p>
    <w:p w14:paraId="138F01A1">
      <w:pPr>
        <w:pStyle w:val="684"/>
        <w:ind w:firstLine="442"/>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本项目不设置泵站，</w:t>
      </w:r>
      <w:r>
        <w:rPr>
          <w:rFonts w:hint="default" w:ascii="Times New Roman" w:hAnsi="Times New Roman" w:cs="Times New Roman"/>
          <w:color w:val="auto"/>
          <w:highlight w:val="none"/>
          <w:lang w:val="en-US" w:eastAsia="zh-CN"/>
        </w:rPr>
        <w:t>无设备噪声</w:t>
      </w:r>
      <w:r>
        <w:rPr>
          <w:rFonts w:hint="default" w:ascii="Times New Roman" w:hAnsi="Times New Roman" w:cs="Times New Roman"/>
          <w:color w:val="auto"/>
          <w:highlight w:val="none"/>
          <w:lang w:eastAsia="zh-CN"/>
        </w:rPr>
        <w:t>。</w:t>
      </w:r>
    </w:p>
    <w:p w14:paraId="324B9C52">
      <w:pPr>
        <w:pStyle w:val="5"/>
        <w:numPr>
          <w:ilvl w:val="2"/>
          <w:numId w:val="40"/>
        </w:numPr>
        <w:bidi w:val="0"/>
        <w:ind w:left="452" w:leftChars="0" w:firstLine="0" w:firstLineChars="0"/>
        <w:rPr>
          <w:rFonts w:hint="default"/>
          <w:color w:val="auto"/>
          <w:highlight w:val="none"/>
        </w:rPr>
      </w:pPr>
      <w:r>
        <w:rPr>
          <w:rFonts w:hint="eastAsia"/>
          <w:color w:val="auto"/>
          <w:highlight w:val="none"/>
          <w:lang w:eastAsia="zh-CN"/>
        </w:rPr>
        <w:t>运营期</w:t>
      </w:r>
      <w:r>
        <w:rPr>
          <w:rFonts w:hint="default"/>
          <w:color w:val="auto"/>
          <w:highlight w:val="none"/>
        </w:rPr>
        <w:t>固体废物环境影响分析</w:t>
      </w:r>
    </w:p>
    <w:p w14:paraId="685AAAC4">
      <w:pPr>
        <w:pStyle w:val="684"/>
        <w:ind w:firstLine="442"/>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本项目无工作人员，不产生固体废物，项目</w:t>
      </w:r>
      <w:r>
        <w:rPr>
          <w:rFonts w:hint="eastAsia" w:ascii="Times New Roman" w:hAnsi="Times New Roman" w:cs="Times New Roman"/>
          <w:color w:val="auto"/>
          <w:highlight w:val="none"/>
          <w:lang w:eastAsia="zh-CN"/>
        </w:rPr>
        <w:t>运营期</w:t>
      </w:r>
      <w:r>
        <w:rPr>
          <w:rFonts w:hint="default" w:ascii="Times New Roman" w:hAnsi="Times New Roman" w:cs="Times New Roman"/>
          <w:color w:val="auto"/>
          <w:highlight w:val="none"/>
          <w:lang w:eastAsia="zh-CN"/>
        </w:rPr>
        <w:t>固体废物对环境影响不大。</w:t>
      </w:r>
    </w:p>
    <w:p w14:paraId="4ADEFADD">
      <w:pPr>
        <w:pStyle w:val="4"/>
        <w:numPr>
          <w:ilvl w:val="1"/>
          <w:numId w:val="40"/>
        </w:numPr>
        <w:bidi w:val="0"/>
        <w:ind w:left="678" w:leftChars="0" w:firstLine="0" w:firstLineChars="0"/>
        <w:rPr>
          <w:rFonts w:hint="default"/>
          <w:color w:val="auto"/>
          <w:highlight w:val="none"/>
        </w:rPr>
      </w:pPr>
      <w:bookmarkStart w:id="119" w:name="_Toc25332"/>
      <w:bookmarkStart w:id="120" w:name="_Ref138671744"/>
      <w:r>
        <w:rPr>
          <w:rFonts w:hint="default"/>
          <w:color w:val="auto"/>
          <w:highlight w:val="none"/>
        </w:rPr>
        <w:t>环境风险评价</w:t>
      </w:r>
      <w:bookmarkEnd w:id="119"/>
      <w:bookmarkEnd w:id="120"/>
    </w:p>
    <w:p w14:paraId="2451ADC0">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环境风险评价的目的是分析建设项目存在的潜在危险、有害因素，预测因项目建设和</w:t>
      </w:r>
      <w:r>
        <w:rPr>
          <w:rFonts w:hint="default" w:ascii="Times New Roman" w:hAnsi="Times New Roman" w:cs="Times New Roman"/>
          <w:color w:val="auto"/>
          <w:highlight w:val="none"/>
          <w:lang w:eastAsia="zh-CN"/>
        </w:rPr>
        <w:t>运营</w:t>
      </w:r>
      <w:r>
        <w:rPr>
          <w:rFonts w:hint="default" w:ascii="Times New Roman" w:hAnsi="Times New Roman" w:cs="Times New Roman"/>
          <w:color w:val="auto"/>
          <w:highlight w:val="none"/>
        </w:rPr>
        <w:t>期间可能发生的突发性事件或事故（一般不包括人为破坏及自然灾害），从而引起的有毒有害和易燃易爆等物质泄漏</w:t>
      </w:r>
      <w:r>
        <w:rPr>
          <w:rFonts w:hint="default" w:ascii="Times New Roman" w:hAnsi="Times New Roman" w:cs="Times New Roman"/>
          <w:color w:val="auto"/>
          <w:highlight w:val="none"/>
          <w:lang w:eastAsia="zh-CN"/>
        </w:rPr>
        <w:t>的数</w:t>
      </w:r>
      <w:r>
        <w:rPr>
          <w:rFonts w:hint="default" w:ascii="Times New Roman" w:hAnsi="Times New Roman" w:cs="Times New Roman"/>
          <w:color w:val="auto"/>
          <w:highlight w:val="none"/>
        </w:rPr>
        <w:t>量以及造成的人身安全与环境影响和损害程度；根据预测结果提出合理可行的防范、应急与减缓措施，使建设项目事故率、损失和环境影响达到可接受水平。</w:t>
      </w:r>
    </w:p>
    <w:p w14:paraId="6A046CCD">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环境风险评价应把事故引起厂（场）界外人群的伤害、环境质量的恶化及对生态系统影响的预测和防护作为评价工作重点。</w:t>
      </w:r>
    </w:p>
    <w:p w14:paraId="018C385D">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本报告以《建设项目环境风险评价技术导则》（HJ169-2018）的相关要求为依据，针对项目生产特点，物料性质以及可能发生的潜在事故进行风险分析与评价，并提出防范措施、应急预案和减缓措施，以使危险废物安全处置，使环境风险降低到最低程度。</w:t>
      </w:r>
    </w:p>
    <w:p w14:paraId="086CD70F">
      <w:pPr>
        <w:pStyle w:val="5"/>
        <w:numPr>
          <w:ilvl w:val="2"/>
          <w:numId w:val="40"/>
        </w:numPr>
        <w:bidi w:val="0"/>
        <w:ind w:left="452" w:leftChars="0" w:firstLine="0" w:firstLineChars="0"/>
        <w:rPr>
          <w:rFonts w:hint="default"/>
          <w:color w:val="auto"/>
          <w:highlight w:val="none"/>
        </w:rPr>
      </w:pPr>
      <w:r>
        <w:rPr>
          <w:rFonts w:hint="default"/>
          <w:color w:val="auto"/>
          <w:highlight w:val="none"/>
          <w:lang w:val="en-US" w:eastAsia="zh-CN"/>
        </w:rPr>
        <w:t>风险调查</w:t>
      </w:r>
    </w:p>
    <w:p w14:paraId="2B7E1652">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w:t>
      </w:r>
      <w:r>
        <w:rPr>
          <w:rFonts w:hint="eastAsia" w:ascii="Times New Roman" w:cs="Times New Roman"/>
          <w:color w:val="auto"/>
          <w:highlight w:val="none"/>
          <w:lang w:eastAsia="zh-CN"/>
        </w:rPr>
        <w:t>位于锦绣大道衔接钦州港路出入口设置车辆冲洗平台和</w:t>
      </w:r>
      <w:r>
        <w:rPr>
          <w:rFonts w:hint="default" w:ascii="Times New Roman" w:hAnsi="Times New Roman" w:eastAsia="宋体" w:cs="Times New Roman"/>
          <w:color w:val="auto"/>
          <w:highlight w:val="none"/>
        </w:rPr>
        <w:t>施工机械设备停放场，机械设备检修到附近修配厂进行，不产生废机油和废弃含油抹布；考虑本项目所有施工车辆、机械同时施工，同时油箱满载的情况，作业机械（汽车、推土机、钩机等）汽油、柴油施工现场最大使用量约15t；此外，隔油沉淀池产生的污油，隔油池产生的污油约</w:t>
      </w:r>
      <w:r>
        <w:rPr>
          <w:rFonts w:hint="default" w:ascii="Times New Roman" w:hAnsi="Times New Roman" w:eastAsia="宋体" w:cs="Times New Roman"/>
          <w:color w:val="auto"/>
          <w:highlight w:val="none"/>
          <w:lang w:val="en-US" w:eastAsia="zh-CN"/>
        </w:rPr>
        <w:t>0.0021</w:t>
      </w:r>
      <w:r>
        <w:rPr>
          <w:rFonts w:hint="default" w:ascii="Times New Roman" w:hAnsi="Times New Roman" w:eastAsia="宋体" w:cs="Times New Roman"/>
          <w:color w:val="auto"/>
          <w:highlight w:val="none"/>
        </w:rPr>
        <w:t>/a，隔油池污油定期委托有资质的单位进行清掏、清运处置，不在场内设置危废暂存间暂存。</w:t>
      </w:r>
    </w:p>
    <w:p w14:paraId="2E766D18">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运行期</w:t>
      </w:r>
      <w:r>
        <w:rPr>
          <w:rFonts w:hint="default" w:ascii="Times New Roman" w:hAnsi="Times New Roman" w:eastAsia="宋体" w:cs="Times New Roman"/>
          <w:color w:val="auto"/>
          <w:highlight w:val="none"/>
          <w:lang w:val="en-US" w:eastAsia="zh-CN"/>
        </w:rPr>
        <w:t>项目不产生危废固体废物</w:t>
      </w:r>
      <w:r>
        <w:rPr>
          <w:rFonts w:hint="default" w:ascii="Times New Roman" w:hAnsi="Times New Roman" w:eastAsia="宋体" w:cs="Times New Roman"/>
          <w:color w:val="auto"/>
          <w:highlight w:val="none"/>
        </w:rPr>
        <w:t>。</w:t>
      </w:r>
    </w:p>
    <w:p w14:paraId="14544BD1">
      <w:pPr>
        <w:pStyle w:val="5"/>
        <w:numPr>
          <w:ilvl w:val="2"/>
          <w:numId w:val="40"/>
        </w:numPr>
        <w:bidi w:val="0"/>
        <w:ind w:left="452" w:leftChars="0" w:firstLine="0" w:firstLineChars="0"/>
        <w:rPr>
          <w:rFonts w:hint="default"/>
          <w:color w:val="auto"/>
          <w:highlight w:val="none"/>
        </w:rPr>
      </w:pPr>
      <w:r>
        <w:rPr>
          <w:rFonts w:hint="default"/>
          <w:color w:val="auto"/>
          <w:highlight w:val="none"/>
          <w:lang w:val="en-US" w:eastAsia="zh-CN"/>
        </w:rPr>
        <w:t>环境风险</w:t>
      </w:r>
      <w:r>
        <w:rPr>
          <w:rFonts w:hint="default"/>
          <w:color w:val="auto"/>
          <w:highlight w:val="none"/>
        </w:rPr>
        <w:t>潜势划分</w:t>
      </w:r>
    </w:p>
    <w:p w14:paraId="1D705EF6">
      <w:pPr>
        <w:pStyle w:val="410"/>
        <w:rPr>
          <w:rFonts w:hint="default" w:ascii="Times New Roman" w:hAnsi="Times New Roman" w:cs="Times New Roman"/>
          <w:color w:val="auto"/>
          <w:highlight w:val="none"/>
          <w:u w:val="single"/>
        </w:rPr>
      </w:pPr>
      <w:r>
        <w:rPr>
          <w:rFonts w:hint="default" w:ascii="Times New Roman" w:hAnsi="Times New Roman" w:eastAsia="宋体" w:cs="Times New Roman"/>
          <w:color w:val="auto"/>
          <w:spacing w:val="-2"/>
          <w:sz w:val="24"/>
          <w:szCs w:val="24"/>
          <w:highlight w:val="none"/>
        </w:rPr>
        <w:t>根据《建设项目环境风险评价技术导则》（</w:t>
      </w:r>
      <w:r>
        <w:rPr>
          <w:rFonts w:hint="default" w:ascii="Times New Roman" w:hAnsi="Times New Roman" w:eastAsia="Times New Roman" w:cs="Times New Roman"/>
          <w:color w:val="auto"/>
          <w:spacing w:val="-2"/>
          <w:sz w:val="24"/>
          <w:szCs w:val="24"/>
          <w:highlight w:val="none"/>
        </w:rPr>
        <w:t>HJ169-2018</w:t>
      </w:r>
      <w:r>
        <w:rPr>
          <w:rFonts w:hint="default" w:ascii="Times New Roman" w:hAnsi="Times New Roman" w:eastAsia="宋体" w:cs="Times New Roman"/>
          <w:color w:val="auto"/>
          <w:spacing w:val="-1"/>
          <w:sz w:val="24"/>
          <w:szCs w:val="24"/>
          <w:highlight w:val="none"/>
        </w:rPr>
        <w:t>），</w:t>
      </w:r>
      <w:r>
        <w:rPr>
          <w:rFonts w:hint="default" w:ascii="Times New Roman" w:hAnsi="Times New Roman" w:eastAsia="宋体" w:cs="Times New Roman"/>
          <w:color w:val="auto"/>
          <w:spacing w:val="-2"/>
          <w:sz w:val="24"/>
          <w:szCs w:val="24"/>
          <w:highlight w:val="none"/>
        </w:rPr>
        <w:t>建设项目环境风险潜势划分为Ⅰ、Ⅱ、Ⅲ、Ⅳ、Ⅳ</w:t>
      </w:r>
      <w:r>
        <w:rPr>
          <w:rFonts w:hint="default" w:ascii="Times New Roman" w:hAnsi="Times New Roman" w:eastAsia="Times New Roman" w:cs="Times New Roman"/>
          <w:color w:val="auto"/>
          <w:spacing w:val="-2"/>
          <w:sz w:val="24"/>
          <w:szCs w:val="24"/>
          <w:highlight w:val="none"/>
        </w:rPr>
        <w:t>+</w:t>
      </w:r>
      <w:r>
        <w:rPr>
          <w:rFonts w:hint="default" w:ascii="Times New Roman" w:hAnsi="Times New Roman" w:eastAsia="宋体" w:cs="Times New Roman"/>
          <w:color w:val="auto"/>
          <w:spacing w:val="-2"/>
          <w:sz w:val="24"/>
          <w:szCs w:val="24"/>
          <w:highlight w:val="none"/>
        </w:rPr>
        <w:t>级，根据建设项目涉及的物质和工艺系统的危险性及其所在地的环境敏感程度，结合事故情形下环境影响途径，对建设项目潜在环境危害程</w:t>
      </w:r>
      <w:r>
        <w:rPr>
          <w:rFonts w:hint="default" w:ascii="Times New Roman" w:hAnsi="Times New Roman" w:eastAsia="宋体" w:cs="Times New Roman"/>
          <w:color w:val="auto"/>
          <w:spacing w:val="-3"/>
          <w:sz w:val="24"/>
          <w:szCs w:val="24"/>
          <w:highlight w:val="none"/>
        </w:rPr>
        <w:t>度进行细化分析，按照表</w:t>
      </w:r>
      <w:r>
        <w:rPr>
          <w:rFonts w:hint="default" w:ascii="Times New Roman" w:hAnsi="Times New Roman" w:eastAsia="Times New Roman" w:cs="Times New Roman"/>
          <w:color w:val="auto"/>
          <w:spacing w:val="-3"/>
          <w:sz w:val="24"/>
          <w:szCs w:val="24"/>
          <w:highlight w:val="none"/>
        </w:rPr>
        <w:t>4.3-1</w:t>
      </w:r>
      <w:r>
        <w:rPr>
          <w:rFonts w:hint="default" w:ascii="Times New Roman" w:hAnsi="Times New Roman" w:eastAsia="宋体" w:cs="Times New Roman"/>
          <w:color w:val="auto"/>
          <w:spacing w:val="-3"/>
          <w:sz w:val="24"/>
          <w:szCs w:val="24"/>
          <w:highlight w:val="none"/>
        </w:rPr>
        <w:t>确定环境风险潜势。</w:t>
      </w:r>
    </w:p>
    <w:p w14:paraId="05A71A05">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r>
        <w:rPr>
          <w:rFonts w:hint="default"/>
          <w:color w:val="auto"/>
          <w:highlight w:val="none"/>
        </w:rPr>
        <w:t>建设项目环境风险潜势划分表</w:t>
      </w:r>
    </w:p>
    <w:tbl>
      <w:tblPr>
        <w:tblStyle w:val="1679"/>
        <w:tblW w:w="0" w:type="auto"/>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2342"/>
        <w:gridCol w:w="1580"/>
        <w:gridCol w:w="1580"/>
        <w:gridCol w:w="1581"/>
        <w:gridCol w:w="1557"/>
      </w:tblGrid>
      <w:tr w14:paraId="79621A50">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2342" w:type="dxa"/>
            <w:vMerge w:val="restart"/>
            <w:tcBorders>
              <w:bottom w:val="nil"/>
            </w:tcBorders>
            <w:noWrap w:val="0"/>
            <w:vAlign w:val="top"/>
          </w:tcPr>
          <w:p w14:paraId="3CB6EAA2">
            <w:pPr>
              <w:pStyle w:val="1647"/>
              <w:spacing w:before="284" w:line="234" w:lineRule="auto"/>
              <w:ind w:left="474"/>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环境敏感程度（</w:t>
            </w:r>
            <w:r>
              <w:rPr>
                <w:rFonts w:hint="default" w:ascii="Times New Roman" w:hAnsi="Times New Roman" w:eastAsia="Times New Roman" w:cs="Times New Roman"/>
                <w:color w:val="auto"/>
                <w:spacing w:val="-1"/>
                <w:highlight w:val="none"/>
              </w:rPr>
              <w:t>e</w:t>
            </w:r>
            <w:r>
              <w:rPr>
                <w:rFonts w:hint="default" w:ascii="Times New Roman" w:hAnsi="Times New Roman" w:cs="Times New Roman"/>
                <w:color w:val="auto"/>
                <w:spacing w:val="-1"/>
                <w:highlight w:val="none"/>
              </w:rPr>
              <w:t>）</w:t>
            </w:r>
          </w:p>
        </w:tc>
        <w:tc>
          <w:tcPr>
            <w:tcW w:w="6298" w:type="dxa"/>
            <w:gridSpan w:val="4"/>
            <w:noWrap w:val="0"/>
            <w:vAlign w:val="top"/>
          </w:tcPr>
          <w:p w14:paraId="4349B808">
            <w:pPr>
              <w:pStyle w:val="1647"/>
              <w:spacing w:before="84" w:line="221" w:lineRule="auto"/>
              <w:ind w:left="2111"/>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危险物质及工艺系统危险性（</w:t>
            </w:r>
            <w:r>
              <w:rPr>
                <w:rFonts w:hint="default" w:ascii="Times New Roman" w:hAnsi="Times New Roman" w:eastAsia="Times New Roman" w:cs="Times New Roman"/>
                <w:color w:val="auto"/>
                <w:spacing w:val="-1"/>
                <w:highlight w:val="none"/>
              </w:rPr>
              <w:t>P</w:t>
            </w:r>
            <w:r>
              <w:rPr>
                <w:rFonts w:hint="default" w:ascii="Times New Roman" w:hAnsi="Times New Roman" w:cs="Times New Roman"/>
                <w:color w:val="auto"/>
                <w:spacing w:val="-1"/>
                <w:highlight w:val="none"/>
              </w:rPr>
              <w:t>）</w:t>
            </w:r>
          </w:p>
        </w:tc>
      </w:tr>
      <w:tr w14:paraId="0A75CA82">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2342" w:type="dxa"/>
            <w:vMerge w:val="continue"/>
            <w:tcBorders>
              <w:top w:val="nil"/>
            </w:tcBorders>
            <w:noWrap w:val="0"/>
            <w:vAlign w:val="top"/>
          </w:tcPr>
          <w:p w14:paraId="7FF3A3B6">
            <w:pPr>
              <w:rPr>
                <w:rFonts w:hint="default" w:ascii="Times New Roman" w:hAnsi="Times New Roman" w:cs="Times New Roman"/>
                <w:color w:val="auto"/>
                <w:sz w:val="21"/>
                <w:szCs w:val="22"/>
                <w:highlight w:val="none"/>
              </w:rPr>
            </w:pPr>
          </w:p>
        </w:tc>
        <w:tc>
          <w:tcPr>
            <w:tcW w:w="1580" w:type="dxa"/>
            <w:noWrap w:val="0"/>
            <w:vAlign w:val="top"/>
          </w:tcPr>
          <w:p w14:paraId="71C6D81A">
            <w:pPr>
              <w:pStyle w:val="1647"/>
              <w:spacing w:before="85" w:line="221" w:lineRule="auto"/>
              <w:ind w:left="178"/>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极高危害（</w:t>
            </w:r>
            <w:r>
              <w:rPr>
                <w:rFonts w:hint="default" w:ascii="Times New Roman" w:hAnsi="Times New Roman" w:eastAsia="Times New Roman" w:cs="Times New Roman"/>
                <w:color w:val="auto"/>
                <w:spacing w:val="-2"/>
                <w:highlight w:val="none"/>
              </w:rPr>
              <w:t>P1</w:t>
            </w:r>
            <w:r>
              <w:rPr>
                <w:rFonts w:hint="default" w:ascii="Times New Roman" w:hAnsi="Times New Roman" w:cs="Times New Roman"/>
                <w:color w:val="auto"/>
                <w:spacing w:val="-2"/>
                <w:highlight w:val="none"/>
              </w:rPr>
              <w:t>）</w:t>
            </w:r>
          </w:p>
        </w:tc>
        <w:tc>
          <w:tcPr>
            <w:tcW w:w="1580" w:type="dxa"/>
            <w:noWrap w:val="0"/>
            <w:vAlign w:val="top"/>
          </w:tcPr>
          <w:p w14:paraId="1E806F80">
            <w:pPr>
              <w:pStyle w:val="1647"/>
              <w:spacing w:before="85" w:line="221" w:lineRule="auto"/>
              <w:ind w:left="182"/>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高度危害（</w:t>
            </w:r>
            <w:r>
              <w:rPr>
                <w:rFonts w:hint="default" w:ascii="Times New Roman" w:hAnsi="Times New Roman" w:eastAsia="Times New Roman" w:cs="Times New Roman"/>
                <w:color w:val="auto"/>
                <w:spacing w:val="-2"/>
                <w:highlight w:val="none"/>
              </w:rPr>
              <w:t>P2</w:t>
            </w:r>
            <w:r>
              <w:rPr>
                <w:rFonts w:hint="default" w:ascii="Times New Roman" w:hAnsi="Times New Roman" w:cs="Times New Roman"/>
                <w:color w:val="auto"/>
                <w:spacing w:val="-2"/>
                <w:highlight w:val="none"/>
              </w:rPr>
              <w:t>）</w:t>
            </w:r>
          </w:p>
        </w:tc>
        <w:tc>
          <w:tcPr>
            <w:tcW w:w="1581" w:type="dxa"/>
            <w:noWrap w:val="0"/>
            <w:vAlign w:val="top"/>
          </w:tcPr>
          <w:p w14:paraId="610FFBC7">
            <w:pPr>
              <w:pStyle w:val="1647"/>
              <w:spacing w:before="85" w:line="221" w:lineRule="auto"/>
              <w:ind w:left="196"/>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中毒危害（</w:t>
            </w:r>
            <w:r>
              <w:rPr>
                <w:rFonts w:hint="default" w:ascii="Times New Roman" w:hAnsi="Times New Roman" w:eastAsia="Times New Roman" w:cs="Times New Roman"/>
                <w:color w:val="auto"/>
                <w:spacing w:val="-4"/>
                <w:highlight w:val="none"/>
              </w:rPr>
              <w:t>P3</w:t>
            </w:r>
            <w:r>
              <w:rPr>
                <w:rFonts w:hint="default" w:ascii="Times New Roman" w:hAnsi="Times New Roman" w:cs="Times New Roman"/>
                <w:color w:val="auto"/>
                <w:spacing w:val="-4"/>
                <w:highlight w:val="none"/>
              </w:rPr>
              <w:t>）</w:t>
            </w:r>
          </w:p>
        </w:tc>
        <w:tc>
          <w:tcPr>
            <w:tcW w:w="1557" w:type="dxa"/>
            <w:noWrap w:val="0"/>
            <w:vAlign w:val="top"/>
          </w:tcPr>
          <w:p w14:paraId="51F8912F">
            <w:pPr>
              <w:pStyle w:val="1647"/>
              <w:spacing w:before="85" w:line="221" w:lineRule="auto"/>
              <w:ind w:left="162"/>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轻度危害（</w:t>
            </w:r>
            <w:r>
              <w:rPr>
                <w:rFonts w:hint="default" w:ascii="Times New Roman" w:hAnsi="Times New Roman" w:eastAsia="Times New Roman" w:cs="Times New Roman"/>
                <w:color w:val="auto"/>
                <w:spacing w:val="-1"/>
                <w:highlight w:val="none"/>
              </w:rPr>
              <w:t>P4</w:t>
            </w:r>
            <w:r>
              <w:rPr>
                <w:rFonts w:hint="default" w:ascii="Times New Roman" w:hAnsi="Times New Roman" w:cs="Times New Roman"/>
                <w:color w:val="auto"/>
                <w:spacing w:val="-1"/>
                <w:highlight w:val="none"/>
              </w:rPr>
              <w:t>）</w:t>
            </w:r>
          </w:p>
        </w:tc>
      </w:tr>
      <w:tr w14:paraId="529BD751">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342" w:type="dxa"/>
            <w:noWrap w:val="0"/>
            <w:vAlign w:val="top"/>
          </w:tcPr>
          <w:p w14:paraId="1B7B900F">
            <w:pPr>
              <w:pStyle w:val="1647"/>
              <w:spacing w:before="89" w:line="234" w:lineRule="auto"/>
              <w:ind w:left="318"/>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环境高度敏感区（</w:t>
            </w:r>
            <w:r>
              <w:rPr>
                <w:rFonts w:hint="default" w:ascii="Times New Roman" w:hAnsi="Times New Roman" w:eastAsia="Times New Roman" w:cs="Times New Roman"/>
                <w:color w:val="auto"/>
                <w:spacing w:val="-1"/>
                <w:highlight w:val="none"/>
              </w:rPr>
              <w:t>e1</w:t>
            </w:r>
            <w:r>
              <w:rPr>
                <w:rFonts w:hint="default" w:ascii="Times New Roman" w:hAnsi="Times New Roman" w:cs="Times New Roman"/>
                <w:color w:val="auto"/>
                <w:spacing w:val="-1"/>
                <w:highlight w:val="none"/>
              </w:rPr>
              <w:t>）</w:t>
            </w:r>
          </w:p>
        </w:tc>
        <w:tc>
          <w:tcPr>
            <w:tcW w:w="1580" w:type="dxa"/>
            <w:noWrap w:val="0"/>
            <w:vAlign w:val="top"/>
          </w:tcPr>
          <w:p w14:paraId="7FE64311">
            <w:pPr>
              <w:pStyle w:val="1647"/>
              <w:spacing w:before="88" w:line="285" w:lineRule="exact"/>
              <w:ind w:left="760"/>
              <w:rPr>
                <w:rFonts w:hint="default" w:ascii="Times New Roman" w:hAnsi="Times New Roman" w:eastAsia="Times New Roman" w:cs="Times New Roman"/>
                <w:color w:val="auto"/>
                <w:highlight w:val="none"/>
              </w:rPr>
            </w:pPr>
            <w:r>
              <w:rPr>
                <w:rFonts w:hint="default" w:ascii="Times New Roman" w:hAnsi="Times New Roman" w:cs="Times New Roman"/>
                <w:color w:val="auto"/>
                <w:spacing w:val="-8"/>
                <w:position w:val="1"/>
                <w:highlight w:val="none"/>
              </w:rPr>
              <w:t>Ⅳ</w:t>
            </w:r>
            <w:r>
              <w:rPr>
                <w:rFonts w:hint="default" w:ascii="Times New Roman" w:hAnsi="Times New Roman" w:eastAsia="Times New Roman" w:cs="Times New Roman"/>
                <w:color w:val="auto"/>
                <w:spacing w:val="-8"/>
                <w:position w:val="1"/>
                <w:highlight w:val="none"/>
              </w:rPr>
              <w:t>+</w:t>
            </w:r>
          </w:p>
        </w:tc>
        <w:tc>
          <w:tcPr>
            <w:tcW w:w="1580" w:type="dxa"/>
            <w:noWrap w:val="0"/>
            <w:vAlign w:val="top"/>
          </w:tcPr>
          <w:p w14:paraId="5DBFD3BC">
            <w:pPr>
              <w:pStyle w:val="1647"/>
              <w:spacing w:before="89" w:line="236" w:lineRule="auto"/>
              <w:ind w:left="821"/>
              <w:rPr>
                <w:rFonts w:hint="default" w:ascii="Times New Roman" w:hAnsi="Times New Roman" w:cs="Times New Roman"/>
                <w:color w:val="auto"/>
                <w:highlight w:val="none"/>
              </w:rPr>
            </w:pPr>
            <w:r>
              <w:rPr>
                <w:rFonts w:hint="default" w:ascii="Times New Roman" w:hAnsi="Times New Roman" w:cs="Times New Roman"/>
                <w:color w:val="auto"/>
                <w:highlight w:val="none"/>
              </w:rPr>
              <w:t>Ⅳ</w:t>
            </w:r>
          </w:p>
        </w:tc>
        <w:tc>
          <w:tcPr>
            <w:tcW w:w="1581" w:type="dxa"/>
            <w:noWrap w:val="0"/>
            <w:vAlign w:val="top"/>
          </w:tcPr>
          <w:p w14:paraId="131215C1">
            <w:pPr>
              <w:pStyle w:val="1647"/>
              <w:spacing w:before="89" w:line="236" w:lineRule="auto"/>
              <w:ind w:left="812"/>
              <w:rPr>
                <w:rFonts w:hint="default" w:ascii="Times New Roman" w:hAnsi="Times New Roman" w:cs="Times New Roman"/>
                <w:color w:val="auto"/>
                <w:highlight w:val="none"/>
              </w:rPr>
            </w:pPr>
            <w:r>
              <w:rPr>
                <w:rFonts w:hint="default" w:ascii="Times New Roman" w:hAnsi="Times New Roman" w:cs="Times New Roman"/>
                <w:color w:val="auto"/>
                <w:highlight w:val="none"/>
              </w:rPr>
              <w:t>Ⅲ</w:t>
            </w:r>
          </w:p>
        </w:tc>
        <w:tc>
          <w:tcPr>
            <w:tcW w:w="1557" w:type="dxa"/>
            <w:noWrap w:val="0"/>
            <w:vAlign w:val="top"/>
          </w:tcPr>
          <w:p w14:paraId="1D5D68BA">
            <w:pPr>
              <w:pStyle w:val="1647"/>
              <w:spacing w:before="89" w:line="236" w:lineRule="auto"/>
              <w:ind w:left="795"/>
              <w:rPr>
                <w:rFonts w:hint="default" w:ascii="Times New Roman" w:hAnsi="Times New Roman" w:cs="Times New Roman"/>
                <w:color w:val="auto"/>
                <w:highlight w:val="none"/>
              </w:rPr>
            </w:pPr>
            <w:r>
              <w:rPr>
                <w:rFonts w:hint="default" w:ascii="Times New Roman" w:hAnsi="Times New Roman" w:cs="Times New Roman"/>
                <w:color w:val="auto"/>
                <w:highlight w:val="none"/>
              </w:rPr>
              <w:t>Ⅲ</w:t>
            </w:r>
          </w:p>
        </w:tc>
      </w:tr>
      <w:tr w14:paraId="53C0A94F">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342" w:type="dxa"/>
            <w:noWrap w:val="0"/>
            <w:vAlign w:val="top"/>
          </w:tcPr>
          <w:p w14:paraId="2ABCEA54">
            <w:pPr>
              <w:pStyle w:val="1647"/>
              <w:spacing w:before="91" w:line="234" w:lineRule="auto"/>
              <w:ind w:left="318"/>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环境高度敏感区（</w:t>
            </w:r>
            <w:r>
              <w:rPr>
                <w:rFonts w:hint="default" w:ascii="Times New Roman" w:hAnsi="Times New Roman" w:eastAsia="Times New Roman" w:cs="Times New Roman"/>
                <w:color w:val="auto"/>
                <w:spacing w:val="-1"/>
                <w:highlight w:val="none"/>
              </w:rPr>
              <w:t>e2</w:t>
            </w:r>
            <w:r>
              <w:rPr>
                <w:rFonts w:hint="default" w:ascii="Times New Roman" w:hAnsi="Times New Roman" w:cs="Times New Roman"/>
                <w:color w:val="auto"/>
                <w:spacing w:val="-1"/>
                <w:highlight w:val="none"/>
              </w:rPr>
              <w:t>）</w:t>
            </w:r>
          </w:p>
        </w:tc>
        <w:tc>
          <w:tcPr>
            <w:tcW w:w="1580" w:type="dxa"/>
            <w:noWrap w:val="0"/>
            <w:vAlign w:val="top"/>
          </w:tcPr>
          <w:p w14:paraId="4ADDB8AA">
            <w:pPr>
              <w:pStyle w:val="1647"/>
              <w:spacing w:before="91" w:line="236" w:lineRule="auto"/>
              <w:ind w:left="820"/>
              <w:rPr>
                <w:rFonts w:hint="default" w:ascii="Times New Roman" w:hAnsi="Times New Roman" w:cs="Times New Roman"/>
                <w:color w:val="auto"/>
                <w:highlight w:val="none"/>
              </w:rPr>
            </w:pPr>
            <w:r>
              <w:rPr>
                <w:rFonts w:hint="default" w:ascii="Times New Roman" w:hAnsi="Times New Roman" w:cs="Times New Roman"/>
                <w:color w:val="auto"/>
                <w:highlight w:val="none"/>
              </w:rPr>
              <w:t>Ⅳ</w:t>
            </w:r>
          </w:p>
        </w:tc>
        <w:tc>
          <w:tcPr>
            <w:tcW w:w="1580" w:type="dxa"/>
            <w:noWrap w:val="0"/>
            <w:vAlign w:val="top"/>
          </w:tcPr>
          <w:p w14:paraId="419FC8C1">
            <w:pPr>
              <w:pStyle w:val="1647"/>
              <w:spacing w:before="91" w:line="236" w:lineRule="auto"/>
              <w:ind w:left="811"/>
              <w:rPr>
                <w:rFonts w:hint="default" w:ascii="Times New Roman" w:hAnsi="Times New Roman" w:cs="Times New Roman"/>
                <w:color w:val="auto"/>
                <w:highlight w:val="none"/>
              </w:rPr>
            </w:pPr>
            <w:r>
              <w:rPr>
                <w:rFonts w:hint="default" w:ascii="Times New Roman" w:hAnsi="Times New Roman" w:cs="Times New Roman"/>
                <w:color w:val="auto"/>
                <w:highlight w:val="none"/>
              </w:rPr>
              <w:t>Ⅲ</w:t>
            </w:r>
          </w:p>
        </w:tc>
        <w:tc>
          <w:tcPr>
            <w:tcW w:w="1581" w:type="dxa"/>
            <w:noWrap w:val="0"/>
            <w:vAlign w:val="top"/>
          </w:tcPr>
          <w:p w14:paraId="50DF6DC8">
            <w:pPr>
              <w:pStyle w:val="1647"/>
              <w:spacing w:before="91" w:line="236" w:lineRule="auto"/>
              <w:ind w:left="812"/>
              <w:rPr>
                <w:rFonts w:hint="default" w:ascii="Times New Roman" w:hAnsi="Times New Roman" w:cs="Times New Roman"/>
                <w:color w:val="auto"/>
                <w:highlight w:val="none"/>
              </w:rPr>
            </w:pPr>
            <w:r>
              <w:rPr>
                <w:rFonts w:hint="default" w:ascii="Times New Roman" w:hAnsi="Times New Roman" w:cs="Times New Roman"/>
                <w:color w:val="auto"/>
                <w:highlight w:val="none"/>
              </w:rPr>
              <w:t>Ⅲ</w:t>
            </w:r>
          </w:p>
        </w:tc>
        <w:tc>
          <w:tcPr>
            <w:tcW w:w="1557" w:type="dxa"/>
            <w:noWrap w:val="0"/>
            <w:vAlign w:val="top"/>
          </w:tcPr>
          <w:p w14:paraId="176FD2CB">
            <w:pPr>
              <w:pStyle w:val="1647"/>
              <w:spacing w:before="91" w:line="236" w:lineRule="auto"/>
              <w:ind w:left="832"/>
              <w:rPr>
                <w:rFonts w:hint="default" w:ascii="Times New Roman" w:hAnsi="Times New Roman" w:cs="Times New Roman"/>
                <w:color w:val="auto"/>
                <w:highlight w:val="none"/>
              </w:rPr>
            </w:pPr>
            <w:r>
              <w:rPr>
                <w:rFonts w:hint="default" w:ascii="Times New Roman" w:hAnsi="Times New Roman" w:cs="Times New Roman"/>
                <w:color w:val="auto"/>
                <w:highlight w:val="none"/>
              </w:rPr>
              <w:t>Ⅱ</w:t>
            </w:r>
          </w:p>
        </w:tc>
      </w:tr>
      <w:tr w14:paraId="51850CC6">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2342" w:type="dxa"/>
            <w:noWrap w:val="0"/>
            <w:vAlign w:val="top"/>
          </w:tcPr>
          <w:p w14:paraId="3C479238">
            <w:pPr>
              <w:pStyle w:val="1647"/>
              <w:spacing w:before="93" w:line="234" w:lineRule="auto"/>
              <w:ind w:left="318"/>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环境高度敏感区（</w:t>
            </w:r>
            <w:r>
              <w:rPr>
                <w:rFonts w:hint="default" w:ascii="Times New Roman" w:hAnsi="Times New Roman" w:eastAsia="Times New Roman" w:cs="Times New Roman"/>
                <w:color w:val="auto"/>
                <w:spacing w:val="-1"/>
                <w:highlight w:val="none"/>
              </w:rPr>
              <w:t>e3</w:t>
            </w:r>
            <w:r>
              <w:rPr>
                <w:rFonts w:hint="default" w:ascii="Times New Roman" w:hAnsi="Times New Roman" w:cs="Times New Roman"/>
                <w:color w:val="auto"/>
                <w:spacing w:val="-1"/>
                <w:highlight w:val="none"/>
              </w:rPr>
              <w:t>）</w:t>
            </w:r>
          </w:p>
        </w:tc>
        <w:tc>
          <w:tcPr>
            <w:tcW w:w="1580" w:type="dxa"/>
            <w:noWrap w:val="0"/>
            <w:vAlign w:val="top"/>
          </w:tcPr>
          <w:p w14:paraId="0377FA83">
            <w:pPr>
              <w:pStyle w:val="1647"/>
              <w:spacing w:before="93" w:line="236" w:lineRule="auto"/>
              <w:ind w:left="811"/>
              <w:rPr>
                <w:rFonts w:hint="default" w:ascii="Times New Roman" w:hAnsi="Times New Roman" w:cs="Times New Roman"/>
                <w:color w:val="auto"/>
                <w:highlight w:val="none"/>
              </w:rPr>
            </w:pPr>
            <w:r>
              <w:rPr>
                <w:rFonts w:hint="default" w:ascii="Times New Roman" w:hAnsi="Times New Roman" w:cs="Times New Roman"/>
                <w:color w:val="auto"/>
                <w:highlight w:val="none"/>
              </w:rPr>
              <w:t>Ⅲ</w:t>
            </w:r>
          </w:p>
        </w:tc>
        <w:tc>
          <w:tcPr>
            <w:tcW w:w="1580" w:type="dxa"/>
            <w:noWrap w:val="0"/>
            <w:vAlign w:val="top"/>
          </w:tcPr>
          <w:p w14:paraId="0E464A81">
            <w:pPr>
              <w:pStyle w:val="1647"/>
              <w:spacing w:before="93" w:line="236" w:lineRule="auto"/>
              <w:ind w:left="811"/>
              <w:rPr>
                <w:rFonts w:hint="default" w:ascii="Times New Roman" w:hAnsi="Times New Roman" w:cs="Times New Roman"/>
                <w:color w:val="auto"/>
                <w:highlight w:val="none"/>
              </w:rPr>
            </w:pPr>
            <w:r>
              <w:rPr>
                <w:rFonts w:hint="default" w:ascii="Times New Roman" w:hAnsi="Times New Roman" w:cs="Times New Roman"/>
                <w:color w:val="auto"/>
                <w:highlight w:val="none"/>
              </w:rPr>
              <w:t>Ⅲ</w:t>
            </w:r>
          </w:p>
        </w:tc>
        <w:tc>
          <w:tcPr>
            <w:tcW w:w="1581" w:type="dxa"/>
            <w:noWrap w:val="0"/>
            <w:vAlign w:val="top"/>
          </w:tcPr>
          <w:p w14:paraId="1DFBDE00">
            <w:pPr>
              <w:pStyle w:val="1647"/>
              <w:spacing w:before="93" w:line="236" w:lineRule="auto"/>
              <w:ind w:left="849"/>
              <w:rPr>
                <w:rFonts w:hint="default" w:ascii="Times New Roman" w:hAnsi="Times New Roman" w:cs="Times New Roman"/>
                <w:color w:val="auto"/>
                <w:highlight w:val="none"/>
              </w:rPr>
            </w:pPr>
            <w:r>
              <w:rPr>
                <w:rFonts w:hint="default" w:ascii="Times New Roman" w:hAnsi="Times New Roman" w:cs="Times New Roman"/>
                <w:color w:val="auto"/>
                <w:highlight w:val="none"/>
              </w:rPr>
              <w:t>Ⅱ</w:t>
            </w:r>
          </w:p>
        </w:tc>
        <w:tc>
          <w:tcPr>
            <w:tcW w:w="1557" w:type="dxa"/>
            <w:noWrap w:val="0"/>
            <w:vAlign w:val="top"/>
          </w:tcPr>
          <w:p w14:paraId="75836682">
            <w:pPr>
              <w:pStyle w:val="1647"/>
              <w:spacing w:before="92" w:line="236" w:lineRule="auto"/>
              <w:ind w:left="864"/>
              <w:rPr>
                <w:rFonts w:hint="default" w:ascii="Times New Roman" w:hAnsi="Times New Roman" w:cs="Times New Roman"/>
                <w:color w:val="auto"/>
                <w:highlight w:val="none"/>
              </w:rPr>
            </w:pPr>
            <w:r>
              <w:rPr>
                <w:rFonts w:hint="default" w:ascii="Times New Roman" w:hAnsi="Times New Roman" w:cs="Times New Roman"/>
                <w:color w:val="auto"/>
                <w:highlight w:val="none"/>
              </w:rPr>
              <w:t>Ⅰ</w:t>
            </w:r>
          </w:p>
        </w:tc>
      </w:tr>
    </w:tbl>
    <w:p w14:paraId="726297DF">
      <w:pPr>
        <w:pStyle w:val="410"/>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spacing w:val="-2"/>
          <w:sz w:val="24"/>
          <w:szCs w:val="24"/>
          <w:highlight w:val="none"/>
        </w:rPr>
        <w:t>本工程为防洪治涝工程，项目正常运营的情况下，不涉及生产、使用、储存危险物质。</w:t>
      </w:r>
      <w:r>
        <w:rPr>
          <w:rFonts w:hint="eastAsia" w:ascii="Times New Roman" w:cs="Times New Roman"/>
          <w:color w:val="auto"/>
          <w:spacing w:val="-2"/>
          <w:sz w:val="24"/>
          <w:szCs w:val="24"/>
          <w:highlight w:val="none"/>
          <w:lang w:eastAsia="zh-CN"/>
        </w:rPr>
        <w:t>施工期</w:t>
      </w:r>
      <w:r>
        <w:rPr>
          <w:rFonts w:hint="default" w:ascii="Times New Roman" w:hAnsi="Times New Roman" w:eastAsia="宋体" w:cs="Times New Roman"/>
          <w:color w:val="auto"/>
          <w:spacing w:val="-2"/>
          <w:sz w:val="24"/>
          <w:szCs w:val="24"/>
          <w:highlight w:val="none"/>
          <w:lang w:eastAsia="zh-CN"/>
        </w:rPr>
        <w:t>使用</w:t>
      </w:r>
      <w:r>
        <w:rPr>
          <w:rFonts w:hint="default" w:ascii="Times New Roman" w:hAnsi="Times New Roman" w:eastAsia="宋体" w:cs="Times New Roman"/>
          <w:color w:val="auto"/>
          <w:spacing w:val="-2"/>
          <w:sz w:val="24"/>
          <w:szCs w:val="24"/>
          <w:highlight w:val="none"/>
        </w:rPr>
        <w:t>的原辅材料中涉及的危险物质为施工机械、车辆使用的柴油，考虑本项目所有施工车辆、机械同时施工，同时油箱满载的情况，根据项目柴油用量，作业机械（汽车、推土机、钩机等）柴油施工现场最大使用量约15t；隔油沉淀池废油约0.023/a。运营期无环境风险物质，根据前文第一章节分析，本项目施工期和运营期危险物质数量与临界量比值均属于Q＜1类型，根据《建设项目环境风险评价技术导则》（HJ169-2018），当Q＜1时，该项目环境风险潜势为Ⅰ。</w:t>
      </w:r>
    </w:p>
    <w:p w14:paraId="3019DC8B">
      <w:pPr>
        <w:pStyle w:val="5"/>
        <w:numPr>
          <w:ilvl w:val="2"/>
          <w:numId w:val="40"/>
        </w:numPr>
        <w:bidi w:val="0"/>
        <w:ind w:left="452" w:leftChars="0" w:firstLine="0" w:firstLineChars="0"/>
        <w:rPr>
          <w:rFonts w:hint="default"/>
          <w:color w:val="auto"/>
          <w:highlight w:val="none"/>
          <w:lang w:val="en-US" w:eastAsia="zh-CN"/>
        </w:rPr>
      </w:pPr>
      <w:r>
        <w:rPr>
          <w:rFonts w:hint="default"/>
          <w:color w:val="auto"/>
          <w:highlight w:val="none"/>
          <w:lang w:val="en-US" w:eastAsia="zh-CN"/>
        </w:rPr>
        <w:t>环境风险评价工作等级</w:t>
      </w:r>
    </w:p>
    <w:p w14:paraId="1CCE1124">
      <w:pPr>
        <w:pStyle w:val="410"/>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pacing w:val="-2"/>
          <w:sz w:val="24"/>
          <w:szCs w:val="24"/>
          <w:highlight w:val="none"/>
        </w:rPr>
        <w:t>根据《建设项目环境风险评价技术导则》（HJ169-2018）评价工作等级的划分方法，详见表4.3-2。</w:t>
      </w:r>
    </w:p>
    <w:p w14:paraId="5819B6FE">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r>
        <w:rPr>
          <w:rFonts w:hint="default"/>
          <w:color w:val="auto"/>
          <w:highlight w:val="none"/>
        </w:rPr>
        <w:t>评价工作等级划分表</w:t>
      </w:r>
    </w:p>
    <w:tbl>
      <w:tblPr>
        <w:tblStyle w:val="1679"/>
        <w:tblW w:w="0" w:type="auto"/>
        <w:tblInd w:w="0" w:type="dxa"/>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0" w:type="dxa"/>
          <w:bottom w:w="0" w:type="dxa"/>
          <w:right w:w="0" w:type="dxa"/>
        </w:tblCellMar>
      </w:tblPr>
      <w:tblGrid>
        <w:gridCol w:w="1728"/>
        <w:gridCol w:w="1724"/>
        <w:gridCol w:w="1723"/>
        <w:gridCol w:w="1728"/>
        <w:gridCol w:w="1736"/>
      </w:tblGrid>
      <w:tr w14:paraId="7B8EFFAB">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728" w:type="dxa"/>
            <w:noWrap w:val="0"/>
            <w:vAlign w:val="top"/>
          </w:tcPr>
          <w:p w14:paraId="6B1C3684">
            <w:pPr>
              <w:pStyle w:val="1647"/>
              <w:spacing w:before="40" w:line="211" w:lineRule="auto"/>
              <w:ind w:left="373"/>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环境风险潜势</w:t>
            </w:r>
          </w:p>
        </w:tc>
        <w:tc>
          <w:tcPr>
            <w:tcW w:w="1724" w:type="dxa"/>
            <w:noWrap w:val="0"/>
            <w:vAlign w:val="top"/>
          </w:tcPr>
          <w:p w14:paraId="667F1F95">
            <w:pPr>
              <w:pStyle w:val="1647"/>
              <w:spacing w:before="40" w:line="211" w:lineRule="auto"/>
              <w:ind w:left="632"/>
              <w:rPr>
                <w:rFonts w:hint="default" w:ascii="Times New Roman" w:hAnsi="Times New Roman" w:eastAsia="Times New Roman" w:cs="Times New Roman"/>
                <w:color w:val="auto"/>
                <w:highlight w:val="none"/>
              </w:rPr>
            </w:pPr>
            <w:r>
              <w:rPr>
                <w:rFonts w:hint="default" w:ascii="Times New Roman" w:hAnsi="Times New Roman" w:cs="Times New Roman"/>
                <w:color w:val="auto"/>
                <w:spacing w:val="-4"/>
                <w:highlight w:val="none"/>
              </w:rPr>
              <w:t>Ⅳ、Ⅳ</w:t>
            </w:r>
            <w:r>
              <w:rPr>
                <w:rFonts w:hint="default" w:ascii="Times New Roman" w:hAnsi="Times New Roman" w:eastAsia="Times New Roman" w:cs="Times New Roman"/>
                <w:color w:val="auto"/>
                <w:spacing w:val="-4"/>
                <w:highlight w:val="none"/>
              </w:rPr>
              <w:t>+</w:t>
            </w:r>
          </w:p>
        </w:tc>
        <w:tc>
          <w:tcPr>
            <w:tcW w:w="1723" w:type="dxa"/>
            <w:noWrap w:val="0"/>
            <w:vAlign w:val="top"/>
          </w:tcPr>
          <w:p w14:paraId="0E7E9CB2">
            <w:pPr>
              <w:pStyle w:val="1647"/>
              <w:spacing w:before="40" w:line="211" w:lineRule="auto"/>
              <w:ind w:left="893"/>
              <w:rPr>
                <w:rFonts w:hint="default" w:ascii="Times New Roman" w:hAnsi="Times New Roman" w:cs="Times New Roman"/>
                <w:color w:val="auto"/>
                <w:highlight w:val="none"/>
              </w:rPr>
            </w:pPr>
            <w:r>
              <w:rPr>
                <w:rFonts w:hint="default" w:ascii="Times New Roman" w:hAnsi="Times New Roman" w:cs="Times New Roman"/>
                <w:color w:val="auto"/>
                <w:highlight w:val="none"/>
              </w:rPr>
              <w:t>Ⅲ</w:t>
            </w:r>
          </w:p>
        </w:tc>
        <w:tc>
          <w:tcPr>
            <w:tcW w:w="1728" w:type="dxa"/>
            <w:noWrap w:val="0"/>
            <w:vAlign w:val="top"/>
          </w:tcPr>
          <w:p w14:paraId="5059AFE9">
            <w:pPr>
              <w:pStyle w:val="1647"/>
              <w:spacing w:before="40" w:line="211" w:lineRule="auto"/>
              <w:ind w:left="934"/>
              <w:rPr>
                <w:rFonts w:hint="default" w:ascii="Times New Roman" w:hAnsi="Times New Roman" w:cs="Times New Roman"/>
                <w:color w:val="auto"/>
                <w:highlight w:val="none"/>
              </w:rPr>
            </w:pPr>
            <w:r>
              <w:rPr>
                <w:rFonts w:hint="default" w:ascii="Times New Roman" w:hAnsi="Times New Roman" w:cs="Times New Roman"/>
                <w:color w:val="auto"/>
                <w:highlight w:val="none"/>
              </w:rPr>
              <w:t>Ⅱ</w:t>
            </w:r>
          </w:p>
        </w:tc>
        <w:tc>
          <w:tcPr>
            <w:tcW w:w="1736" w:type="dxa"/>
            <w:noWrap w:val="0"/>
            <w:vAlign w:val="top"/>
          </w:tcPr>
          <w:p w14:paraId="740197EF">
            <w:pPr>
              <w:pStyle w:val="1647"/>
              <w:spacing w:before="40" w:line="211" w:lineRule="auto"/>
              <w:ind w:left="966"/>
              <w:rPr>
                <w:rFonts w:hint="default" w:ascii="Times New Roman" w:hAnsi="Times New Roman" w:cs="Times New Roman"/>
                <w:color w:val="auto"/>
                <w:highlight w:val="none"/>
              </w:rPr>
            </w:pPr>
            <w:r>
              <w:rPr>
                <w:rFonts w:hint="default" w:ascii="Times New Roman" w:hAnsi="Times New Roman" w:cs="Times New Roman"/>
                <w:color w:val="auto"/>
                <w:highlight w:val="none"/>
              </w:rPr>
              <w:t>Ⅰ</w:t>
            </w:r>
          </w:p>
        </w:tc>
      </w:tr>
      <w:tr w14:paraId="6DE1E34A">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1728" w:type="dxa"/>
            <w:noWrap w:val="0"/>
            <w:vAlign w:val="top"/>
          </w:tcPr>
          <w:p w14:paraId="78103EBB">
            <w:pPr>
              <w:pStyle w:val="1647"/>
              <w:spacing w:before="37" w:line="213" w:lineRule="auto"/>
              <w:ind w:left="372"/>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评价工作等级</w:t>
            </w:r>
          </w:p>
        </w:tc>
        <w:tc>
          <w:tcPr>
            <w:tcW w:w="1724" w:type="dxa"/>
            <w:noWrap w:val="0"/>
            <w:vAlign w:val="top"/>
          </w:tcPr>
          <w:p w14:paraId="62209F6F">
            <w:pPr>
              <w:pStyle w:val="1647"/>
              <w:spacing w:before="116" w:line="163" w:lineRule="exact"/>
              <w:ind w:left="896"/>
              <w:rPr>
                <w:rFonts w:hint="default" w:ascii="Times New Roman" w:hAnsi="Times New Roman" w:cs="Times New Roman"/>
                <w:color w:val="auto"/>
                <w:highlight w:val="none"/>
              </w:rPr>
            </w:pPr>
            <w:r>
              <w:rPr>
                <w:rFonts w:hint="default" w:ascii="Times New Roman" w:hAnsi="Times New Roman" w:cs="Times New Roman"/>
                <w:color w:val="auto"/>
                <w:position w:val="-4"/>
                <w:highlight w:val="none"/>
              </w:rPr>
              <w:t>一</w:t>
            </w:r>
          </w:p>
        </w:tc>
        <w:tc>
          <w:tcPr>
            <w:tcW w:w="1723" w:type="dxa"/>
            <w:noWrap w:val="0"/>
            <w:vAlign w:val="top"/>
          </w:tcPr>
          <w:p w14:paraId="7A478414">
            <w:pPr>
              <w:pStyle w:val="1647"/>
              <w:spacing w:before="76" w:line="179" w:lineRule="auto"/>
              <w:ind w:left="897"/>
              <w:rPr>
                <w:rFonts w:hint="default" w:ascii="Times New Roman" w:hAnsi="Times New Roman" w:cs="Times New Roman"/>
                <w:color w:val="auto"/>
                <w:highlight w:val="none"/>
              </w:rPr>
            </w:pPr>
            <w:r>
              <w:rPr>
                <w:rFonts w:hint="default" w:ascii="Times New Roman" w:hAnsi="Times New Roman" w:cs="Times New Roman"/>
                <w:color w:val="auto"/>
                <w:highlight w:val="none"/>
              </w:rPr>
              <w:t>二</w:t>
            </w:r>
          </w:p>
        </w:tc>
        <w:tc>
          <w:tcPr>
            <w:tcW w:w="1728" w:type="dxa"/>
            <w:noWrap w:val="0"/>
            <w:vAlign w:val="top"/>
          </w:tcPr>
          <w:p w14:paraId="742C3A62">
            <w:pPr>
              <w:pStyle w:val="1647"/>
              <w:spacing w:before="37" w:line="213" w:lineRule="auto"/>
              <w:ind w:left="897"/>
              <w:rPr>
                <w:rFonts w:hint="default" w:ascii="Times New Roman" w:hAnsi="Times New Roman" w:cs="Times New Roman"/>
                <w:color w:val="auto"/>
                <w:highlight w:val="none"/>
              </w:rPr>
            </w:pPr>
            <w:r>
              <w:rPr>
                <w:rFonts w:hint="default" w:ascii="Times New Roman" w:hAnsi="Times New Roman" w:cs="Times New Roman"/>
                <w:color w:val="auto"/>
                <w:highlight w:val="none"/>
              </w:rPr>
              <w:t>三</w:t>
            </w:r>
          </w:p>
        </w:tc>
        <w:tc>
          <w:tcPr>
            <w:tcW w:w="1736" w:type="dxa"/>
            <w:noWrap w:val="0"/>
            <w:vAlign w:val="top"/>
          </w:tcPr>
          <w:p w14:paraId="56301FC4">
            <w:pPr>
              <w:pStyle w:val="1647"/>
              <w:spacing w:before="37" w:line="213" w:lineRule="auto"/>
              <w:ind w:left="515"/>
              <w:rPr>
                <w:rFonts w:hint="default" w:ascii="Times New Roman" w:hAnsi="Times New Roman" w:eastAsia="Times New Roman" w:cs="Times New Roman"/>
                <w:color w:val="auto"/>
                <w:highlight w:val="none"/>
              </w:rPr>
            </w:pPr>
            <w:r>
              <w:rPr>
                <w:rFonts w:hint="default" w:ascii="Times New Roman" w:hAnsi="Times New Roman" w:cs="Times New Roman"/>
                <w:color w:val="auto"/>
                <w:spacing w:val="-2"/>
                <w:highlight w:val="none"/>
              </w:rPr>
              <w:t>简单分析</w:t>
            </w:r>
            <w:r>
              <w:rPr>
                <w:rFonts w:hint="default" w:ascii="Times New Roman" w:hAnsi="Times New Roman" w:eastAsia="Times New Roman" w:cs="Times New Roman"/>
                <w:color w:val="auto"/>
                <w:spacing w:val="-2"/>
                <w:highlight w:val="none"/>
              </w:rPr>
              <w:t>a</w:t>
            </w:r>
          </w:p>
        </w:tc>
      </w:tr>
      <w:tr w14:paraId="6D77268A">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8639" w:type="dxa"/>
            <w:gridSpan w:val="5"/>
            <w:noWrap w:val="0"/>
            <w:vAlign w:val="top"/>
          </w:tcPr>
          <w:p w14:paraId="5476F044">
            <w:pPr>
              <w:spacing w:before="30" w:line="233" w:lineRule="auto"/>
              <w:ind w:left="132"/>
              <w:rPr>
                <w:rFonts w:hint="default" w:ascii="Times New Roman" w:hAnsi="Times New Roman" w:cs="Times New Roman"/>
                <w:color w:val="auto"/>
                <w:spacing w:val="-2"/>
                <w:szCs w:val="22"/>
                <w:highlight w:val="none"/>
              </w:rPr>
            </w:pPr>
            <w:r>
              <w:rPr>
                <w:rFonts w:hint="default" w:ascii="Times New Roman" w:hAnsi="Times New Roman" w:eastAsia="Times New Roman" w:cs="Times New Roman"/>
                <w:color w:val="auto"/>
                <w:spacing w:val="-1"/>
                <w:sz w:val="21"/>
                <w:szCs w:val="21"/>
                <w:highlight w:val="none"/>
              </w:rPr>
              <w:t>a</w:t>
            </w:r>
            <w:r>
              <w:rPr>
                <w:rFonts w:hint="default" w:ascii="Times New Roman" w:hAnsi="Times New Roman" w:eastAsia="宋体" w:cs="Times New Roman"/>
                <w:color w:val="auto"/>
                <w:spacing w:val="-1"/>
                <w:sz w:val="21"/>
                <w:szCs w:val="21"/>
                <w:highlight w:val="none"/>
              </w:rPr>
              <w:t>是相对于详细评价工作内容而言，在描述危险物质、环境影响途径、环境危害后</w:t>
            </w:r>
            <w:r>
              <w:rPr>
                <w:rFonts w:hint="default" w:ascii="Times New Roman" w:hAnsi="Times New Roman" w:eastAsia="宋体" w:cs="Times New Roman"/>
                <w:color w:val="auto"/>
                <w:spacing w:val="-2"/>
                <w:sz w:val="21"/>
                <w:szCs w:val="21"/>
                <w:highlight w:val="none"/>
              </w:rPr>
              <w:t>果、风险防范措施等方面</w:t>
            </w:r>
            <w:r>
              <w:rPr>
                <w:rFonts w:hint="default" w:ascii="Times New Roman" w:hAnsi="Times New Roman" w:eastAsia="宋体" w:cs="Times New Roman"/>
                <w:color w:val="auto"/>
                <w:spacing w:val="-1"/>
                <w:sz w:val="21"/>
                <w:szCs w:val="21"/>
                <w:highlight w:val="none"/>
              </w:rPr>
              <w:t>给出定性的说明。见附录</w:t>
            </w:r>
            <w:r>
              <w:rPr>
                <w:rFonts w:hint="default" w:ascii="Times New Roman" w:hAnsi="Times New Roman" w:eastAsia="Times New Roman" w:cs="Times New Roman"/>
                <w:color w:val="auto"/>
                <w:spacing w:val="-1"/>
                <w:sz w:val="21"/>
                <w:szCs w:val="21"/>
                <w:highlight w:val="none"/>
              </w:rPr>
              <w:t>A</w:t>
            </w:r>
          </w:p>
        </w:tc>
      </w:tr>
    </w:tbl>
    <w:p w14:paraId="350D1CEB">
      <w:pPr>
        <w:spacing w:line="28" w:lineRule="exact"/>
        <w:ind w:firstLine="2"/>
        <w:rPr>
          <w:rFonts w:hint="default" w:ascii="Times New Roman" w:hAnsi="Times New Roman" w:cs="Times New Roman"/>
          <w:color w:val="auto"/>
          <w:highlight w:val="none"/>
        </w:rPr>
      </w:pPr>
    </w:p>
    <w:p w14:paraId="5FECCBA8">
      <w:pPr>
        <w:pStyle w:val="410"/>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pacing w:val="-2"/>
          <w:sz w:val="24"/>
          <w:szCs w:val="24"/>
          <w:highlight w:val="none"/>
        </w:rPr>
        <w:t>按照《建设项目环境风险评价技术导则》（</w:t>
      </w:r>
      <w:r>
        <w:rPr>
          <w:rFonts w:hint="default" w:ascii="Times New Roman" w:hAnsi="Times New Roman" w:eastAsia="Times New Roman" w:cs="Times New Roman"/>
          <w:color w:val="auto"/>
          <w:spacing w:val="-2"/>
          <w:sz w:val="24"/>
          <w:szCs w:val="24"/>
          <w:highlight w:val="none"/>
        </w:rPr>
        <w:t>HJ169-2018</w:t>
      </w:r>
      <w:r>
        <w:rPr>
          <w:rFonts w:hint="default" w:ascii="Times New Roman" w:hAnsi="Times New Roman" w:eastAsia="宋体" w:cs="Times New Roman"/>
          <w:color w:val="auto"/>
          <w:spacing w:val="-2"/>
          <w:sz w:val="24"/>
          <w:szCs w:val="24"/>
          <w:highlight w:val="none"/>
        </w:rPr>
        <w:t>）有关评价等级的规定项目风险评价等级确定为简单分析，对环境风险识别、环境风险分析、减缓</w:t>
      </w:r>
      <w:r>
        <w:rPr>
          <w:rFonts w:hint="default" w:ascii="Times New Roman" w:hAnsi="Times New Roman" w:eastAsia="宋体" w:cs="Times New Roman"/>
          <w:color w:val="auto"/>
          <w:spacing w:val="-3"/>
          <w:sz w:val="24"/>
          <w:szCs w:val="24"/>
          <w:highlight w:val="none"/>
        </w:rPr>
        <w:t>风险措施等进行简要分析。应</w:t>
      </w:r>
      <w:r>
        <w:rPr>
          <w:rFonts w:hint="default" w:ascii="Times New Roman" w:hAnsi="Times New Roman" w:eastAsia="宋体" w:cs="Times New Roman"/>
          <w:color w:val="auto"/>
          <w:spacing w:val="-1"/>
          <w:sz w:val="24"/>
          <w:szCs w:val="24"/>
          <w:highlight w:val="none"/>
        </w:rPr>
        <w:t>进行风险识别、源项分析，并对事故影响进行简要分析，提出防范、减缓和应</w:t>
      </w:r>
      <w:r>
        <w:rPr>
          <w:rFonts w:hint="default" w:ascii="Times New Roman" w:hAnsi="Times New Roman" w:eastAsia="宋体" w:cs="Times New Roman"/>
          <w:color w:val="auto"/>
          <w:spacing w:val="-2"/>
          <w:sz w:val="24"/>
          <w:szCs w:val="24"/>
          <w:highlight w:val="none"/>
        </w:rPr>
        <w:t>急措施。</w:t>
      </w:r>
    </w:p>
    <w:p w14:paraId="45E54AF1">
      <w:pPr>
        <w:pStyle w:val="5"/>
        <w:numPr>
          <w:ilvl w:val="2"/>
          <w:numId w:val="40"/>
        </w:numPr>
        <w:bidi w:val="0"/>
        <w:ind w:left="452" w:leftChars="0" w:firstLine="0" w:firstLineChars="0"/>
        <w:rPr>
          <w:rFonts w:hint="default"/>
          <w:color w:val="auto"/>
          <w:highlight w:val="none"/>
          <w:lang w:eastAsia="zh-CN"/>
        </w:rPr>
      </w:pPr>
      <w:r>
        <w:rPr>
          <w:rFonts w:hint="default"/>
          <w:color w:val="auto"/>
          <w:highlight w:val="none"/>
          <w:lang w:val="en-US" w:eastAsia="zh-CN"/>
        </w:rPr>
        <w:t>风险识别</w:t>
      </w:r>
    </w:p>
    <w:p w14:paraId="30ED3B02">
      <w:pPr>
        <w:pStyle w:val="6"/>
        <w:numPr>
          <w:ilvl w:val="3"/>
          <w:numId w:val="40"/>
        </w:numPr>
        <w:bidi w:val="0"/>
        <w:ind w:left="0" w:leftChars="0" w:firstLine="0" w:firstLineChars="0"/>
        <w:rPr>
          <w:rFonts w:hint="default"/>
          <w:color w:val="auto"/>
          <w:highlight w:val="none"/>
          <w:lang w:eastAsia="zh-CN"/>
        </w:rPr>
      </w:pPr>
      <w:r>
        <w:rPr>
          <w:rFonts w:hint="default"/>
          <w:color w:val="auto"/>
          <w:highlight w:val="none"/>
          <w:lang w:eastAsia="zh-CN"/>
        </w:rPr>
        <w:t>施工期风险识别</w:t>
      </w:r>
    </w:p>
    <w:p w14:paraId="3B3498EE">
      <w:pPr>
        <w:pStyle w:val="410"/>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（1）风险物质</w:t>
      </w:r>
    </w:p>
    <w:p w14:paraId="3D54CE56">
      <w:pPr>
        <w:pStyle w:val="410"/>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施工期施工区不设置柴油储罐，风险物质主要为施工机械设备、车辆使用的柴油；隔油池污油。施工期基坑排水、洗车废水事故外排排放、燃油油料泄漏的环境风险；本工程使用各种施工车辆使用柴油、汽油，由于施工期车辆违反作业规程及其他环节的影响，存在施工车辆发生油料泄漏事故的可能性。</w:t>
      </w:r>
    </w:p>
    <w:p w14:paraId="491F454D">
      <w:pPr>
        <w:pStyle w:val="410"/>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（2）生产设施危险性识别</w:t>
      </w:r>
    </w:p>
    <w:p w14:paraId="074C9DE7">
      <w:pPr>
        <w:pStyle w:val="410"/>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本项目采用围堰施工作业，围堰修筑后施工机械均在围堰内施工</w:t>
      </w:r>
      <w:r>
        <w:rPr>
          <w:rFonts w:hint="eastAsia"/>
          <w:color w:val="auto"/>
          <w:highlight w:val="none"/>
          <w:lang w:eastAsia="zh-CN"/>
        </w:rPr>
        <w:t>，施工期废水经过妥善处置后回用，不外排；</w:t>
      </w:r>
      <w:r>
        <w:rPr>
          <w:rFonts w:hint="default" w:ascii="Times New Roman" w:hAnsi="Times New Roman" w:eastAsia="宋体" w:cs="Times New Roman"/>
          <w:color w:val="auto"/>
          <w:spacing w:val="-2"/>
          <w:sz w:val="24"/>
          <w:szCs w:val="24"/>
          <w:highlight w:val="none"/>
          <w:lang w:eastAsia="zh-CN"/>
        </w:rPr>
        <w:t>施工期对地表水环境影响相对较小。</w:t>
      </w:r>
    </w:p>
    <w:p w14:paraId="0983FB8A">
      <w:pPr>
        <w:pStyle w:val="6"/>
        <w:numPr>
          <w:ilvl w:val="3"/>
          <w:numId w:val="40"/>
        </w:numPr>
        <w:bidi w:val="0"/>
        <w:ind w:left="0" w:leftChars="0" w:firstLine="0" w:firstLineChars="0"/>
        <w:rPr>
          <w:rFonts w:hint="default"/>
          <w:color w:val="auto"/>
          <w:highlight w:val="none"/>
          <w:lang w:eastAsia="zh-CN"/>
        </w:rPr>
      </w:pPr>
      <w:r>
        <w:rPr>
          <w:rFonts w:hint="default"/>
          <w:color w:val="auto"/>
          <w:highlight w:val="none"/>
          <w:lang w:eastAsia="zh-CN"/>
        </w:rPr>
        <w:t>运营期风险识别</w:t>
      </w:r>
    </w:p>
    <w:p w14:paraId="6A956943">
      <w:pPr>
        <w:pStyle w:val="410"/>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（1）堤防不稳固风险</w:t>
      </w:r>
    </w:p>
    <w:p w14:paraId="21527078">
      <w:pPr>
        <w:pStyle w:val="410"/>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本工程属于防洪工程项目，项目事故风险主要包括堤防施工时遭受极端天气造成的堤防不稳固风险，即在极端暴雨、台风、灾害性洪水、地震等自然灾害的影响下，建设堤防冲毁进入</w:t>
      </w:r>
      <w:r>
        <w:rPr>
          <w:rFonts w:hint="default" w:ascii="Times New Roman" w:hAnsi="Times New Roman" w:eastAsia="宋体" w:cs="Times New Roman"/>
          <w:color w:val="auto"/>
          <w:spacing w:val="-2"/>
          <w:sz w:val="24"/>
          <w:szCs w:val="24"/>
          <w:highlight w:val="none"/>
          <w:lang w:val="en-US" w:eastAsia="zh-CN"/>
        </w:rPr>
        <w:t>水系</w:t>
      </w:r>
      <w:r>
        <w:rPr>
          <w:rFonts w:hint="default" w:ascii="Times New Roman" w:hAnsi="Times New Roman" w:eastAsia="宋体" w:cs="Times New Roman"/>
          <w:color w:val="auto"/>
          <w:spacing w:val="-2"/>
          <w:sz w:val="24"/>
          <w:szCs w:val="24"/>
          <w:highlight w:val="none"/>
          <w:lang w:eastAsia="zh-CN"/>
        </w:rPr>
        <w:t>，导致污染物进入水体进而对水环境产生的风险。</w:t>
      </w:r>
    </w:p>
    <w:p w14:paraId="2CA9FB81">
      <w:pPr>
        <w:pStyle w:val="410"/>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（2）危险物质对环境的影响途径</w:t>
      </w:r>
    </w:p>
    <w:p w14:paraId="4AD1CB57">
      <w:pPr>
        <w:pStyle w:val="410"/>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本项目为非污染项目，运行期基本上不产生污染物，项目运行过程中对周边环境影响存在的环境风险较小。</w:t>
      </w:r>
    </w:p>
    <w:p w14:paraId="2CE2C5BB">
      <w:pPr>
        <w:pStyle w:val="410"/>
        <w:rPr>
          <w:rFonts w:hint="default" w:ascii="Times New Roman" w:hAnsi="Times New Roman" w:eastAsia="宋体" w:cs="Times New Roman"/>
          <w:color w:val="auto"/>
          <w:spacing w:val="-2"/>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项目涉及的危险物质主要为施工期汽油和柴油。汽油、柴油理化性质及危险特性见表</w:t>
      </w:r>
    </w:p>
    <w:p w14:paraId="0173B228">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bookmarkStart w:id="121" w:name="_Ref96266745"/>
      <w:r>
        <w:rPr>
          <w:rFonts w:hint="default"/>
          <w:color w:val="auto"/>
          <w:highlight w:val="none"/>
        </w:rPr>
        <w:t>柴油理化性质及危险特性表</w:t>
      </w:r>
      <w:bookmarkEnd w:id="121"/>
    </w:p>
    <w:tbl>
      <w:tblPr>
        <w:tblStyle w:val="87"/>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369"/>
        <w:gridCol w:w="7273"/>
      </w:tblGrid>
      <w:tr w14:paraId="14307AF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blHeader/>
          <w:jc w:val="center"/>
        </w:trPr>
        <w:tc>
          <w:tcPr>
            <w:tcW w:w="1369" w:type="dxa"/>
            <w:noWrap w:val="0"/>
            <w:vAlign w:val="center"/>
          </w:tcPr>
          <w:p w14:paraId="065BD8BF">
            <w:pPr>
              <w:pStyle w:val="698"/>
              <w:rPr>
                <w:rFonts w:hint="default" w:ascii="Times New Roman" w:hAnsi="Times New Roman" w:cs="Times New Roman"/>
                <w:b/>
                <w:bCs/>
                <w:color w:val="auto"/>
                <w:highlight w:val="none"/>
                <w:lang w:val="zh-CN"/>
              </w:rPr>
            </w:pPr>
            <w:r>
              <w:rPr>
                <w:rFonts w:hint="default" w:ascii="Times New Roman" w:hAnsi="Times New Roman" w:cs="Times New Roman"/>
                <w:b/>
                <w:bCs/>
                <w:color w:val="auto"/>
                <w:highlight w:val="none"/>
                <w:lang w:val="zh-CN"/>
              </w:rPr>
              <w:t>标识</w:t>
            </w:r>
          </w:p>
        </w:tc>
        <w:tc>
          <w:tcPr>
            <w:tcW w:w="7273" w:type="dxa"/>
            <w:noWrap w:val="0"/>
            <w:vAlign w:val="center"/>
          </w:tcPr>
          <w:p w14:paraId="63246A4B">
            <w:pPr>
              <w:pStyle w:val="698"/>
              <w:rPr>
                <w:rFonts w:hint="default" w:ascii="Times New Roman" w:hAnsi="Times New Roman" w:cs="Times New Roman"/>
                <w:b/>
                <w:bCs/>
                <w:color w:val="auto"/>
                <w:highlight w:val="none"/>
                <w:lang w:val="zh-CN"/>
              </w:rPr>
            </w:pPr>
            <w:r>
              <w:rPr>
                <w:rFonts w:hint="default" w:ascii="Times New Roman" w:hAnsi="Times New Roman" w:cs="Times New Roman"/>
                <w:b/>
                <w:bCs/>
                <w:color w:val="auto"/>
                <w:highlight w:val="none"/>
                <w:lang w:val="zh-CN"/>
              </w:rPr>
              <w:t>中文名：普通柴油</w:t>
            </w:r>
          </w:p>
        </w:tc>
      </w:tr>
      <w:tr w14:paraId="222B279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restart"/>
            <w:noWrap w:val="0"/>
            <w:vAlign w:val="center"/>
          </w:tcPr>
          <w:p w14:paraId="3C68586F">
            <w:pPr>
              <w:pStyle w:val="698"/>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危险性类别</w:t>
            </w:r>
          </w:p>
        </w:tc>
        <w:tc>
          <w:tcPr>
            <w:tcW w:w="7273" w:type="dxa"/>
            <w:noWrap w:val="0"/>
            <w:vAlign w:val="center"/>
          </w:tcPr>
          <w:p w14:paraId="28D4B7C2">
            <w:pPr>
              <w:pStyle w:val="698"/>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UN编号：2924</w:t>
            </w:r>
          </w:p>
        </w:tc>
      </w:tr>
      <w:tr w14:paraId="2367FA5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continue"/>
            <w:noWrap w:val="0"/>
            <w:vAlign w:val="center"/>
          </w:tcPr>
          <w:p w14:paraId="15443C26">
            <w:pPr>
              <w:pStyle w:val="698"/>
              <w:rPr>
                <w:rFonts w:hint="default" w:ascii="Times New Roman" w:hAnsi="Times New Roman" w:cs="Times New Roman"/>
                <w:color w:val="auto"/>
                <w:kern w:val="0"/>
                <w:highlight w:val="none"/>
                <w:lang w:val="zh-CN"/>
              </w:rPr>
            </w:pPr>
          </w:p>
        </w:tc>
        <w:tc>
          <w:tcPr>
            <w:tcW w:w="7273" w:type="dxa"/>
            <w:noWrap w:val="0"/>
            <w:vAlign w:val="center"/>
          </w:tcPr>
          <w:p w14:paraId="5534F607">
            <w:pPr>
              <w:pStyle w:val="698"/>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危险货物编号：/</w:t>
            </w:r>
          </w:p>
        </w:tc>
      </w:tr>
      <w:tr w14:paraId="4ADDD5B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continue"/>
            <w:noWrap w:val="0"/>
            <w:vAlign w:val="center"/>
          </w:tcPr>
          <w:p w14:paraId="760E60E5">
            <w:pPr>
              <w:pStyle w:val="698"/>
              <w:rPr>
                <w:rFonts w:hint="default" w:ascii="Times New Roman" w:hAnsi="Times New Roman" w:cs="Times New Roman"/>
                <w:color w:val="auto"/>
                <w:kern w:val="0"/>
                <w:highlight w:val="none"/>
                <w:lang w:val="zh-CN"/>
              </w:rPr>
            </w:pPr>
          </w:p>
        </w:tc>
        <w:tc>
          <w:tcPr>
            <w:tcW w:w="7273" w:type="dxa"/>
            <w:noWrap w:val="0"/>
            <w:vAlign w:val="center"/>
          </w:tcPr>
          <w:p w14:paraId="448022E1">
            <w:pPr>
              <w:pStyle w:val="698"/>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危险品类别：可燃液体</w:t>
            </w:r>
          </w:p>
        </w:tc>
      </w:tr>
      <w:tr w14:paraId="68D655D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restart"/>
            <w:noWrap w:val="0"/>
            <w:vAlign w:val="center"/>
          </w:tcPr>
          <w:p w14:paraId="1A3F3D22">
            <w:pPr>
              <w:pStyle w:val="698"/>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理化性质</w:t>
            </w:r>
          </w:p>
        </w:tc>
        <w:tc>
          <w:tcPr>
            <w:tcW w:w="7273" w:type="dxa"/>
            <w:noWrap w:val="0"/>
            <w:vAlign w:val="center"/>
          </w:tcPr>
          <w:p w14:paraId="64C0710E">
            <w:pPr>
              <w:pStyle w:val="698"/>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主要成分：C15—C23脂肪烃和环烷烃</w:t>
            </w:r>
          </w:p>
        </w:tc>
      </w:tr>
      <w:tr w14:paraId="23E0179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continue"/>
            <w:noWrap w:val="0"/>
            <w:vAlign w:val="center"/>
          </w:tcPr>
          <w:p w14:paraId="3D991A13">
            <w:pPr>
              <w:pStyle w:val="698"/>
              <w:rPr>
                <w:rFonts w:hint="default" w:ascii="Times New Roman" w:hAnsi="Times New Roman" w:cs="Times New Roman"/>
                <w:color w:val="auto"/>
                <w:kern w:val="0"/>
                <w:highlight w:val="none"/>
                <w:lang w:val="zh-CN"/>
              </w:rPr>
            </w:pPr>
          </w:p>
        </w:tc>
        <w:tc>
          <w:tcPr>
            <w:tcW w:w="7273" w:type="dxa"/>
            <w:noWrap w:val="0"/>
            <w:vAlign w:val="center"/>
          </w:tcPr>
          <w:p w14:paraId="56C3DFC3">
            <w:pPr>
              <w:pStyle w:val="698"/>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性状：无色或淡黄色液体。</w:t>
            </w:r>
          </w:p>
        </w:tc>
      </w:tr>
      <w:tr w14:paraId="0A11856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continue"/>
            <w:noWrap w:val="0"/>
            <w:vAlign w:val="center"/>
          </w:tcPr>
          <w:p w14:paraId="64C9B853">
            <w:pPr>
              <w:pStyle w:val="698"/>
              <w:rPr>
                <w:rFonts w:hint="default" w:ascii="Times New Roman" w:hAnsi="Times New Roman" w:cs="Times New Roman"/>
                <w:color w:val="auto"/>
                <w:kern w:val="0"/>
                <w:highlight w:val="none"/>
                <w:lang w:val="zh-CN"/>
              </w:rPr>
            </w:pPr>
          </w:p>
        </w:tc>
        <w:tc>
          <w:tcPr>
            <w:tcW w:w="7273" w:type="dxa"/>
            <w:noWrap w:val="0"/>
            <w:vAlign w:val="center"/>
          </w:tcPr>
          <w:p w14:paraId="31B639BD">
            <w:pPr>
              <w:pStyle w:val="698"/>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凝点（℃）：10#不高于10；5＃不高于5；0＃不高于0；-10＃不高于-10；-20＃不高于-20；-35＃不高于-35；-50＃不高于-50</w:t>
            </w:r>
          </w:p>
        </w:tc>
      </w:tr>
      <w:tr w14:paraId="512E878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continue"/>
            <w:noWrap w:val="0"/>
            <w:vAlign w:val="center"/>
          </w:tcPr>
          <w:p w14:paraId="23DA828F">
            <w:pPr>
              <w:pStyle w:val="698"/>
              <w:rPr>
                <w:rFonts w:hint="default" w:ascii="Times New Roman" w:hAnsi="Times New Roman" w:cs="Times New Roman"/>
                <w:color w:val="auto"/>
                <w:kern w:val="0"/>
                <w:highlight w:val="none"/>
                <w:lang w:val="zh-CN"/>
              </w:rPr>
            </w:pPr>
          </w:p>
        </w:tc>
        <w:tc>
          <w:tcPr>
            <w:tcW w:w="7273" w:type="dxa"/>
            <w:noWrap w:val="0"/>
            <w:vAlign w:val="center"/>
          </w:tcPr>
          <w:p w14:paraId="1250919C">
            <w:pPr>
              <w:pStyle w:val="698"/>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密度（20℃）kg/m</w:t>
            </w:r>
            <w:r>
              <w:rPr>
                <w:rFonts w:hint="default" w:ascii="Times New Roman" w:hAnsi="Times New Roman" w:cs="Times New Roman"/>
                <w:color w:val="auto"/>
                <w:highlight w:val="none"/>
                <w:vertAlign w:val="superscript"/>
                <w:lang w:val="zh-CN"/>
              </w:rPr>
              <w:t>3</w:t>
            </w:r>
            <w:r>
              <w:rPr>
                <w:rFonts w:hint="default" w:ascii="Times New Roman" w:hAnsi="Times New Roman" w:cs="Times New Roman"/>
                <w:color w:val="auto"/>
                <w:highlight w:val="none"/>
                <w:lang w:val="zh-CN"/>
              </w:rPr>
              <w:t>：10#、5＃、0＃、-10＃为810～850、-20＃；-35＃、-50＃为790～840</w:t>
            </w:r>
          </w:p>
        </w:tc>
      </w:tr>
      <w:tr w14:paraId="190C50A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continue"/>
            <w:noWrap w:val="0"/>
            <w:vAlign w:val="center"/>
          </w:tcPr>
          <w:p w14:paraId="14ED9D6A">
            <w:pPr>
              <w:pStyle w:val="698"/>
              <w:rPr>
                <w:rFonts w:hint="default" w:ascii="Times New Roman" w:hAnsi="Times New Roman" w:cs="Times New Roman"/>
                <w:color w:val="auto"/>
                <w:kern w:val="0"/>
                <w:highlight w:val="none"/>
                <w:lang w:val="zh-CN"/>
              </w:rPr>
            </w:pPr>
          </w:p>
        </w:tc>
        <w:tc>
          <w:tcPr>
            <w:tcW w:w="7273" w:type="dxa"/>
            <w:noWrap w:val="0"/>
            <w:vAlign w:val="center"/>
          </w:tcPr>
          <w:p w14:paraId="7C410528">
            <w:pPr>
              <w:pStyle w:val="698"/>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沸点（℃）：200～365</w:t>
            </w:r>
          </w:p>
        </w:tc>
      </w:tr>
      <w:tr w14:paraId="0615E8F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continue"/>
            <w:noWrap w:val="0"/>
            <w:vAlign w:val="center"/>
          </w:tcPr>
          <w:p w14:paraId="58BAF778">
            <w:pPr>
              <w:pStyle w:val="698"/>
              <w:rPr>
                <w:rFonts w:hint="default" w:ascii="Times New Roman" w:hAnsi="Times New Roman" w:cs="Times New Roman"/>
                <w:color w:val="auto"/>
                <w:kern w:val="0"/>
                <w:highlight w:val="none"/>
                <w:lang w:val="zh-CN"/>
              </w:rPr>
            </w:pPr>
          </w:p>
        </w:tc>
        <w:tc>
          <w:tcPr>
            <w:tcW w:w="7273" w:type="dxa"/>
            <w:noWrap w:val="0"/>
            <w:vAlign w:val="center"/>
          </w:tcPr>
          <w:p w14:paraId="24D277B2">
            <w:pPr>
              <w:pStyle w:val="698"/>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溶解性：不溶于水，与有机溶剂互溶。</w:t>
            </w:r>
          </w:p>
        </w:tc>
      </w:tr>
      <w:tr w14:paraId="6B51666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restart"/>
            <w:noWrap w:val="0"/>
            <w:vAlign w:val="center"/>
          </w:tcPr>
          <w:p w14:paraId="7A3EEBCE">
            <w:pPr>
              <w:pStyle w:val="698"/>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燃烧爆炸危险特性</w:t>
            </w:r>
          </w:p>
        </w:tc>
        <w:tc>
          <w:tcPr>
            <w:tcW w:w="7273" w:type="dxa"/>
            <w:noWrap w:val="0"/>
            <w:vAlign w:val="center"/>
          </w:tcPr>
          <w:p w14:paraId="678EFE2B">
            <w:pPr>
              <w:pStyle w:val="698"/>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燃烧性：易燃烧</w:t>
            </w:r>
          </w:p>
        </w:tc>
      </w:tr>
      <w:tr w14:paraId="16E729B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continue"/>
            <w:noWrap w:val="0"/>
            <w:vAlign w:val="center"/>
          </w:tcPr>
          <w:p w14:paraId="4C490308">
            <w:pPr>
              <w:pStyle w:val="698"/>
              <w:rPr>
                <w:rFonts w:hint="default" w:ascii="Times New Roman" w:hAnsi="Times New Roman" w:cs="Times New Roman"/>
                <w:color w:val="auto"/>
                <w:kern w:val="0"/>
                <w:highlight w:val="none"/>
                <w:lang w:val="zh-CN"/>
              </w:rPr>
            </w:pPr>
          </w:p>
        </w:tc>
        <w:tc>
          <w:tcPr>
            <w:tcW w:w="7273" w:type="dxa"/>
            <w:noWrap w:val="0"/>
            <w:vAlign w:val="center"/>
          </w:tcPr>
          <w:p w14:paraId="0106A61D">
            <w:pPr>
              <w:pStyle w:val="698"/>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闪点（℃）：10#、5＃、0＃、-10＃、-20＃不低于55℃；-35＃、-50＃不低于45℃</w:t>
            </w:r>
          </w:p>
        </w:tc>
      </w:tr>
      <w:tr w14:paraId="556EE6B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continue"/>
            <w:noWrap w:val="0"/>
            <w:vAlign w:val="center"/>
          </w:tcPr>
          <w:p w14:paraId="52F6718A">
            <w:pPr>
              <w:pStyle w:val="698"/>
              <w:rPr>
                <w:rFonts w:hint="default" w:ascii="Times New Roman" w:hAnsi="Times New Roman" w:cs="Times New Roman"/>
                <w:color w:val="auto"/>
                <w:kern w:val="0"/>
                <w:highlight w:val="none"/>
                <w:lang w:val="zh-CN"/>
              </w:rPr>
            </w:pPr>
          </w:p>
        </w:tc>
        <w:tc>
          <w:tcPr>
            <w:tcW w:w="7273" w:type="dxa"/>
            <w:noWrap w:val="0"/>
            <w:vAlign w:val="center"/>
          </w:tcPr>
          <w:p w14:paraId="404A0FB2">
            <w:pPr>
              <w:pStyle w:val="698"/>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引燃温度（℃）：（350～380）</w:t>
            </w:r>
          </w:p>
        </w:tc>
      </w:tr>
      <w:tr w14:paraId="528AB2B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continue"/>
            <w:noWrap w:val="0"/>
            <w:vAlign w:val="center"/>
          </w:tcPr>
          <w:p w14:paraId="4BDC1FAD">
            <w:pPr>
              <w:pStyle w:val="698"/>
              <w:rPr>
                <w:rFonts w:hint="default" w:ascii="Times New Roman" w:hAnsi="Times New Roman" w:cs="Times New Roman"/>
                <w:color w:val="auto"/>
                <w:kern w:val="0"/>
                <w:highlight w:val="none"/>
                <w:lang w:val="zh-CN"/>
              </w:rPr>
            </w:pPr>
          </w:p>
        </w:tc>
        <w:tc>
          <w:tcPr>
            <w:tcW w:w="7273" w:type="dxa"/>
            <w:noWrap w:val="0"/>
            <w:vAlign w:val="center"/>
          </w:tcPr>
          <w:p w14:paraId="56E73F80">
            <w:pPr>
              <w:pStyle w:val="698"/>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爆炸极限（%）：（1.5—6.5）</w:t>
            </w:r>
          </w:p>
        </w:tc>
      </w:tr>
      <w:tr w14:paraId="512B6B2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continue"/>
            <w:noWrap w:val="0"/>
            <w:vAlign w:val="center"/>
          </w:tcPr>
          <w:p w14:paraId="57880AB1">
            <w:pPr>
              <w:pStyle w:val="698"/>
              <w:rPr>
                <w:rFonts w:hint="default" w:ascii="Times New Roman" w:hAnsi="Times New Roman" w:cs="Times New Roman"/>
                <w:color w:val="auto"/>
                <w:kern w:val="0"/>
                <w:highlight w:val="none"/>
                <w:lang w:val="zh-CN"/>
              </w:rPr>
            </w:pPr>
          </w:p>
        </w:tc>
        <w:tc>
          <w:tcPr>
            <w:tcW w:w="7273" w:type="dxa"/>
            <w:noWrap w:val="0"/>
            <w:vAlign w:val="center"/>
          </w:tcPr>
          <w:p w14:paraId="0D248B07">
            <w:pPr>
              <w:pStyle w:val="698"/>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危险特性：其蒸气与空气可形成爆炸性混合物，与明火易燃烧爆炸。</w:t>
            </w:r>
          </w:p>
        </w:tc>
      </w:tr>
      <w:tr w14:paraId="646F3A4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continue"/>
            <w:noWrap w:val="0"/>
            <w:vAlign w:val="center"/>
          </w:tcPr>
          <w:p w14:paraId="15B6CCD9">
            <w:pPr>
              <w:pStyle w:val="698"/>
              <w:rPr>
                <w:rFonts w:hint="default" w:ascii="Times New Roman" w:hAnsi="Times New Roman" w:cs="Times New Roman"/>
                <w:color w:val="auto"/>
                <w:kern w:val="0"/>
                <w:highlight w:val="none"/>
                <w:lang w:val="zh-CN"/>
              </w:rPr>
            </w:pPr>
          </w:p>
        </w:tc>
        <w:tc>
          <w:tcPr>
            <w:tcW w:w="7273" w:type="dxa"/>
            <w:noWrap w:val="0"/>
            <w:vAlign w:val="center"/>
          </w:tcPr>
          <w:p w14:paraId="2F861A69">
            <w:pPr>
              <w:pStyle w:val="698"/>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燃烧（分解）产物：CO、CO</w:t>
            </w:r>
            <w:r>
              <w:rPr>
                <w:rFonts w:hint="default" w:ascii="Times New Roman" w:hAnsi="Times New Roman" w:cs="Times New Roman"/>
                <w:color w:val="auto"/>
                <w:highlight w:val="none"/>
                <w:vertAlign w:val="subscript"/>
                <w:lang w:val="zh-CN"/>
              </w:rPr>
              <w:t>2</w:t>
            </w:r>
            <w:r>
              <w:rPr>
                <w:rFonts w:hint="default" w:ascii="Times New Roman" w:hAnsi="Times New Roman" w:cs="Times New Roman"/>
                <w:color w:val="auto"/>
                <w:highlight w:val="none"/>
                <w:lang w:val="zh-CN"/>
              </w:rPr>
              <w:t>、H</w:t>
            </w:r>
            <w:r>
              <w:rPr>
                <w:rFonts w:hint="default" w:ascii="Times New Roman" w:hAnsi="Times New Roman" w:cs="Times New Roman"/>
                <w:color w:val="auto"/>
                <w:highlight w:val="none"/>
                <w:vertAlign w:val="subscript"/>
                <w:lang w:val="zh-CN"/>
              </w:rPr>
              <w:t>2</w:t>
            </w:r>
            <w:r>
              <w:rPr>
                <w:rFonts w:hint="default" w:ascii="Times New Roman" w:hAnsi="Times New Roman" w:cs="Times New Roman"/>
                <w:color w:val="auto"/>
                <w:highlight w:val="none"/>
                <w:lang w:val="zh-CN"/>
              </w:rPr>
              <w:t>O</w:t>
            </w:r>
          </w:p>
        </w:tc>
      </w:tr>
      <w:tr w14:paraId="71EEE96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continue"/>
            <w:noWrap w:val="0"/>
            <w:vAlign w:val="center"/>
          </w:tcPr>
          <w:p w14:paraId="29CED45F">
            <w:pPr>
              <w:pStyle w:val="698"/>
              <w:rPr>
                <w:rFonts w:hint="default" w:ascii="Times New Roman" w:hAnsi="Times New Roman" w:cs="Times New Roman"/>
                <w:color w:val="auto"/>
                <w:kern w:val="0"/>
                <w:highlight w:val="none"/>
                <w:lang w:val="zh-CN"/>
              </w:rPr>
            </w:pPr>
          </w:p>
        </w:tc>
        <w:tc>
          <w:tcPr>
            <w:tcW w:w="7273" w:type="dxa"/>
            <w:noWrap w:val="0"/>
            <w:vAlign w:val="center"/>
          </w:tcPr>
          <w:p w14:paraId="425CA96C">
            <w:pPr>
              <w:pStyle w:val="698"/>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禁忌物：强氧化物</w:t>
            </w:r>
          </w:p>
        </w:tc>
      </w:tr>
      <w:tr w14:paraId="5A6E5B6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restart"/>
            <w:noWrap w:val="0"/>
            <w:vAlign w:val="center"/>
          </w:tcPr>
          <w:p w14:paraId="24FC339D">
            <w:pPr>
              <w:pStyle w:val="698"/>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毒性及健康危害</w:t>
            </w:r>
          </w:p>
        </w:tc>
        <w:tc>
          <w:tcPr>
            <w:tcW w:w="7273" w:type="dxa"/>
            <w:noWrap w:val="0"/>
            <w:vAlign w:val="center"/>
          </w:tcPr>
          <w:p w14:paraId="390CC5D6">
            <w:pPr>
              <w:pStyle w:val="698"/>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低毒物质。</w:t>
            </w:r>
          </w:p>
        </w:tc>
      </w:tr>
      <w:tr w14:paraId="7FF1153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vMerge w:val="continue"/>
            <w:noWrap w:val="0"/>
            <w:vAlign w:val="center"/>
          </w:tcPr>
          <w:p w14:paraId="19815C75">
            <w:pPr>
              <w:pStyle w:val="698"/>
              <w:rPr>
                <w:rFonts w:hint="default" w:ascii="Times New Roman" w:hAnsi="Times New Roman" w:cs="Times New Roman"/>
                <w:color w:val="auto"/>
                <w:kern w:val="0"/>
                <w:highlight w:val="none"/>
                <w:lang w:val="zh-CN"/>
              </w:rPr>
            </w:pPr>
          </w:p>
        </w:tc>
        <w:tc>
          <w:tcPr>
            <w:tcW w:w="7273" w:type="dxa"/>
            <w:noWrap w:val="0"/>
            <w:vAlign w:val="center"/>
          </w:tcPr>
          <w:p w14:paraId="6FA87F8F">
            <w:pPr>
              <w:pStyle w:val="698"/>
              <w:ind w:firstLine="382" w:firstLineChars="200"/>
              <w:jc w:val="both"/>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侵入途径：吸入、食入、经皮肤吸收</w:t>
            </w:r>
          </w:p>
          <w:p w14:paraId="013F386F">
            <w:pPr>
              <w:pStyle w:val="698"/>
              <w:ind w:firstLine="382" w:firstLineChars="200"/>
              <w:jc w:val="both"/>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健康危害：主要作用于中枢神经系统，急性中毒症状有头晕、头痛、恶心、呕吐、步态不稳、共济失调。高浓度吸入出现中毒性脑病。极高浓度吸入引起意识突然丧失，反射性呼吸停止及化学性肺炎。可致角膜溃疡、穿孔，甚至失明。皮肤接触致急性接触性皮炎或过敏性皮炎。急性经口中毒引起急性胃肠炎，重者出现类似急性吸入中毒症状。</w:t>
            </w:r>
          </w:p>
          <w:p w14:paraId="2795FA92">
            <w:pPr>
              <w:pStyle w:val="698"/>
              <w:ind w:firstLine="382" w:firstLineChars="200"/>
              <w:jc w:val="both"/>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慢性中毒：神经衰弱综合征，周围神经病，皮肤损害。</w:t>
            </w:r>
          </w:p>
        </w:tc>
      </w:tr>
      <w:tr w14:paraId="2CCEDC5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noWrap w:val="0"/>
            <w:vAlign w:val="center"/>
          </w:tcPr>
          <w:p w14:paraId="7AFD720F">
            <w:pPr>
              <w:pStyle w:val="698"/>
              <w:rPr>
                <w:rFonts w:hint="default" w:ascii="Times New Roman" w:hAnsi="Times New Roman" w:cs="Times New Roman"/>
                <w:color w:val="auto"/>
                <w:kern w:val="0"/>
                <w:highlight w:val="none"/>
                <w:lang w:val="zh-CN"/>
              </w:rPr>
            </w:pPr>
            <w:r>
              <w:rPr>
                <w:rFonts w:hint="default" w:ascii="Times New Roman" w:hAnsi="Times New Roman" w:cs="Times New Roman"/>
                <w:color w:val="auto"/>
                <w:kern w:val="0"/>
                <w:highlight w:val="none"/>
                <w:lang w:val="zh-CN"/>
              </w:rPr>
              <w:t>防护措施</w:t>
            </w:r>
          </w:p>
        </w:tc>
        <w:tc>
          <w:tcPr>
            <w:tcW w:w="7273" w:type="dxa"/>
            <w:noWrap w:val="0"/>
            <w:vAlign w:val="center"/>
          </w:tcPr>
          <w:p w14:paraId="08B576F0">
            <w:pPr>
              <w:pStyle w:val="698"/>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工程控制：密闭操作，全面通风，工作现场严禁火种。</w:t>
            </w:r>
          </w:p>
          <w:p w14:paraId="01FEB1EA">
            <w:pPr>
              <w:pStyle w:val="698"/>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身体防护：穿防静电工作服。</w:t>
            </w:r>
          </w:p>
          <w:p w14:paraId="736081CD">
            <w:pPr>
              <w:pStyle w:val="698"/>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手防护：戴耐油手套。</w:t>
            </w:r>
          </w:p>
        </w:tc>
      </w:tr>
      <w:tr w14:paraId="1F82D3B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69" w:type="dxa"/>
            <w:noWrap w:val="0"/>
            <w:vAlign w:val="center"/>
          </w:tcPr>
          <w:p w14:paraId="190E7AFB">
            <w:pPr>
              <w:pStyle w:val="698"/>
              <w:rPr>
                <w:rFonts w:hint="default" w:ascii="Times New Roman" w:hAnsi="Times New Roman" w:cs="Times New Roman"/>
                <w:color w:val="auto"/>
                <w:kern w:val="0"/>
                <w:highlight w:val="none"/>
                <w:lang w:val="zh-CN"/>
              </w:rPr>
            </w:pPr>
            <w:r>
              <w:rPr>
                <w:rFonts w:hint="default" w:ascii="Times New Roman" w:hAnsi="Times New Roman" w:cs="Times New Roman"/>
                <w:color w:val="auto"/>
                <w:kern w:val="0"/>
                <w:highlight w:val="none"/>
                <w:lang w:val="zh-CN"/>
              </w:rPr>
              <w:t>储运</w:t>
            </w:r>
          </w:p>
        </w:tc>
        <w:tc>
          <w:tcPr>
            <w:tcW w:w="7273" w:type="dxa"/>
            <w:noWrap w:val="0"/>
            <w:vAlign w:val="center"/>
          </w:tcPr>
          <w:p w14:paraId="244494D1">
            <w:pPr>
              <w:pStyle w:val="698"/>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存储要保持容器密封，要有防火、防爆技术措施，禁止使用易产生火花的机械设备和工具。灌装时应注意流速。且有接地装置，防止静电积聚。</w:t>
            </w:r>
          </w:p>
        </w:tc>
      </w:tr>
    </w:tbl>
    <w:p w14:paraId="360F2311">
      <w:pPr>
        <w:pStyle w:val="5"/>
        <w:numPr>
          <w:ilvl w:val="2"/>
          <w:numId w:val="40"/>
        </w:numPr>
        <w:bidi w:val="0"/>
        <w:ind w:left="452" w:leftChars="0" w:firstLine="0" w:firstLineChars="0"/>
        <w:rPr>
          <w:rFonts w:hint="default"/>
          <w:color w:val="auto"/>
          <w:highlight w:val="none"/>
        </w:rPr>
      </w:pPr>
      <w:r>
        <w:rPr>
          <w:rFonts w:hint="eastAsia"/>
          <w:color w:val="auto"/>
          <w:highlight w:val="none"/>
          <w:lang w:eastAsia="zh-CN"/>
        </w:rPr>
        <w:t>风险事故类型分析</w:t>
      </w:r>
    </w:p>
    <w:p w14:paraId="73350F7F">
      <w:pPr>
        <w:pStyle w:val="410"/>
        <w:rPr>
          <w:rFonts w:hint="eastAsia" w:eastAsia="宋体"/>
          <w:color w:val="auto"/>
          <w:highlight w:val="none"/>
          <w:lang w:val="en-US" w:eastAsia="zh-CN"/>
        </w:rPr>
      </w:pPr>
      <w:r>
        <w:rPr>
          <w:rFonts w:hint="eastAsia"/>
          <w:color w:val="auto"/>
          <w:highlight w:val="none"/>
          <w:lang w:val="en-US" w:eastAsia="zh-CN"/>
        </w:rPr>
        <w:t>（1）施工期产生的施工废水、运输车辆冲洗废水、基坑废水、淤泥渗滤液无序排放至周边水体，对周边地表水环境造成水质污染事故的风险。</w:t>
      </w:r>
    </w:p>
    <w:p w14:paraId="733CA307">
      <w:pPr>
        <w:pStyle w:val="410"/>
        <w:rPr>
          <w:rFonts w:hint="default"/>
          <w:color w:val="auto"/>
          <w:highlight w:val="none"/>
          <w:lang w:val="en-US" w:eastAsia="zh-CN"/>
        </w:rPr>
      </w:pPr>
      <w:r>
        <w:rPr>
          <w:rFonts w:hint="eastAsia"/>
          <w:color w:val="auto"/>
          <w:highlight w:val="none"/>
          <w:lang w:val="en-US" w:eastAsia="zh-CN"/>
        </w:rPr>
        <w:t>（2））施工期施工围堰的设置和拆除，水系改造段清淤等施工作业过程中施工设备油等的泄漏造成周边水体水质污染事故的风险。</w:t>
      </w:r>
    </w:p>
    <w:p w14:paraId="044A0F69">
      <w:pPr>
        <w:pStyle w:val="5"/>
        <w:numPr>
          <w:ilvl w:val="2"/>
          <w:numId w:val="40"/>
        </w:numPr>
        <w:bidi w:val="0"/>
        <w:ind w:left="452" w:leftChars="0" w:firstLine="0" w:firstLineChars="0"/>
        <w:rPr>
          <w:rFonts w:hint="default"/>
          <w:color w:val="auto"/>
          <w:highlight w:val="none"/>
        </w:rPr>
      </w:pPr>
      <w:r>
        <w:rPr>
          <w:rFonts w:hint="default"/>
          <w:color w:val="auto"/>
          <w:highlight w:val="none"/>
        </w:rPr>
        <w:t>环境风险</w:t>
      </w:r>
      <w:r>
        <w:rPr>
          <w:rFonts w:hint="default"/>
          <w:color w:val="auto"/>
          <w:highlight w:val="none"/>
          <w:lang w:val="en-US" w:eastAsia="zh-CN"/>
        </w:rPr>
        <w:t>分析</w:t>
      </w:r>
    </w:p>
    <w:p w14:paraId="0AAD8ECD">
      <w:pPr>
        <w:pStyle w:val="6"/>
        <w:numPr>
          <w:ilvl w:val="3"/>
          <w:numId w:val="40"/>
        </w:numPr>
        <w:bidi w:val="0"/>
        <w:ind w:left="0" w:leftChars="0" w:firstLine="0" w:firstLineChars="0"/>
        <w:rPr>
          <w:rFonts w:hint="default"/>
          <w:color w:val="auto"/>
          <w:highlight w:val="none"/>
        </w:rPr>
      </w:pPr>
      <w:r>
        <w:rPr>
          <w:rFonts w:hint="default"/>
          <w:color w:val="auto"/>
          <w:highlight w:val="none"/>
          <w:lang w:val="en-US" w:eastAsia="zh-CN"/>
        </w:rPr>
        <w:t>施工期</w:t>
      </w:r>
      <w:r>
        <w:rPr>
          <w:rFonts w:hint="default"/>
          <w:color w:val="auto"/>
          <w:highlight w:val="none"/>
        </w:rPr>
        <w:t>环境风险分析</w:t>
      </w:r>
    </w:p>
    <w:p w14:paraId="0E0E3EA8">
      <w:pPr>
        <w:pStyle w:val="41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（1）废水事故排放风险</w:t>
      </w:r>
    </w:p>
    <w:p w14:paraId="742A04B0">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施工期由于人为操作不当等因素可能导致施工污废水未经处理或处理不达标的废水外排风险，对项目所在区域的地表水环境造成一定程度的影响。根据工程分析结果，本项目施工期主要废水为施工废水</w:t>
      </w:r>
      <w:r>
        <w:rPr>
          <w:rFonts w:hint="eastAsia" w:ascii="Times New Roman" w:cs="Times New Roman"/>
          <w:color w:val="auto"/>
          <w:highlight w:val="none"/>
          <w:lang w:eastAsia="zh-CN"/>
        </w:rPr>
        <w:t>、车辆冲洗废水、基坑废水、淤泥渗滤液、</w:t>
      </w:r>
      <w:r>
        <w:rPr>
          <w:rFonts w:hint="eastAsia" w:ascii="Times New Roman" w:cs="Times New Roman"/>
          <w:color w:val="auto"/>
          <w:highlight w:val="none"/>
          <w:u w:val="single"/>
          <w:lang w:val="en-US" w:eastAsia="zh-CN"/>
        </w:rPr>
        <w:t>临时中转场淋溶水、施工区初期雨水</w:t>
      </w:r>
      <w:r>
        <w:rPr>
          <w:rFonts w:hint="default" w:ascii="Times New Roman" w:hAnsi="Times New Roman" w:cs="Times New Roman"/>
          <w:color w:val="auto"/>
          <w:highlight w:val="none"/>
          <w:u w:val="single"/>
        </w:rPr>
        <w:t>，</w:t>
      </w:r>
      <w:r>
        <w:rPr>
          <w:rFonts w:hint="default" w:ascii="Times New Roman" w:hAnsi="Times New Roman" w:cs="Times New Roman"/>
          <w:color w:val="auto"/>
          <w:highlight w:val="none"/>
        </w:rPr>
        <w:t>施工废水经</w:t>
      </w:r>
      <w:r>
        <w:rPr>
          <w:rFonts w:hint="eastAsia" w:ascii="Times New Roman" w:cs="Times New Roman"/>
          <w:color w:val="auto"/>
          <w:highlight w:val="none"/>
          <w:lang w:eastAsia="zh-CN"/>
        </w:rPr>
        <w:t>临时沉淀池</w:t>
      </w:r>
      <w:r>
        <w:rPr>
          <w:rFonts w:hint="default" w:ascii="Times New Roman" w:hAnsi="Times New Roman" w:cs="Times New Roman"/>
          <w:color w:val="auto"/>
          <w:highlight w:val="none"/>
        </w:rPr>
        <w:t>沉淀后回用于场地降尘</w:t>
      </w:r>
      <w:r>
        <w:rPr>
          <w:rFonts w:hint="eastAsia" w:ascii="Times New Roman" w:cs="Times New Roman"/>
          <w:color w:val="auto"/>
          <w:highlight w:val="none"/>
          <w:lang w:eastAsia="zh-CN"/>
        </w:rPr>
        <w:t>，不外排；车辆冲洗废水经隔油沉淀后回用于洒水降尘，不外排；生活污水依托租用民房的生活污水处理设施进行处置，不外排；基坑废水经沉淀池沉淀后回用于施工场地洒水，不外排；淤泥渗滤液经临时中转场设施的临时排水沟，收集至临时沉淀池内沉淀，</w:t>
      </w:r>
      <w:r>
        <w:rPr>
          <w:rFonts w:hint="eastAsia" w:ascii="Times New Roman" w:cs="Times New Roman"/>
          <w:color w:val="auto"/>
          <w:highlight w:val="none"/>
          <w:lang w:val="en-US" w:eastAsia="zh-CN"/>
        </w:rPr>
        <w:t>不外排；</w:t>
      </w:r>
      <w:r>
        <w:rPr>
          <w:rFonts w:hint="eastAsia" w:ascii="Times New Roman" w:cs="Times New Roman"/>
          <w:color w:val="auto"/>
          <w:highlight w:val="none"/>
          <w:u w:val="single"/>
          <w:lang w:val="en-US" w:eastAsia="zh-CN"/>
        </w:rPr>
        <w:t>临时中转场淋溶废水经临时中转场两侧的淋溶废水收集池收集沉淀后，回用于施工区洒水降尘、道路洒水降尘及运输车辆冲洗用水，不外排；施工区初期雨水经各施工区域的初期雨水池收集沉淀后，回用于施工区洒水降尘、道路洒水降尘及运输车辆冲洗用水，不外排；</w:t>
      </w:r>
      <w:r>
        <w:rPr>
          <w:rFonts w:hint="eastAsia" w:ascii="Times New Roman" w:cs="Times New Roman"/>
          <w:color w:val="auto"/>
          <w:highlight w:val="none"/>
          <w:lang w:val="en-US" w:eastAsia="zh-CN"/>
        </w:rPr>
        <w:t>，</w:t>
      </w:r>
      <w:r>
        <w:rPr>
          <w:rFonts w:hint="eastAsia" w:ascii="Times New Roman" w:cs="Times New Roman"/>
          <w:color w:val="auto"/>
          <w:highlight w:val="none"/>
          <w:lang w:eastAsia="zh-CN"/>
        </w:rPr>
        <w:t>沉淀</w:t>
      </w:r>
      <w:r>
        <w:rPr>
          <w:rFonts w:hint="default" w:ascii="Times New Roman" w:hAnsi="Times New Roman" w:cs="Times New Roman"/>
          <w:color w:val="auto"/>
          <w:highlight w:val="none"/>
        </w:rPr>
        <w:t>施工期间只要建设单位确保各类环保措施正常进行，加强施工车辆、施工机械管理，杜绝污水事故排放造成附近水域污染物超标，施工期间发生河道水质污染的风险概率可以降至最低。</w:t>
      </w:r>
    </w:p>
    <w:p w14:paraId="07221450">
      <w:pPr>
        <w:pStyle w:val="41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（2）施工期油料储运过程中泄漏事故风险分析</w:t>
      </w:r>
    </w:p>
    <w:p w14:paraId="676C35FE">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施工期围堰施工以及燃油使用过程中，可能会由于自然灾害或人为操作失误可能引起油品泄漏、施工过程中由于车辆侧翻或者施工机械老化导致漏油事故发生。一旦发生燃油泄漏事故，油品进入地表水后很快扩散成油膜，然后在水流、风流作用下产生漂移，同时溢油本身扩散的等效源油膜还将不断地扩散增大。油膜破坏后，将在水力和风力作用下继续发生蒸发、溶解、分散、乳化、氧化、生物降解等，受环境因素影响所发生的物理化学变化，逐步消散。溢油会对水体产生瞬间、强负荷污染，将会对水体的生态环境和水质产生较大的污染影响。溢油对环境的危害主要体现在以下几个方面：</w:t>
      </w:r>
    </w:p>
    <w:p w14:paraId="362F0CCA">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1）对水质的影响分析</w:t>
      </w:r>
    </w:p>
    <w:p w14:paraId="46139D8E">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油品密度较小且不溶于水，进入水体后，将漂浮在水面上并在重力的作用下迅速扩散，形成油膜，在水流及风联合作用下</w:t>
      </w:r>
      <w:r>
        <w:rPr>
          <w:rFonts w:hint="default" w:ascii="Times New Roman" w:hAnsi="Times New Roman" w:cs="Times New Roman"/>
          <w:color w:val="auto"/>
          <w:highlight w:val="none"/>
          <w:lang w:eastAsia="zh-CN"/>
        </w:rPr>
        <w:t>漂移</w:t>
      </w:r>
      <w:r>
        <w:rPr>
          <w:rFonts w:hint="default" w:ascii="Times New Roman" w:hAnsi="Times New Roman" w:cs="Times New Roman"/>
          <w:color w:val="auto"/>
          <w:highlight w:val="none"/>
        </w:rPr>
        <w:t>和扩散。同时，使下覆水体中的石油类、挥发酚等特征因子浓度升高。此外，油膜阻碍水汽交换与阳光照射，抑制水中浮游植物的光合作用，致使水中溶解氧逐渐减少，使河道水质进一步恶化。</w:t>
      </w:r>
    </w:p>
    <w:p w14:paraId="49B7ECDF">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2）对水生生物影响分析</w:t>
      </w:r>
    </w:p>
    <w:p w14:paraId="2BDDB040">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一旦发生危险品污染事故，将造成一定范围内水域污染现象，对水体中的生物、鱼类影响较大。以石油污染为例，其危害是由石油的化学组成、特性及其在水体中的存在形式决定。在石油不同组分中，低沸点的</w:t>
      </w:r>
      <w:r>
        <w:rPr>
          <w:rFonts w:hint="default" w:ascii="Times New Roman" w:hAnsi="Times New Roman" w:cs="Times New Roman"/>
          <w:color w:val="auto"/>
          <w:highlight w:val="none"/>
          <w:lang w:eastAsia="zh-CN"/>
        </w:rPr>
        <w:t>芳香精</w:t>
      </w:r>
      <w:r>
        <w:rPr>
          <w:rFonts w:hint="default" w:ascii="Times New Roman" w:hAnsi="Times New Roman" w:cs="Times New Roman"/>
          <w:color w:val="auto"/>
          <w:highlight w:val="none"/>
        </w:rPr>
        <w:t>对一切生物均有毒性，而高沸点的</w:t>
      </w:r>
      <w:r>
        <w:rPr>
          <w:rFonts w:hint="default" w:ascii="Times New Roman" w:hAnsi="Times New Roman" w:cs="Times New Roman"/>
          <w:color w:val="auto"/>
          <w:highlight w:val="none"/>
          <w:lang w:eastAsia="zh-CN"/>
        </w:rPr>
        <w:t>芳香精</w:t>
      </w:r>
      <w:r>
        <w:rPr>
          <w:rFonts w:hint="default" w:ascii="Times New Roman" w:hAnsi="Times New Roman" w:cs="Times New Roman"/>
          <w:color w:val="auto"/>
          <w:highlight w:val="none"/>
        </w:rPr>
        <w:t>则是长效毒性，会对水生生物生命构成威胁和危害直至死亡。</w:t>
      </w:r>
    </w:p>
    <w:p w14:paraId="2623CD5F">
      <w:pPr>
        <w:pStyle w:val="410"/>
        <w:rPr>
          <w:rFonts w:hint="default" w:ascii="Times New Roman" w:hAnsi="Times New Roman" w:cs="Times New Roman"/>
          <w:color w:val="auto"/>
          <w:highlight w:val="none"/>
        </w:rPr>
      </w:pPr>
      <w:r>
        <w:rPr>
          <w:rFonts w:hint="eastAsia" w:ascii="Times New Roman" w:cs="Times New Roman"/>
          <w:color w:val="auto"/>
          <w:highlight w:val="none"/>
          <w:lang w:val="en-US" w:eastAsia="zh-CN"/>
        </w:rPr>
        <w:t>3</w:t>
      </w:r>
      <w:r>
        <w:rPr>
          <w:rFonts w:hint="default" w:ascii="Times New Roman" w:hAnsi="Times New Roman" w:cs="Times New Roman"/>
          <w:color w:val="auto"/>
          <w:highlight w:val="none"/>
        </w:rPr>
        <w:t>）对鱼类的影响</w:t>
      </w:r>
    </w:p>
    <w:p w14:paraId="11FB2CDC">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国内外许多的研究表明高浓度的石油会使鱼卵、仔幼鱼短时间内中毒死亡，低浓度的长期亚急性毒性可干扰鱼类摄食和繁殖，其毒性随石油组分的不同而有差异。泄漏事件对影响范围内鱼类的影响是多方面的。油类通过鱼类呼吸、代谢、体表渗透和生物链传输富集于生物体内，而导致对鱼类的毒性，其症状主要表现为致死性、神经性、对造血功能的损失和酶活性的抑制；慢性中毒影响，即在小剂量、低浓度之下，仍表现代谢毒性、生活毒性以及“致癌、致畸、致突变”的三致毒理效应。此外，水体中一旦发生油污染，扩散的油分子会迅速随风及水的流动而扩散，鱼类等水产资源一旦与其接触，即会在短时间内发生油臭，从而影响其食用价值。</w:t>
      </w:r>
    </w:p>
    <w:p w14:paraId="68B5D6D3">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①对鱼类的急性毒性测试</w:t>
      </w:r>
    </w:p>
    <w:p w14:paraId="3610E933">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根据相关资料，石油类对鲤鱼仔鱼96hLC50值为0.5～3.0mg/L，因此污染带瞬时高浓度排放（即事故性排放）可导致急性中毒死鱼事故，故必须对油料运输车辆进行严格管控。</w:t>
      </w:r>
    </w:p>
    <w:p w14:paraId="4B3E0E86">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②石油类在鱼体内的蓄积残留分析</w:t>
      </w:r>
    </w:p>
    <w:p w14:paraId="2257580D">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污染因子石油类在鱼体内的积累和残留可引起鱼类慢性中毒而带来长效的污染影响，这种影响不仅可引起鱼类资源的变动，甚至会引起鱼类种质的变异。鱼类一旦与油分子接触就会在短时间内发生油臭，从而影响其食用价值。以20号燃料油为例，当石油类浓度为0.01mg/L时，7天之内就能对大部分的鱼、虾产生油味，30天内会使绝大多数鱼类产生异味。</w:t>
      </w:r>
    </w:p>
    <w:p w14:paraId="1D29B66A">
      <w:pPr>
        <w:pStyle w:val="410"/>
        <w:rPr>
          <w:rFonts w:hint="default" w:ascii="Times New Roman" w:hAnsi="Times New Roman" w:cs="Times New Roman"/>
          <w:color w:val="auto"/>
          <w:highlight w:val="none"/>
        </w:rPr>
      </w:pPr>
      <w:r>
        <w:rPr>
          <w:rFonts w:hint="eastAsia" w:ascii="Times New Roman" w:cs="Times New Roman"/>
          <w:color w:val="auto"/>
          <w:highlight w:val="none"/>
          <w:lang w:val="en-US" w:eastAsia="zh-CN"/>
        </w:rPr>
        <w:t>4</w:t>
      </w:r>
      <w:r>
        <w:rPr>
          <w:rFonts w:hint="default" w:ascii="Times New Roman" w:hAnsi="Times New Roman" w:cs="Times New Roman"/>
          <w:color w:val="auto"/>
          <w:highlight w:val="none"/>
        </w:rPr>
        <w:t>）对浮游植物的影响</w:t>
      </w:r>
    </w:p>
    <w:p w14:paraId="7EA464E1">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实验证明石油会破坏浮游植物细胞，损坏叶绿素及干扰气体交换，从而妨碍它们的光合作用。这种破坏作用程度取决于石油的类型、浓度及浮游植物的种类。根据国内外许多毒性实验结果表明，作为鱼、虾类饵料基础的浮游植物，对各类油类的耐受能力都很低。一般浮游植物石油急性中毒致死浓度为0.1~10.0mg/L，一般为1.0～3.6mg/L，对于更敏感的种类，油浓度低于0.1mgL时，也会妨碍细胞的分裂和生长的速率。</w:t>
      </w:r>
    </w:p>
    <w:p w14:paraId="3587B06E">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综上所述，该项目施工期一旦发生溢油事故，污染因子石油类将会对水域内鱼类的急性中毒、在鱼体内的蓄积残留产生较大的负面影响，而且对浮游植物也会产生一定的影响，项目均在枯水期进行施工，</w:t>
      </w:r>
      <w:r>
        <w:rPr>
          <w:rFonts w:hint="eastAsia" w:ascii="Times New Roman" w:cs="Times New Roman"/>
          <w:color w:val="auto"/>
          <w:highlight w:val="none"/>
          <w:lang w:eastAsia="zh-CN"/>
        </w:rPr>
        <w:t>施工前对水系改造段局部涉水部分设置土石方围堰，无水下施工，对浮游生物影响较小</w:t>
      </w:r>
      <w:r>
        <w:rPr>
          <w:rFonts w:hint="default" w:ascii="Times New Roman" w:hAnsi="Times New Roman" w:cs="Times New Roman"/>
          <w:color w:val="auto"/>
          <w:highlight w:val="none"/>
        </w:rPr>
        <w:t>。施工机械或车辆出现溢油情况，仅对小范围区域有影响，其对水质影响较小。为防止风险事故，故建设单位必须严格落实本报告书提出的各项风险防范措施和事故应急预案。</w:t>
      </w:r>
    </w:p>
    <w:p w14:paraId="1251160F">
      <w:pPr>
        <w:pStyle w:val="6"/>
        <w:numPr>
          <w:ilvl w:val="3"/>
          <w:numId w:val="40"/>
        </w:numPr>
        <w:bidi w:val="0"/>
        <w:ind w:left="0" w:leftChars="0" w:firstLine="0" w:firstLineChars="0"/>
        <w:rPr>
          <w:rFonts w:hint="default"/>
          <w:color w:val="auto"/>
          <w:highlight w:val="none"/>
        </w:rPr>
      </w:pPr>
      <w:r>
        <w:rPr>
          <w:rFonts w:hint="eastAsia"/>
          <w:color w:val="auto"/>
          <w:highlight w:val="none"/>
          <w:lang w:val="en-US" w:eastAsia="zh-CN"/>
        </w:rPr>
        <w:t>运营期</w:t>
      </w:r>
      <w:r>
        <w:rPr>
          <w:rFonts w:hint="default"/>
          <w:color w:val="auto"/>
          <w:highlight w:val="none"/>
          <w:lang w:val="en-US" w:eastAsia="zh-CN"/>
        </w:rPr>
        <w:t>风险分析</w:t>
      </w:r>
    </w:p>
    <w:p w14:paraId="4FA546D1">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本项目为非污染项目，运行期基本上不产生污染物，发生环境风险概率很小。</w:t>
      </w:r>
    </w:p>
    <w:p w14:paraId="53B55C41">
      <w:pPr>
        <w:pStyle w:val="5"/>
        <w:numPr>
          <w:ilvl w:val="2"/>
          <w:numId w:val="40"/>
        </w:numPr>
        <w:bidi w:val="0"/>
        <w:ind w:left="452" w:leftChars="0" w:firstLine="0" w:firstLineChars="0"/>
        <w:rPr>
          <w:rFonts w:hint="default"/>
          <w:color w:val="auto"/>
          <w:highlight w:val="none"/>
        </w:rPr>
      </w:pPr>
      <w:r>
        <w:rPr>
          <w:rFonts w:hint="default"/>
          <w:color w:val="auto"/>
          <w:highlight w:val="none"/>
        </w:rPr>
        <w:t>环境风险防范措施</w:t>
      </w:r>
    </w:p>
    <w:p w14:paraId="576D87B2">
      <w:pPr>
        <w:pStyle w:val="41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本工程建设可能造成的事故发生的频率较小，对环境破坏有限，可通过严格的管理措施降低风险发生的频率和风险事故后果。</w:t>
      </w:r>
    </w:p>
    <w:p w14:paraId="45CEA9BF">
      <w:pPr>
        <w:pStyle w:val="6"/>
        <w:numPr>
          <w:ilvl w:val="3"/>
          <w:numId w:val="40"/>
        </w:numPr>
        <w:bidi w:val="0"/>
        <w:ind w:left="0" w:leftChars="0" w:firstLine="0" w:firstLineChars="0"/>
        <w:rPr>
          <w:rFonts w:hint="default"/>
          <w:color w:val="auto"/>
          <w:highlight w:val="none"/>
        </w:rPr>
      </w:pPr>
      <w:r>
        <w:rPr>
          <w:rFonts w:hint="default"/>
          <w:color w:val="auto"/>
          <w:highlight w:val="none"/>
          <w:lang w:val="en-US" w:eastAsia="zh-CN"/>
        </w:rPr>
        <w:t>施工废污水事故排放风险防范措施</w:t>
      </w:r>
    </w:p>
    <w:p w14:paraId="564D3556">
      <w:pPr>
        <w:pStyle w:val="41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（1）加强对生产废水处理设施的日常管理，保证生活污水处理设施和基坑排水处理设施的稳定、正常运行，废水回用降尘和施工生产。</w:t>
      </w:r>
    </w:p>
    <w:p w14:paraId="66C68CF1">
      <w:pPr>
        <w:pStyle w:val="41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（2）应合理安排施工期，地质稳定性差的堤段施工时段应安排在台风、洪水等灾害少发的枯水季节；</w:t>
      </w:r>
    </w:p>
    <w:p w14:paraId="6B2B3920">
      <w:pPr>
        <w:pStyle w:val="41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（2）施工期间，做好气象灾害监测及预警，在气象台发出暴雨、台风等预报时，应对施工场地做好事前防护工作，并准备发生灾害时的人员撤离；</w:t>
      </w:r>
    </w:p>
    <w:p w14:paraId="1FB50C25">
      <w:pPr>
        <w:pStyle w:val="41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（3）施工队伍应当为具有相关资质的队伍，努力提高施工单位和施工人员的质量意识，做好工程监理工作。</w:t>
      </w:r>
    </w:p>
    <w:p w14:paraId="6241CF01">
      <w:pPr>
        <w:pStyle w:val="41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（4）加强对生产废水处理设施的管理人员进行技术培训，增强管理人员的业务能力，避免因人为操作失当引起生产废水处理设施发生故障。</w:t>
      </w:r>
    </w:p>
    <w:p w14:paraId="606138C6">
      <w:pPr>
        <w:pStyle w:val="41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（5）管理人员应加强对处理系统的巡视和水质监控，及时发现问题，立即查清事故排放源，并启动应急预案。</w:t>
      </w:r>
    </w:p>
    <w:p w14:paraId="0DE6DF77">
      <w:pPr>
        <w:pStyle w:val="41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（6）施工结束后应加强围堰内杂物的清理，避免围堰内未清理的污染物直接进入</w:t>
      </w:r>
      <w:r>
        <w:rPr>
          <w:rFonts w:hint="default" w:ascii="Times New Roman" w:hAnsi="Times New Roman" w:eastAsia="宋体" w:cs="Times New Roman"/>
          <w:color w:val="auto"/>
          <w:highlight w:val="none"/>
          <w:u w:val="none"/>
          <w:lang w:val="en-US" w:eastAsia="zh-CN"/>
        </w:rPr>
        <w:t>水系</w:t>
      </w:r>
      <w:r>
        <w:rPr>
          <w:rFonts w:hint="default" w:ascii="Times New Roman" w:hAnsi="Times New Roman" w:eastAsia="宋体" w:cs="Times New Roman"/>
          <w:color w:val="auto"/>
          <w:highlight w:val="none"/>
          <w:u w:val="none"/>
        </w:rPr>
        <w:t>。</w:t>
      </w:r>
    </w:p>
    <w:p w14:paraId="5331B5F3">
      <w:pPr>
        <w:pStyle w:val="41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（7）加强施工围堰的巡查工作，避免围堰内未处理废水直接外泄。</w:t>
      </w:r>
    </w:p>
    <w:p w14:paraId="0E42C431">
      <w:pPr>
        <w:pStyle w:val="6"/>
        <w:numPr>
          <w:ilvl w:val="3"/>
          <w:numId w:val="40"/>
        </w:numPr>
        <w:bidi w:val="0"/>
        <w:ind w:left="0" w:leftChars="0" w:firstLine="0" w:firstLineChars="0"/>
        <w:rPr>
          <w:rFonts w:hint="default"/>
          <w:color w:val="auto"/>
          <w:highlight w:val="none"/>
        </w:rPr>
      </w:pPr>
      <w:r>
        <w:rPr>
          <w:rFonts w:hint="default"/>
          <w:color w:val="auto"/>
          <w:highlight w:val="none"/>
        </w:rPr>
        <w:t>施工燃油泄漏事故风险防范措施</w:t>
      </w:r>
    </w:p>
    <w:p w14:paraId="6BBA7D2D">
      <w:pPr>
        <w:pStyle w:val="41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（1）加强施工机械和运输车辆管理，合理安排施工作业区域和顺序，合理调度施工车辆施工区，施工间距尽可能大，车</w:t>
      </w:r>
      <w:r>
        <w:rPr>
          <w:rFonts w:hint="default" w:ascii="Times New Roman" w:hAnsi="Times New Roman" w:eastAsia="宋体" w:cs="Times New Roman"/>
          <w:color w:val="auto"/>
          <w:highlight w:val="none"/>
          <w:u w:val="none"/>
          <w:lang w:eastAsia="zh-CN"/>
        </w:rPr>
        <w:t>辆在</w:t>
      </w:r>
      <w:r>
        <w:rPr>
          <w:rFonts w:hint="default" w:ascii="Times New Roman" w:hAnsi="Times New Roman" w:eastAsia="宋体" w:cs="Times New Roman"/>
          <w:color w:val="auto"/>
          <w:highlight w:val="none"/>
          <w:u w:val="none"/>
        </w:rPr>
        <w:t>道路拐弯处减速慢行，防止发生碰撞事故，以保证作业和行车安全。</w:t>
      </w:r>
    </w:p>
    <w:p w14:paraId="7BF434C7">
      <w:pPr>
        <w:pStyle w:val="41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（2）记录施工运输机械和车辆种类、数量、燃油油箱容积、事故应急措施等一系列基础资料，一旦发生事故，可以及时向指挥系统和抢险人员提供快速准确的指令，最大限度地控制事故影响。</w:t>
      </w:r>
    </w:p>
    <w:p w14:paraId="0C75E2E3">
      <w:pPr>
        <w:pStyle w:val="41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（3）加强设备的保养和定期维修，确保施工机械、车辆及各种装置设备保持良好的运行状态。</w:t>
      </w:r>
    </w:p>
    <w:p w14:paraId="250E6EB0">
      <w:pPr>
        <w:pStyle w:val="41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（4）围堰施工上下游处设置警戒区和有关水上施工标志，施工车辆应配备有效的通信设备并在指定的频道上收听，时刻提醒过往车辆，确保施工安全。</w:t>
      </w:r>
    </w:p>
    <w:p w14:paraId="2C434CBC">
      <w:pPr>
        <w:pStyle w:val="41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lang w:eastAsia="zh-CN"/>
        </w:rPr>
        <w:t>（</w:t>
      </w:r>
      <w:r>
        <w:rPr>
          <w:rFonts w:hint="default" w:ascii="Times New Roman" w:hAnsi="Times New Roman" w:eastAsia="宋体" w:cs="Times New Roman"/>
          <w:color w:val="auto"/>
          <w:highlight w:val="none"/>
          <w:u w:val="none"/>
          <w:lang w:val="en-US" w:eastAsia="zh-CN"/>
        </w:rPr>
        <w:t>5</w:t>
      </w:r>
      <w:r>
        <w:rPr>
          <w:rFonts w:hint="default" w:ascii="Times New Roman" w:hAnsi="Times New Roman" w:eastAsia="宋体" w:cs="Times New Roman"/>
          <w:color w:val="auto"/>
          <w:highlight w:val="none"/>
          <w:u w:val="none"/>
          <w:lang w:eastAsia="zh-CN"/>
        </w:rPr>
        <w:t>）</w:t>
      </w:r>
      <w:r>
        <w:rPr>
          <w:rFonts w:hint="default" w:ascii="Times New Roman" w:hAnsi="Times New Roman" w:eastAsia="宋体" w:cs="Times New Roman"/>
          <w:color w:val="auto"/>
          <w:highlight w:val="none"/>
          <w:u w:val="none"/>
        </w:rPr>
        <w:t>建立避台防汛应急预案，施工期间如遇恶劣天气必须停止施工作业。</w:t>
      </w:r>
    </w:p>
    <w:p w14:paraId="7A96A835">
      <w:pPr>
        <w:pStyle w:val="41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lang w:eastAsia="zh-CN"/>
        </w:rPr>
        <w:t>（</w:t>
      </w:r>
      <w:r>
        <w:rPr>
          <w:rFonts w:hint="default" w:ascii="Times New Roman" w:hAnsi="Times New Roman" w:eastAsia="宋体" w:cs="Times New Roman"/>
          <w:color w:val="auto"/>
          <w:highlight w:val="none"/>
          <w:u w:val="none"/>
          <w:lang w:val="en-US" w:eastAsia="zh-CN"/>
        </w:rPr>
        <w:t>6</w:t>
      </w:r>
      <w:r>
        <w:rPr>
          <w:rFonts w:hint="default" w:ascii="Times New Roman" w:hAnsi="Times New Roman" w:eastAsia="宋体" w:cs="Times New Roman"/>
          <w:color w:val="auto"/>
          <w:highlight w:val="none"/>
          <w:u w:val="none"/>
          <w:lang w:eastAsia="zh-CN"/>
        </w:rPr>
        <w:t>）</w:t>
      </w:r>
      <w:r>
        <w:rPr>
          <w:rFonts w:hint="default" w:ascii="Times New Roman" w:hAnsi="Times New Roman" w:eastAsia="宋体" w:cs="Times New Roman"/>
          <w:color w:val="auto"/>
          <w:highlight w:val="none"/>
          <w:u w:val="none"/>
        </w:rPr>
        <w:t>制定施工期燃油泄漏事故应急处理措施，配备必要的应急设施及物资。</w:t>
      </w:r>
    </w:p>
    <w:p w14:paraId="1FF765AA">
      <w:pPr>
        <w:pStyle w:val="41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lang w:eastAsia="zh-CN"/>
        </w:rPr>
        <w:t>（</w:t>
      </w:r>
      <w:r>
        <w:rPr>
          <w:rFonts w:hint="default" w:ascii="Times New Roman" w:hAnsi="Times New Roman" w:eastAsia="宋体" w:cs="Times New Roman"/>
          <w:color w:val="auto"/>
          <w:highlight w:val="none"/>
          <w:u w:val="none"/>
          <w:lang w:val="en-US" w:eastAsia="zh-CN"/>
        </w:rPr>
        <w:t>7</w:t>
      </w:r>
      <w:r>
        <w:rPr>
          <w:rFonts w:hint="default" w:ascii="Times New Roman" w:hAnsi="Times New Roman" w:eastAsia="宋体" w:cs="Times New Roman"/>
          <w:color w:val="auto"/>
          <w:highlight w:val="none"/>
          <w:u w:val="none"/>
          <w:lang w:eastAsia="zh-CN"/>
        </w:rPr>
        <w:t>）</w:t>
      </w:r>
      <w:r>
        <w:rPr>
          <w:rFonts w:hint="default" w:ascii="Times New Roman" w:hAnsi="Times New Roman" w:eastAsia="宋体" w:cs="Times New Roman"/>
          <w:color w:val="auto"/>
          <w:highlight w:val="none"/>
          <w:u w:val="none"/>
        </w:rPr>
        <w:t>发生油料泄漏事故后，应及时通报地方生态环境部门。生态环境部门接报后立即通知下游有关单位，同时派人员到现场进行监测分析，处置被污染的现场。</w:t>
      </w:r>
    </w:p>
    <w:p w14:paraId="2DFADDFF">
      <w:pPr>
        <w:pStyle w:val="6"/>
        <w:numPr>
          <w:ilvl w:val="3"/>
          <w:numId w:val="40"/>
        </w:numPr>
        <w:bidi w:val="0"/>
        <w:ind w:left="0" w:leftChars="0" w:firstLine="0" w:firstLineChars="0"/>
        <w:rPr>
          <w:rFonts w:hint="default"/>
          <w:color w:val="auto"/>
          <w:highlight w:val="none"/>
        </w:rPr>
      </w:pPr>
      <w:r>
        <w:rPr>
          <w:rFonts w:hint="eastAsia"/>
          <w:color w:val="auto"/>
          <w:highlight w:val="none"/>
          <w:lang w:val="en-US" w:eastAsia="zh-CN"/>
        </w:rPr>
        <w:t>运营期</w:t>
      </w:r>
      <w:r>
        <w:rPr>
          <w:rFonts w:hint="default"/>
          <w:color w:val="auto"/>
          <w:highlight w:val="none"/>
          <w:lang w:val="en-US" w:eastAsia="zh-CN"/>
        </w:rPr>
        <w:t>风险防范措施</w:t>
      </w:r>
    </w:p>
    <w:p w14:paraId="49B2250B">
      <w:pPr>
        <w:pStyle w:val="410"/>
        <w:rPr>
          <w:rFonts w:hint="default" w:ascii="Times New Roman" w:hAnsi="Times New Roman" w:eastAsia="宋体" w:cs="Times New Roman"/>
          <w:color w:val="auto"/>
          <w:highlight w:val="none"/>
          <w:u w:val="none"/>
          <w:lang w:eastAsia="zh-CN"/>
        </w:rPr>
      </w:pPr>
      <w:r>
        <w:rPr>
          <w:rFonts w:hint="default" w:ascii="Times New Roman" w:hAnsi="Times New Roman" w:eastAsia="宋体" w:cs="Times New Roman"/>
          <w:color w:val="auto"/>
          <w:highlight w:val="none"/>
          <w:u w:val="none"/>
          <w:lang w:eastAsia="zh-CN"/>
        </w:rPr>
        <w:t>（1）运营期应制定河道堤防工程管理的有关规章制度；</w:t>
      </w:r>
    </w:p>
    <w:p w14:paraId="29B9AD13">
      <w:pPr>
        <w:pStyle w:val="410"/>
        <w:rPr>
          <w:rFonts w:hint="default" w:ascii="Times New Roman" w:hAnsi="Times New Roman" w:eastAsia="宋体" w:cs="Times New Roman"/>
          <w:color w:val="auto"/>
          <w:highlight w:val="none"/>
          <w:u w:val="none"/>
          <w:lang w:eastAsia="zh-CN"/>
        </w:rPr>
      </w:pPr>
      <w:r>
        <w:rPr>
          <w:rFonts w:hint="default" w:ascii="Times New Roman" w:hAnsi="Times New Roman" w:eastAsia="宋体" w:cs="Times New Roman"/>
          <w:color w:val="auto"/>
          <w:highlight w:val="none"/>
          <w:u w:val="none"/>
          <w:lang w:eastAsia="zh-CN"/>
        </w:rPr>
        <w:t>（2）加强河道巡视，组织堤防工程维护</w:t>
      </w:r>
      <w:r>
        <w:rPr>
          <w:rFonts w:hint="eastAsia" w:ascii="Times New Roman" w:cs="Times New Roman"/>
          <w:color w:val="auto"/>
          <w:highlight w:val="none"/>
          <w:u w:val="none"/>
          <w:lang w:val="en-US" w:eastAsia="zh-CN"/>
        </w:rPr>
        <w:t>维修</w:t>
      </w:r>
      <w:bookmarkStart w:id="176" w:name="_GoBack"/>
      <w:bookmarkEnd w:id="176"/>
      <w:r>
        <w:rPr>
          <w:rFonts w:hint="default" w:ascii="Times New Roman" w:hAnsi="Times New Roman" w:eastAsia="宋体" w:cs="Times New Roman"/>
          <w:color w:val="auto"/>
          <w:highlight w:val="none"/>
          <w:u w:val="none"/>
          <w:lang w:eastAsia="zh-CN"/>
        </w:rPr>
        <w:t>，消除隐患，维护工程完好，确保工程安全；</w:t>
      </w:r>
    </w:p>
    <w:p w14:paraId="63EB6C01">
      <w:pPr>
        <w:pStyle w:val="410"/>
        <w:rPr>
          <w:rFonts w:hint="default" w:ascii="Times New Roman" w:hAnsi="Times New Roman" w:eastAsia="宋体" w:cs="Times New Roman"/>
          <w:color w:val="auto"/>
          <w:highlight w:val="none"/>
          <w:u w:val="none"/>
          <w:lang w:eastAsia="zh-CN"/>
        </w:rPr>
      </w:pPr>
      <w:r>
        <w:rPr>
          <w:rFonts w:hint="default" w:ascii="Times New Roman" w:hAnsi="Times New Roman" w:eastAsia="宋体" w:cs="Times New Roman"/>
          <w:color w:val="auto"/>
          <w:highlight w:val="none"/>
          <w:u w:val="none"/>
          <w:lang w:eastAsia="zh-CN"/>
        </w:rPr>
        <w:t>（3）汛期应严格按防汛要求进行河堤安全监管，当堤防工程发生重大险情和重大事故时，及时向上级主管部门请示报告和抢险。</w:t>
      </w:r>
    </w:p>
    <w:p w14:paraId="1F56573D">
      <w:pPr>
        <w:pStyle w:val="410"/>
        <w:rPr>
          <w:rFonts w:hint="default" w:ascii="Times New Roman" w:hAnsi="Times New Roman" w:eastAsia="宋体" w:cs="Times New Roman"/>
          <w:color w:val="auto"/>
          <w:highlight w:val="none"/>
          <w:u w:val="none"/>
          <w:lang w:eastAsia="zh-CN"/>
        </w:rPr>
      </w:pPr>
      <w:r>
        <w:rPr>
          <w:rFonts w:hint="default" w:ascii="Times New Roman" w:hAnsi="Times New Roman" w:eastAsia="宋体" w:cs="Times New Roman"/>
          <w:color w:val="auto"/>
          <w:highlight w:val="none"/>
          <w:u w:val="none"/>
          <w:lang w:eastAsia="zh-CN"/>
        </w:rPr>
        <w:t>（4）管理部门应加强交通管理，在居民集中区、河道等设置明显的标志，以警示驾驶员注意。教育司乘人员，若发生交通事故，出现污染物泄漏、燃烧或爆炸等污染危害，驾驶员必须及时向就近有关交通、公安、生态环境部门和当地政府报告，以便按相关要求或规定采取相应的急救措施，防止事态扩大，减少危害。</w:t>
      </w:r>
    </w:p>
    <w:p w14:paraId="6D803F16">
      <w:pPr>
        <w:pStyle w:val="41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u w:val="none"/>
          <w:lang w:eastAsia="zh-CN"/>
        </w:rPr>
        <w:t>（5）建设单位应按相关规定建设、完善风险防范设施和应急处理处置方法、编制规范的环境风险的突发性事故的应急预案，并定期演练。加强员工的思想教育工作和风险防范意识，</w:t>
      </w:r>
      <w:r>
        <w:rPr>
          <w:rFonts w:hint="default" w:ascii="Times New Roman" w:hAnsi="Times New Roman" w:cs="Times New Roman"/>
          <w:color w:val="auto"/>
          <w:highlight w:val="none"/>
        </w:rPr>
        <w:t>加强管理，定期检查，消除安全隐患。</w:t>
      </w:r>
    </w:p>
    <w:p w14:paraId="6C166316">
      <w:pPr>
        <w:pStyle w:val="5"/>
        <w:numPr>
          <w:ilvl w:val="2"/>
          <w:numId w:val="40"/>
        </w:numPr>
        <w:bidi w:val="0"/>
        <w:ind w:left="452" w:leftChars="0" w:firstLine="0" w:firstLineChars="0"/>
        <w:rPr>
          <w:rFonts w:hint="default"/>
          <w:color w:val="auto"/>
          <w:highlight w:val="none"/>
        </w:rPr>
      </w:pPr>
      <w:r>
        <w:rPr>
          <w:rFonts w:hint="default"/>
          <w:color w:val="auto"/>
          <w:highlight w:val="none"/>
        </w:rPr>
        <w:t>风险小结</w:t>
      </w:r>
    </w:p>
    <w:p w14:paraId="33F8D310">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在严格落实本报告的提出各项事故防范和应急措施，加强管理的前提下，能大大减少事故发生概率和事故发生后能及时采取有力措施，减少对环境污染。本项目在采取本报告提出的风险防范措施，并采取有效的综合管理措施的前提下，所产生的环境风险可以控制在可接受风险水平之内。</w:t>
      </w:r>
    </w:p>
    <w:p w14:paraId="4D6BC724">
      <w:pPr>
        <w:pStyle w:val="410"/>
        <w:rPr>
          <w:rFonts w:hint="default" w:ascii="Times New Roman" w:hAnsi="Times New Roman" w:cs="Times New Roman"/>
          <w:color w:val="auto"/>
          <w:highlight w:val="none"/>
        </w:rPr>
        <w:sectPr>
          <w:pgSz w:w="11906" w:h="16838"/>
          <w:pgMar w:top="1418" w:right="1514" w:bottom="1418" w:left="1780" w:header="1134" w:footer="992" w:gutter="0"/>
          <w:cols w:space="720" w:num="1"/>
          <w:docGrid w:type="linesAndChars" w:linePitch="466" w:charSpace="-3928"/>
        </w:sectPr>
      </w:pPr>
    </w:p>
    <w:p w14:paraId="1CBBCEEA">
      <w:pPr>
        <w:pStyle w:val="3"/>
        <w:numPr>
          <w:ilvl w:val="0"/>
          <w:numId w:val="40"/>
        </w:numPr>
        <w:bidi w:val="0"/>
        <w:ind w:left="425" w:leftChars="0" w:hanging="425" w:firstLineChars="0"/>
        <w:rPr>
          <w:rFonts w:hint="default"/>
          <w:color w:val="auto"/>
          <w:highlight w:val="none"/>
        </w:rPr>
      </w:pPr>
      <w:bookmarkStart w:id="122" w:name="_Toc195236173"/>
      <w:bookmarkStart w:id="123" w:name="_Toc17371"/>
      <w:r>
        <w:rPr>
          <w:rFonts w:hint="default"/>
          <w:color w:val="auto"/>
          <w:highlight w:val="none"/>
        </w:rPr>
        <w:t>环境保护措施及其可行性论</w:t>
      </w:r>
      <w:bookmarkEnd w:id="122"/>
      <w:r>
        <w:rPr>
          <w:rFonts w:hint="default"/>
          <w:color w:val="auto"/>
          <w:highlight w:val="none"/>
        </w:rPr>
        <w:t>证</w:t>
      </w:r>
      <w:bookmarkEnd w:id="123"/>
    </w:p>
    <w:p w14:paraId="26728C46">
      <w:pPr>
        <w:pStyle w:val="4"/>
        <w:numPr>
          <w:ilvl w:val="1"/>
          <w:numId w:val="40"/>
        </w:numPr>
        <w:bidi w:val="0"/>
        <w:ind w:left="678" w:leftChars="0" w:firstLine="0" w:firstLineChars="0"/>
        <w:rPr>
          <w:rFonts w:hint="default"/>
          <w:color w:val="auto"/>
          <w:highlight w:val="none"/>
        </w:rPr>
      </w:pPr>
      <w:bookmarkStart w:id="124" w:name="_Toc26517"/>
      <w:bookmarkStart w:id="125" w:name="_Toc174971566"/>
      <w:bookmarkStart w:id="126" w:name="_Toc127067676"/>
      <w:bookmarkStart w:id="127" w:name="_Toc252751417"/>
      <w:bookmarkStart w:id="128" w:name="_Toc204222949"/>
      <w:r>
        <w:rPr>
          <w:rFonts w:hint="default"/>
          <w:color w:val="auto"/>
          <w:highlight w:val="none"/>
        </w:rPr>
        <w:t>施工期环保措施及可行性分析</w:t>
      </w:r>
      <w:bookmarkEnd w:id="124"/>
    </w:p>
    <w:p w14:paraId="4A87CF00">
      <w:pPr>
        <w:pStyle w:val="5"/>
        <w:numPr>
          <w:ilvl w:val="2"/>
          <w:numId w:val="40"/>
        </w:numPr>
        <w:bidi w:val="0"/>
        <w:ind w:left="452" w:leftChars="0" w:firstLine="0" w:firstLineChars="0"/>
        <w:rPr>
          <w:rFonts w:hint="default"/>
          <w:color w:val="auto"/>
          <w:highlight w:val="none"/>
        </w:rPr>
      </w:pPr>
      <w:r>
        <w:rPr>
          <w:rFonts w:hint="default"/>
          <w:color w:val="auto"/>
          <w:highlight w:val="none"/>
        </w:rPr>
        <w:t>施工期生态保护措施及可行性分析</w:t>
      </w:r>
    </w:p>
    <w:p w14:paraId="73AD526B">
      <w:pPr>
        <w:pStyle w:val="6"/>
        <w:numPr>
          <w:ilvl w:val="3"/>
          <w:numId w:val="40"/>
        </w:numPr>
        <w:bidi w:val="0"/>
        <w:ind w:left="0" w:leftChars="0" w:firstLine="0" w:firstLineChars="0"/>
        <w:rPr>
          <w:rFonts w:hint="default"/>
          <w:color w:val="auto"/>
          <w:highlight w:val="none"/>
        </w:rPr>
      </w:pPr>
      <w:r>
        <w:rPr>
          <w:rFonts w:hint="default"/>
          <w:color w:val="auto"/>
          <w:highlight w:val="none"/>
        </w:rPr>
        <w:t>施工期陆生生态保护措施可行性分析</w:t>
      </w:r>
    </w:p>
    <w:p w14:paraId="294F6732">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（1）加强施工期环境保护管理，施工作业严格控制在征地范围内，减少占用，在项目各施工点进行围挡围护，施工机具及人员不能超出项目范围外施工，尽可能减少施工占地、施工作业对土壤和</w:t>
      </w:r>
      <w:r>
        <w:rPr>
          <w:rFonts w:hint="eastAsia"/>
          <w:color w:val="auto"/>
          <w:highlight w:val="none"/>
          <w:lang w:eastAsia="zh-CN"/>
        </w:rPr>
        <w:t>植被</w:t>
      </w:r>
      <w:r>
        <w:rPr>
          <w:rFonts w:hint="default" w:ascii="Times New Roman" w:hAnsi="Times New Roman" w:eastAsia="宋体" w:cs="Times New Roman"/>
          <w:color w:val="auto"/>
          <w:highlight w:val="none"/>
        </w:rPr>
        <w:t>的破坏。</w:t>
      </w:r>
    </w:p>
    <w:p w14:paraId="0E147A6D">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对施工人员开展野生动植物资源和生态环境保护的宣传教育；教育、约束施工人员严格保护施工区周围的绿地植被，不能随意砍伐施工场界内、外的树木，施工和生活所需的木料、燃料等尽量从钦州市周边市场购买运入，严禁在当地砍伐。</w:t>
      </w:r>
    </w:p>
    <w:p w14:paraId="0BFFA577">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（3）制定施工计划，缩短施工周期，精心组织施工管理，合理安排施工，避免开挖线过长，产生长时间的裸地。</w:t>
      </w:r>
    </w:p>
    <w:p w14:paraId="74204BCA">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（4）在各施工区，工程完工后应及时恢复植被。所有临时用地使用后，应尽快进行生态恢复。绿化及水土保持草种、树种应采用选择当地易于存活的树种及草种，不得引入外来物种。</w:t>
      </w:r>
    </w:p>
    <w:p w14:paraId="33EB792E">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（5）严格按照水土保持报告中相关措施，做好施工过程中的水土保持工作。施工期尽量避开雨季，严格控制施工范围。表土分层剥离、存放、回用，</w:t>
      </w:r>
      <w:r>
        <w:rPr>
          <w:rFonts w:hint="eastAsia" w:ascii="Times New Roman" w:cs="Times New Roman"/>
          <w:color w:val="auto"/>
          <w:highlight w:val="none"/>
          <w:lang w:eastAsia="zh-CN"/>
        </w:rPr>
        <w:t>施工前</w:t>
      </w:r>
      <w:r>
        <w:rPr>
          <w:rFonts w:hint="default" w:ascii="Times New Roman" w:hAnsi="Times New Roman" w:eastAsia="宋体" w:cs="Times New Roman"/>
          <w:color w:val="auto"/>
          <w:highlight w:val="none"/>
        </w:rPr>
        <w:t>先剥离取土场表层熟土，并对表土进行暂存，同时采取防护措施，四周采用袋装土防护；加强水土保持，及时采取适宜物种开展施工区修复；对临时堆料场采取拦挡、覆盖保护措施；修建排水沟、沉砂池疏导雨水，防止水土流失；工程建设后期，选择施工前剥离保存的表层熟土进行取土场的土壤层恢复，同时做好植被恢复种类的选择和培育，恢复的植被应保持与周边原生植被和景观的一致性。</w:t>
      </w:r>
    </w:p>
    <w:p w14:paraId="152880F7">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（6）施工期在</w:t>
      </w:r>
      <w:r>
        <w:rPr>
          <w:rFonts w:hint="eastAsia" w:ascii="Times New Roman" w:cs="Times New Roman"/>
          <w:color w:val="auto"/>
          <w:highlight w:val="none"/>
          <w:lang w:eastAsia="zh-CN"/>
        </w:rPr>
        <w:t>临时中转场及钦州港路、曲绣路回填区</w:t>
      </w:r>
      <w:r>
        <w:rPr>
          <w:rFonts w:hint="default" w:ascii="Times New Roman" w:hAnsi="Times New Roman" w:eastAsia="宋体" w:cs="Times New Roman"/>
          <w:color w:val="auto"/>
          <w:highlight w:val="none"/>
        </w:rPr>
        <w:t>设置临时围挡，截排水沟等措施，以防止施工开挖土方等被雨水冲刷、滑落至</w:t>
      </w:r>
      <w:r>
        <w:rPr>
          <w:rFonts w:hint="default" w:ascii="Times New Roman" w:hAnsi="Times New Roman" w:eastAsia="宋体" w:cs="Times New Roman"/>
          <w:color w:val="auto"/>
          <w:highlight w:val="none"/>
          <w:lang w:val="en-US" w:eastAsia="zh-CN"/>
        </w:rPr>
        <w:t>水系</w:t>
      </w:r>
      <w:r>
        <w:rPr>
          <w:rFonts w:hint="default" w:ascii="Times New Roman" w:hAnsi="Times New Roman" w:eastAsia="宋体" w:cs="Times New Roman"/>
          <w:color w:val="auto"/>
          <w:highlight w:val="none"/>
        </w:rPr>
        <w:t>，造成区域地表水环境悬浮物增大。</w:t>
      </w:r>
    </w:p>
    <w:p w14:paraId="26B67D76">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（7）施工结束后，及时对施工范围内占地进行清理和生态恢复等措施，进行土地整治，撒草籽绿化，通过对施工后生态修复措施，减少由于工程施工对陆生生态影响。</w:t>
      </w:r>
    </w:p>
    <w:p w14:paraId="4EB11804">
      <w:pPr>
        <w:pStyle w:val="41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（9）应随时跟踪气象预报，事先了解降雨时间和特点，以便在降雨前将施工点的弃土弃渣进行清运、回填的土方进行压实，并做好防护措施。</w:t>
      </w:r>
    </w:p>
    <w:p w14:paraId="2776D2DD">
      <w:pPr>
        <w:pStyle w:val="6"/>
        <w:numPr>
          <w:ilvl w:val="3"/>
          <w:numId w:val="40"/>
        </w:numPr>
        <w:bidi w:val="0"/>
        <w:ind w:left="0" w:leftChars="0" w:firstLine="0" w:firstLineChars="0"/>
        <w:rPr>
          <w:rFonts w:hint="default"/>
          <w:color w:val="auto"/>
          <w:highlight w:val="none"/>
        </w:rPr>
      </w:pPr>
      <w:r>
        <w:rPr>
          <w:rFonts w:hint="default"/>
          <w:color w:val="auto"/>
          <w:highlight w:val="none"/>
        </w:rPr>
        <w:t>施工期水生生态保护措施可行性分析</w:t>
      </w:r>
    </w:p>
    <w:p w14:paraId="66CE90AD">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涉水施工侵占了河流水面，工程施工扰动造成水体悬浮物升高，造成了局部的水生生境破坏，对水生生物特别是浮游动植物、底栖生物、鱼类等均会产生一定的不利影响。对水生生态具体保护措施详见以下内容。</w:t>
      </w:r>
    </w:p>
    <w:p w14:paraId="11F96EE7">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（1）管理措施</w:t>
      </w:r>
    </w:p>
    <w:p w14:paraId="77FCD340">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加大对《中华人民共和国野生动物保护法》、《中华人民共和国渔业法》等法律法规的学习、宣传和教育工作。</w:t>
      </w:r>
    </w:p>
    <w:p w14:paraId="7F881692">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对施工人员加强宣传，设置水生生物保护警示牌，增强施工人员的环保意识。对施工人员严格要求，禁止捕捞、伤害鱼类等野生动物，打击违法捕鱼及水生动物，如电捕鱼、炸鱼、毒鱼等，以公告、宣传单、板报和会议等形式，加强对施工人员的环境保护宣传教育和保护野生动物常识的宣传，增强施工人员的环境保护意识，使其在施工过程中能自觉保护生态环境，并遵守相关的生态保护规定。</w:t>
      </w:r>
    </w:p>
    <w:p w14:paraId="3E7D6F0C">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2）建立和完善鱼类资源保护的规章，严禁施工人员下河捕捞。加强监管，严格按环保要求施工，生活污水和施工废水按环保要求严禁直接排放，防止影响水生生物生境的污染</w:t>
      </w:r>
      <w:r>
        <w:rPr>
          <w:rFonts w:hint="default" w:ascii="Times New Roman" w:hAnsi="Times New Roman" w:eastAsia="宋体" w:cs="Times New Roman"/>
          <w:color w:val="auto"/>
          <w:highlight w:val="none"/>
          <w:lang w:eastAsia="zh-CN"/>
        </w:rPr>
        <w:t>事故发生</w:t>
      </w:r>
      <w:r>
        <w:rPr>
          <w:rFonts w:hint="default" w:ascii="Times New Roman" w:hAnsi="Times New Roman" w:eastAsia="宋体" w:cs="Times New Roman"/>
          <w:color w:val="auto"/>
          <w:highlight w:val="none"/>
        </w:rPr>
        <w:t>。</w:t>
      </w:r>
    </w:p>
    <w:p w14:paraId="140CC755">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（2）选择合理的施工工艺，加强施工管理</w:t>
      </w:r>
    </w:p>
    <w:p w14:paraId="31F95B59">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1）选择泥沙产生量小的工艺，以减少施工作业对水质及浑浊度的影响。堤防主体工程施工基本不进行涉河作业，扰动水体较少，施工过程中严格执行水土保持措施。</w:t>
      </w:r>
    </w:p>
    <w:p w14:paraId="2F76C5CD">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2）按照施工导流方案，在枯水期进行围堰施工，做好施工期的围挡，严禁向河道中</w:t>
      </w:r>
      <w:r>
        <w:rPr>
          <w:rFonts w:hint="default" w:ascii="Times New Roman" w:hAnsi="Times New Roman" w:eastAsia="宋体" w:cs="Times New Roman"/>
          <w:color w:val="auto"/>
          <w:highlight w:val="none"/>
          <w:lang w:eastAsia="zh-CN"/>
        </w:rPr>
        <w:t>抛撒</w:t>
      </w:r>
      <w:r>
        <w:rPr>
          <w:rFonts w:hint="default" w:ascii="Times New Roman" w:hAnsi="Times New Roman" w:eastAsia="宋体" w:cs="Times New Roman"/>
          <w:color w:val="auto"/>
          <w:highlight w:val="none"/>
        </w:rPr>
        <w:t>渣土，施工结束后，对围堰进行拆除，加强施工期废水治理措施，严禁未处理废水排入</w:t>
      </w:r>
      <w:r>
        <w:rPr>
          <w:rFonts w:hint="default" w:ascii="Times New Roman" w:hAnsi="Times New Roman" w:eastAsia="宋体" w:cs="Times New Roman"/>
          <w:color w:val="auto"/>
          <w:highlight w:val="none"/>
          <w:lang w:val="en-US" w:eastAsia="zh-CN"/>
        </w:rPr>
        <w:t>水系</w:t>
      </w:r>
      <w:r>
        <w:rPr>
          <w:rFonts w:hint="default" w:ascii="Times New Roman" w:hAnsi="Times New Roman" w:eastAsia="宋体" w:cs="Times New Roman"/>
          <w:color w:val="auto"/>
          <w:highlight w:val="none"/>
        </w:rPr>
        <w:t>。</w:t>
      </w:r>
    </w:p>
    <w:p w14:paraId="6B0379FC">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3）施工设备进场前做好检修，严防漏油事故的发生。未经处理的废水不得排入河道，以防止毒害水生生物和水体富营养化。</w:t>
      </w:r>
    </w:p>
    <w:p w14:paraId="382540F2">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4）对施工期间的生产废水、生活污水等严格监管，采取集中收集、回收利用</w:t>
      </w:r>
      <w:r>
        <w:rPr>
          <w:rFonts w:hint="eastAsia" w:ascii="Times New Roman" w:cs="Times New Roman"/>
          <w:color w:val="auto"/>
          <w:highlight w:val="none"/>
          <w:lang w:eastAsia="zh-CN"/>
        </w:rPr>
        <w:t>，</w:t>
      </w:r>
      <w:r>
        <w:rPr>
          <w:rFonts w:hint="default" w:ascii="Times New Roman" w:hAnsi="Times New Roman" w:eastAsia="宋体" w:cs="Times New Roman"/>
          <w:color w:val="auto"/>
          <w:highlight w:val="none"/>
        </w:rPr>
        <w:t>禁止排入河道。工程设计尽量减少对河道、河床及植被的破坏，杜绝影响鱼类生境的污染事故发生。水体周边禁止堆放材料、设置料场，严防因降雨冲刷随地表径流进入水体。</w:t>
      </w:r>
    </w:p>
    <w:p w14:paraId="3D0F30B8">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（3）繁殖期避让措施</w:t>
      </w:r>
    </w:p>
    <w:p w14:paraId="26166574">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春季（4月～6月）鱼类繁殖期间，避免临近水域施工。根据工程特点和工程量，利用枯水季节进行邻近水域施工。</w:t>
      </w:r>
    </w:p>
    <w:p w14:paraId="3E1465ED">
      <w:pPr>
        <w:pStyle w:val="5"/>
        <w:numPr>
          <w:ilvl w:val="2"/>
          <w:numId w:val="40"/>
        </w:numPr>
        <w:bidi w:val="0"/>
        <w:ind w:left="452" w:leftChars="0" w:firstLine="0" w:firstLineChars="0"/>
        <w:rPr>
          <w:rFonts w:hint="default"/>
          <w:color w:val="auto"/>
          <w:highlight w:val="none"/>
        </w:rPr>
      </w:pPr>
      <w:r>
        <w:rPr>
          <w:rFonts w:hint="default"/>
          <w:color w:val="auto"/>
          <w:highlight w:val="none"/>
        </w:rPr>
        <w:t>施工期大气污染防治措施及可行性</w:t>
      </w:r>
      <w:r>
        <w:rPr>
          <w:rFonts w:hint="default"/>
          <w:color w:val="auto"/>
          <w:highlight w:val="none"/>
          <w:lang w:eastAsia="zh-CN"/>
        </w:rPr>
        <w:t>论证</w:t>
      </w:r>
    </w:p>
    <w:p w14:paraId="1F1E7A3A">
      <w:pPr>
        <w:pStyle w:val="6"/>
        <w:numPr>
          <w:ilvl w:val="3"/>
          <w:numId w:val="40"/>
        </w:numPr>
        <w:bidi w:val="0"/>
        <w:ind w:left="0" w:leftChars="0" w:firstLine="0" w:firstLineChars="0"/>
        <w:rPr>
          <w:rFonts w:hint="default"/>
          <w:color w:val="auto"/>
          <w:highlight w:val="none"/>
        </w:rPr>
      </w:pPr>
      <w:r>
        <w:rPr>
          <w:rFonts w:hint="default"/>
          <w:color w:val="auto"/>
          <w:highlight w:val="none"/>
          <w:lang w:val="en-US" w:eastAsia="zh-CN"/>
        </w:rPr>
        <w:t>施工扬尘</w:t>
      </w:r>
      <w:r>
        <w:rPr>
          <w:rFonts w:hint="default"/>
          <w:color w:val="auto"/>
          <w:highlight w:val="none"/>
        </w:rPr>
        <w:t>防治措施可行性分析</w:t>
      </w:r>
    </w:p>
    <w:p w14:paraId="574D98B5">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根据《广西</w:t>
      </w:r>
      <w:r>
        <w:rPr>
          <w:rFonts w:hint="eastAsia" w:ascii="Times New Roman" w:hAnsi="Times New Roman" w:eastAsia="宋体" w:cs="Times New Roman"/>
          <w:color w:val="auto"/>
          <w:highlight w:val="none"/>
          <w:lang w:val="en-US" w:eastAsia="zh-CN"/>
        </w:rPr>
        <w:t>2024</w:t>
      </w:r>
      <w:r>
        <w:rPr>
          <w:rFonts w:hint="default" w:ascii="Times New Roman" w:hAnsi="Times New Roman" w:eastAsia="宋体" w:cs="Times New Roman"/>
          <w:color w:val="auto"/>
          <w:highlight w:val="none"/>
        </w:rPr>
        <w:t>年度大气污染防治实施计划》、《广西壮族自治区生态环境厅关于发布应税污染物施工扬尘排污特征值系数及计算方法的公告》（桂环规范</w:t>
      </w:r>
      <w:r>
        <w:rPr>
          <w:rFonts w:hint="eastAsia" w:ascii="Times New Roman" w:cs="Times New Roman"/>
          <w:color w:val="auto"/>
          <w:highlight w:val="none"/>
          <w:lang w:eastAsia="zh-CN"/>
        </w:rPr>
        <w:t>〔2019〕9号</w:t>
      </w:r>
      <w:r>
        <w:rPr>
          <w:rFonts w:hint="default" w:ascii="Times New Roman" w:hAnsi="Times New Roman" w:eastAsia="宋体" w:cs="Times New Roman"/>
          <w:color w:val="auto"/>
          <w:highlight w:val="none"/>
        </w:rPr>
        <w:t>）、《钦州市</w:t>
      </w:r>
      <w:r>
        <w:rPr>
          <w:rFonts w:hint="eastAsia" w:ascii="Times New Roman" w:hAnsi="Times New Roman" w:eastAsia="宋体" w:cs="Times New Roman"/>
          <w:color w:val="auto"/>
          <w:highlight w:val="none"/>
          <w:lang w:val="en-US" w:eastAsia="zh-CN"/>
        </w:rPr>
        <w:t>2023</w:t>
      </w:r>
      <w:r>
        <w:rPr>
          <w:rFonts w:hint="default" w:ascii="Times New Roman" w:hAnsi="Times New Roman" w:eastAsia="宋体" w:cs="Times New Roman"/>
          <w:color w:val="auto"/>
          <w:highlight w:val="none"/>
        </w:rPr>
        <w:t>年度大气污染防治攻坚实施方案》、《钦州市</w:t>
      </w:r>
      <w:r>
        <w:rPr>
          <w:rFonts w:hint="eastAsia" w:ascii="Times New Roman" w:hAnsi="Times New Roman" w:eastAsia="宋体" w:cs="Times New Roman"/>
          <w:color w:val="auto"/>
          <w:highlight w:val="none"/>
          <w:lang w:val="en-US" w:eastAsia="zh-CN"/>
        </w:rPr>
        <w:t>2024---2025</w:t>
      </w:r>
      <w:r>
        <w:rPr>
          <w:rFonts w:hint="default" w:ascii="Times New Roman" w:hAnsi="Times New Roman" w:eastAsia="宋体" w:cs="Times New Roman"/>
          <w:color w:val="auto"/>
          <w:highlight w:val="none"/>
        </w:rPr>
        <w:t>年秋冬季大气污染防治攻坚行动方案》及施工扬尘防治经验，施工做到周边围挡、土方开挖湿法作业、物料堆放覆盖、路面硬化、出入车辆清洗、渣土车辆密闭运输“六个百分之百”。结合项目实际对施工扬尘拟采取的措施有：</w:t>
      </w:r>
    </w:p>
    <w:p w14:paraId="465AF295">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施工现场应沿四周连续设置封闭围墙（围挡），围挡上方设置喷淋降尘装置定时洒水降尘。围挡高度不低于1.8m，围挡下方设置丕低王20cm高的防溢座以防止粉尘流失，任意两块围挡以及围挡与防溢座的拼接处都不能有大于0.5cm的缝隙，围挡不得有明显破损的漏洞：防尘布或遮蔽装置的完好率必须大于95%。</w:t>
      </w:r>
    </w:p>
    <w:p w14:paraId="6B7ED9D9">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施工场地定期洒水，防止产生大量扬尘，土方工程包括土的开挖、运输和填筑等施工过程中，应洒水使作业面保持一定的湿度；对施工场地内松散、干涸的表土，也应辅以洒水压尘，尽量缩短起尘操作时间。洒水对小范围施工裸土自然扬尘有明显的抑制效果，且简单易行；土质表层洒水压尘效果的关键是控制</w:t>
      </w:r>
      <w:r>
        <w:rPr>
          <w:rFonts w:hint="default" w:ascii="Times New Roman" w:hAnsi="Times New Roman" w:eastAsia="宋体" w:cs="Times New Roman"/>
          <w:color w:val="auto"/>
          <w:highlight w:val="none"/>
          <w:lang w:eastAsia="zh-CN"/>
        </w:rPr>
        <w:t>好洒</w:t>
      </w:r>
      <w:r>
        <w:rPr>
          <w:rFonts w:hint="default" w:ascii="Times New Roman" w:hAnsi="Times New Roman" w:eastAsia="宋体" w:cs="Times New Roman"/>
          <w:color w:val="auto"/>
          <w:highlight w:val="none"/>
        </w:rPr>
        <w:t>水量和经常有人维护。</w:t>
      </w:r>
    </w:p>
    <w:p w14:paraId="0B0A8DBF">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（3）在大风日加大洒水量及洒水</w:t>
      </w:r>
      <w:r>
        <w:rPr>
          <w:rFonts w:hint="default" w:ascii="Times New Roman" w:hAnsi="Times New Roman" w:eastAsia="宋体" w:cs="Times New Roman"/>
          <w:color w:val="auto"/>
          <w:highlight w:val="none"/>
          <w:lang w:eastAsia="zh-CN"/>
        </w:rPr>
        <w:t>频次</w:t>
      </w:r>
      <w:r>
        <w:rPr>
          <w:rFonts w:hint="default" w:ascii="Times New Roman" w:hAnsi="Times New Roman" w:eastAsia="宋体" w:cs="Times New Roman"/>
          <w:color w:val="auto"/>
          <w:highlight w:val="none"/>
        </w:rPr>
        <w:t>，到四级以上大风天气或者重污染天气预警时，应当停止土方作业，避免进行挖掘、回填等大土方量作业，同时作业处采取覆以防尘网等防尘措施。</w:t>
      </w:r>
    </w:p>
    <w:p w14:paraId="1917CA11">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（3）尽可能缩短施工时间，提高施工效率，减少地表裸露的时间。</w:t>
      </w:r>
    </w:p>
    <w:p w14:paraId="1CB2E8C0">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（4）加强施工区的规划管理：建筑材料的堆场定点定位，建筑物料放需防尘网遮盖，喷淋洒水等，采取防风、防尘、抑尘措施，如在大风天气，对</w:t>
      </w:r>
      <w:r>
        <w:rPr>
          <w:rFonts w:hint="eastAsia"/>
          <w:color w:val="auto"/>
          <w:highlight w:val="none"/>
          <w:lang w:eastAsia="zh-CN"/>
        </w:rPr>
        <w:t>临时中转场</w:t>
      </w:r>
      <w:r>
        <w:rPr>
          <w:rFonts w:hint="default" w:ascii="Times New Roman" w:hAnsi="Times New Roman" w:eastAsia="宋体" w:cs="Times New Roman"/>
          <w:color w:val="auto"/>
          <w:highlight w:val="none"/>
        </w:rPr>
        <w:t>采取洒水、密闭存储、围挡、防尘布苫盖等防尘措施，以减少建设过程中使用的建筑材料在装卸、堆放、装卸转运过程中的粉尘</w:t>
      </w:r>
      <w:r>
        <w:rPr>
          <w:rFonts w:hint="default" w:ascii="Times New Roman" w:hAnsi="Times New Roman" w:eastAsia="宋体" w:cs="Times New Roman"/>
          <w:color w:val="auto"/>
          <w:highlight w:val="none"/>
          <w:lang w:eastAsia="zh-CN"/>
        </w:rPr>
        <w:t>外溢</w:t>
      </w:r>
      <w:r>
        <w:rPr>
          <w:rFonts w:hint="default" w:ascii="Times New Roman" w:hAnsi="Times New Roman" w:eastAsia="宋体" w:cs="Times New Roman"/>
          <w:color w:val="auto"/>
          <w:highlight w:val="none"/>
        </w:rPr>
        <w:t>，降低工程建设对当地的空气污染。</w:t>
      </w:r>
    </w:p>
    <w:p w14:paraId="3EB77BFA">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（5）使用商品混凝土</w:t>
      </w:r>
      <w:r>
        <w:rPr>
          <w:rFonts w:hint="eastAsia" w:ascii="Times New Roman" w:cs="Times New Roman"/>
          <w:color w:val="auto"/>
          <w:highlight w:val="none"/>
          <w:lang w:eastAsia="zh-CN"/>
        </w:rPr>
        <w:t>，</w:t>
      </w:r>
      <w:r>
        <w:rPr>
          <w:rFonts w:hint="default" w:ascii="Times New Roman" w:hAnsi="Times New Roman" w:eastAsia="宋体" w:cs="Times New Roman"/>
          <w:color w:val="auto"/>
          <w:highlight w:val="none"/>
        </w:rPr>
        <w:t>施工场地不进行</w:t>
      </w:r>
      <w:r>
        <w:rPr>
          <w:rFonts w:hint="eastAsia" w:ascii="Times New Roman" w:cs="Times New Roman"/>
          <w:color w:val="auto"/>
          <w:highlight w:val="none"/>
          <w:lang w:eastAsia="zh-CN"/>
        </w:rPr>
        <w:t>混凝土搅拌</w:t>
      </w:r>
      <w:r>
        <w:rPr>
          <w:rFonts w:hint="default" w:ascii="Times New Roman" w:hAnsi="Times New Roman" w:eastAsia="宋体" w:cs="Times New Roman"/>
          <w:color w:val="auto"/>
          <w:highlight w:val="none"/>
        </w:rPr>
        <w:t>，同时，施工单位应文明施工，快速施工，</w:t>
      </w:r>
    </w:p>
    <w:p w14:paraId="5B102CA2">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ascii="Times New Roman" w:cs="Times New Roman"/>
          <w:color w:val="auto"/>
          <w:highlight w:val="none"/>
          <w:lang w:val="en-US" w:eastAsia="zh-CN"/>
        </w:rPr>
        <w:t>6</w:t>
      </w:r>
      <w:r>
        <w:rPr>
          <w:rFonts w:hint="default" w:ascii="Times New Roman" w:hAnsi="Times New Roman" w:eastAsia="宋体" w:cs="Times New Roman"/>
          <w:color w:val="auto"/>
          <w:highlight w:val="none"/>
        </w:rPr>
        <w:t>）施工工程中产生的弃土、弃料及其他建筑垃圾，应及时清运：若在工地内堆置3天内未能清运或回填、覆土绿化的，渣土堆应当采取围挡、覆盖防尘布或密目网、定期喷水压尘等防尘措施。装卸建筑垃圾、清扫施工现场时（特别是路面及场地）应当先洒水压尘，然后再进行装卸、清扫作业，避免引起扬尘污染空气。</w:t>
      </w:r>
    </w:p>
    <w:p w14:paraId="5FEE4519">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装载水泥、砂料等物料、渣土、垃圾的运输车辆，采用密闭车斗；若无密闭车斗，装载高度不得超过车辆槽帮上沿，车斗应用苫布或篷布遮盖严实；根据需要装载物料后进行洒水抑尘；卸车时应尽量减少落差，减少扬尘。</w:t>
      </w:r>
    </w:p>
    <w:p w14:paraId="5A95E2CC">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（8）加强</w:t>
      </w:r>
      <w:r>
        <w:rPr>
          <w:rFonts w:hint="default" w:ascii="Times New Roman" w:hAnsi="Times New Roman" w:eastAsia="宋体" w:cs="Times New Roman"/>
          <w:color w:val="auto"/>
          <w:highlight w:val="none"/>
          <w:lang w:eastAsia="zh-CN"/>
        </w:rPr>
        <w:t>施工场地</w:t>
      </w:r>
      <w:r>
        <w:rPr>
          <w:rFonts w:hint="default" w:ascii="Times New Roman" w:hAnsi="Times New Roman" w:eastAsia="宋体" w:cs="Times New Roman"/>
          <w:color w:val="auto"/>
          <w:highlight w:val="none"/>
        </w:rPr>
        <w:t>出场车辆冲洗管理，</w:t>
      </w:r>
      <w:r>
        <w:rPr>
          <w:rFonts w:hint="eastAsia"/>
          <w:color w:val="auto"/>
          <w:highlight w:val="none"/>
          <w:lang w:eastAsia="zh-CN"/>
        </w:rPr>
        <w:t>项目位于临时中转场出入口</w:t>
      </w:r>
      <w:r>
        <w:rPr>
          <w:rFonts w:hint="default" w:ascii="Times New Roman" w:hAnsi="Times New Roman" w:eastAsia="宋体" w:cs="Times New Roman"/>
          <w:color w:val="auto"/>
          <w:highlight w:val="none"/>
        </w:rPr>
        <w:t>设置冲洗平台，对出入工地且车身、车轮粘有泥土的车辆经本工程洗车平台进行清洗，确保运输车辆车身、轮胎、底盘等部位积泥冲洗干净后方可出场，确保出入口两侧50m范围内道路整洁。</w:t>
      </w:r>
    </w:p>
    <w:p w14:paraId="3907EDD9">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（9）合理规划运输通道，避开敏感路段，运输车辆行驶经过沿途居民点或学校时注意控制车速，减速慢行，控制车流量，防止行车时产生大量扬尘对周边居民点造成影响。</w:t>
      </w:r>
    </w:p>
    <w:p w14:paraId="481ED195">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监理单位应当将建设施工扬尘治理纳入日常工程监理范畴，将建设施工扬尘治理内容写入监理规划、监理细则及监理日志中。对扬尘治理不符合标准要求的行为必须及时制止，对于不服从管理的应当及时向建设单位及建设行政主管部门报告。</w:t>
      </w:r>
    </w:p>
    <w:p w14:paraId="65492098">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（11）完善和利用工地扬尘污染在线监测和视频监控系统，对发现的扬尘污染问题及时处理，实现扬尘污染全方位管控。</w:t>
      </w:r>
    </w:p>
    <w:p w14:paraId="3FF7EEEC">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综上所述，虽然项目施工过程难免会产生一定量的扬尘，但是只要加强管理、文明施工、措施得当，将能把扬尘的影响减至最低，且扬尘影响也将随着施工结束而消除。</w:t>
      </w:r>
    </w:p>
    <w:p w14:paraId="053564CC">
      <w:pPr>
        <w:pStyle w:val="6"/>
        <w:numPr>
          <w:ilvl w:val="3"/>
          <w:numId w:val="40"/>
        </w:numPr>
        <w:bidi w:val="0"/>
        <w:ind w:left="0" w:leftChars="0" w:firstLine="0" w:firstLineChars="0"/>
        <w:rPr>
          <w:rFonts w:hint="default"/>
          <w:color w:val="auto"/>
          <w:highlight w:val="none"/>
        </w:rPr>
      </w:pPr>
      <w:r>
        <w:rPr>
          <w:rFonts w:hint="default"/>
          <w:color w:val="auto"/>
          <w:highlight w:val="none"/>
          <w:lang w:val="en-US" w:eastAsia="zh-CN"/>
        </w:rPr>
        <w:t>交通扬尘控制措施</w:t>
      </w:r>
    </w:p>
    <w:p w14:paraId="0CDB8244">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渣土、材料运输车辆要落实防洒落、防扬尘等措施。凡在市区道路及工地范围从事散装物料、建筑垃圾运输和渣土的车辆，要执行车辆密闭化运输，彻底解决高空抛掷、扬撒问题。运输车辆应按规定配置防洒落装备，装载不宜过满，保证运输过程中不散落；运输道路一旦出现泥土洒落应及时清理。</w:t>
      </w:r>
    </w:p>
    <w:p w14:paraId="719215F6">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（2）土方、石灰等散装物料的运输主要依靠现状市政道路和新建泥结石路面临时施工道路，车辆在行驶时必然会引起扬尘，因此运输时实施现场车辆速度控制，对起尘道路进行洒水降尘。</w:t>
      </w:r>
    </w:p>
    <w:p w14:paraId="73BDFDA9">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（3）由于材料运输过程中不可避免会引起扬尘，并避免材料</w:t>
      </w:r>
      <w:r>
        <w:rPr>
          <w:rFonts w:hint="default" w:ascii="Times New Roman" w:hAnsi="Times New Roman" w:eastAsia="宋体" w:cs="Times New Roman"/>
          <w:color w:val="auto"/>
          <w:highlight w:val="none"/>
          <w:lang w:eastAsia="zh-CN"/>
        </w:rPr>
        <w:t>洒落</w:t>
      </w:r>
      <w:r>
        <w:rPr>
          <w:rFonts w:hint="default" w:ascii="Times New Roman" w:hAnsi="Times New Roman" w:eastAsia="宋体" w:cs="Times New Roman"/>
          <w:color w:val="auto"/>
          <w:highlight w:val="none"/>
        </w:rPr>
        <w:t>，因此应根据天气情况，定期对裸露的施工道路洒水。泥结石路面定期养护、清扫、洒水。一般非雨天每天洒水不少于6次，保持车辆出入的路面清洁、湿润，同时在车辆出入口竖立减速标牌，限制行车速度，减少行车时产生大量扬尘。</w:t>
      </w:r>
    </w:p>
    <w:p w14:paraId="42CCA4C7">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工程应严格落实施工工地规范化建设和管理，控制扬尘污染。施工现场的工地出入口应当设置混凝土冲洗平台，驶出工地的机动车辆必须在冲洗平台将车身及轮胎清扫冲洗干净，确保运输车辆车身、轮胎、底盘等部位积泥冲洗干净后方可出场，确保出入口两侧50米范围内道路整洁。洗车平台四周应设置防溢座、废水导流渠、废水收集池、</w:t>
      </w:r>
      <w:r>
        <w:rPr>
          <w:rFonts w:hint="default" w:ascii="Times New Roman" w:hAnsi="Times New Roman" w:eastAsia="宋体" w:cs="Times New Roman"/>
          <w:color w:val="auto"/>
          <w:highlight w:val="none"/>
          <w:lang w:eastAsia="zh-CN"/>
        </w:rPr>
        <w:t>沉砂池</w:t>
      </w:r>
      <w:r>
        <w:rPr>
          <w:rFonts w:hint="default" w:ascii="Times New Roman" w:hAnsi="Times New Roman" w:eastAsia="宋体" w:cs="Times New Roman"/>
          <w:color w:val="auto"/>
          <w:highlight w:val="none"/>
        </w:rPr>
        <w:t>及其他防治设施，收集洗车、施工以及降水过程中产生的废水和泥浆。</w:t>
      </w:r>
    </w:p>
    <w:p w14:paraId="2E5A5092">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（5）工地出口处铺装道路上可见粘带泥土不得超过10m，并应及时清扫冲洗。</w:t>
      </w:r>
    </w:p>
    <w:p w14:paraId="0AA561A7">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（6）及时对入场道路、临时道路损坏路面进行修复。</w:t>
      </w:r>
    </w:p>
    <w:p w14:paraId="2A71F2BE">
      <w:pPr>
        <w:pStyle w:val="6"/>
        <w:numPr>
          <w:ilvl w:val="3"/>
          <w:numId w:val="40"/>
        </w:numPr>
        <w:bidi w:val="0"/>
        <w:ind w:left="0" w:leftChars="0" w:firstLine="0" w:firstLineChars="0"/>
        <w:rPr>
          <w:rFonts w:hint="default"/>
          <w:color w:val="auto"/>
          <w:highlight w:val="none"/>
          <w:lang w:val="en-US" w:eastAsia="zh-CN"/>
        </w:rPr>
      </w:pPr>
      <w:r>
        <w:rPr>
          <w:rFonts w:hint="default"/>
          <w:color w:val="auto"/>
          <w:highlight w:val="none"/>
          <w:lang w:val="en-US" w:eastAsia="zh-CN"/>
        </w:rPr>
        <w:t>施工机械及运输车辆燃油尾气减缓措施</w:t>
      </w:r>
    </w:p>
    <w:p w14:paraId="19820E53">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本项目的燃烧废气主要来自施工中以燃油为动力的施工机械所排放的废气，运输车辆燃油产生的废气，主要污染物为SO</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、NO</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CO。施工机械多为大型机械，单车排放系数较大，但施工机械数量少且较分散，其污染程度相对较轻，另外通过合理安排运输工作，施工单位应与交通管理部门协调一致，采取相应的措施，可最大限度控制运输车辆尾气的排放。针对施工期间的燃油尾气污染，为减少车辆及机械燃烧废气对周围环境的影响，建设及施工单位应采取以下措施：</w:t>
      </w:r>
    </w:p>
    <w:p w14:paraId="6A641212">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施工单位应选用符合国家标准的施工机械和运输工具，新生产或在用机械的使用应按照《非道路移动机械污染防治技术政策》要求进行管理，确保其废气排放符合国家有关标准。优先选用符合标准且更低能耗、低污染排放的施工机械和车辆，并选用质量较好的燃油，减少燃油废气排放。加强对机械设备的维修、养护，减少不必要的空转时间，以控制尾气排放。对排放废气不达标的施工机械应安装尾气净化器，推行更新报废制度，对发动机耗油多、效率低、尾气排放超标的老旧机械，应予以更新。</w:t>
      </w:r>
    </w:p>
    <w:p w14:paraId="1D07569A">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（2）本工程的施工机械要求选用符合《非道路移动机械用柴油机排气污染物排放限值及测量方法（中国第三、四阶段）》（GB20891-2014）限值要求的柴油机。</w:t>
      </w:r>
    </w:p>
    <w:p w14:paraId="0DFD8F27">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（3）本工程施工机械及车辆用油应严格控制油品质量，选择正规渠道购买油品，油品质量应符合《普通柴油》（GB252-2015）要求。</w:t>
      </w:r>
    </w:p>
    <w:p w14:paraId="6D2C519F">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（4）配合有关部门做好施工期间周边道路的交通组织，避免因施工而造成交通堵塞，减少因此而产生的废气排放。</w:t>
      </w:r>
    </w:p>
    <w:p w14:paraId="11FAE8A6">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项目选址场地较开阔，污染物扩散效果较好，施工期间产生的大气污染物会随着施工期的结束而消失。因此，在落实上述措施的前提下，施工期间不会对周围环境及附近居民造成长期不利影响。</w:t>
      </w:r>
    </w:p>
    <w:p w14:paraId="0B0E7846">
      <w:pPr>
        <w:pStyle w:val="6"/>
        <w:numPr>
          <w:ilvl w:val="3"/>
          <w:numId w:val="40"/>
        </w:numPr>
        <w:bidi w:val="0"/>
        <w:ind w:left="0" w:leftChars="0" w:firstLine="0" w:firstLineChars="0"/>
        <w:rPr>
          <w:rFonts w:hint="default"/>
          <w:color w:val="auto"/>
          <w:highlight w:val="none"/>
        </w:rPr>
      </w:pPr>
      <w:r>
        <w:rPr>
          <w:rFonts w:hint="eastAsia" w:cs="Times New Roman"/>
          <w:color w:val="auto"/>
          <w:highlight w:val="none"/>
          <w:lang w:eastAsia="zh-CN"/>
        </w:rPr>
        <w:t>临时中转场及规划道路回填区扬尘减缓措施</w:t>
      </w:r>
    </w:p>
    <w:p w14:paraId="377D579C">
      <w:pPr>
        <w:pStyle w:val="410"/>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项目临时中转场主要用于水洗改造段开挖淤泥的晒干，淤泥上岸干化后含水率降低，风力侵蚀导致起尘量增加，施工单位在施工前对临时中转场做好围挡，淤泥晾晒过程中根据天气情况加强洒水工作，必要时采取密目网对其进行覆盖，减少风蚀扬尘的产生。此外，淤泥晾晒过程中尽量减少淤泥翻动、落地次数，增加表面洒水降尘次数，可有效减少</w:t>
      </w:r>
      <w:r>
        <w:rPr>
          <w:rFonts w:hint="eastAsia" w:ascii="Times New Roman" w:cs="Times New Roman"/>
          <w:color w:val="auto"/>
          <w:highlight w:val="none"/>
          <w:lang w:eastAsia="zh-CN"/>
        </w:rPr>
        <w:t>临时中转场</w:t>
      </w:r>
      <w:r>
        <w:rPr>
          <w:rFonts w:hint="eastAsia" w:ascii="Times New Roman" w:hAnsi="Times New Roman" w:eastAsia="宋体" w:cs="Times New Roman"/>
          <w:color w:val="auto"/>
          <w:highlight w:val="none"/>
          <w:lang w:eastAsia="zh-CN"/>
        </w:rPr>
        <w:t>扬尘的产生。</w:t>
      </w:r>
    </w:p>
    <w:p w14:paraId="4ECE259D">
      <w:pPr>
        <w:pStyle w:val="410"/>
        <w:rPr>
          <w:rFonts w:hint="eastAsia" w:eastAsia="宋体"/>
          <w:color w:val="auto"/>
          <w:highlight w:val="none"/>
          <w:lang w:eastAsia="zh-CN"/>
        </w:rPr>
      </w:pPr>
      <w:r>
        <w:rPr>
          <w:rFonts w:hint="eastAsia"/>
          <w:color w:val="auto"/>
          <w:highlight w:val="none"/>
          <w:lang w:eastAsia="zh-CN"/>
        </w:rPr>
        <w:t>规划道路回填区（钦州港路、曲绣路）回填后，路面因施工活动无法进行覆盖，施工过程中可对道路边坡</w:t>
      </w:r>
      <w:r>
        <w:rPr>
          <w:rFonts w:hint="eastAsia" w:ascii="Times New Roman" w:hAnsi="Times New Roman" w:eastAsia="宋体" w:cs="Times New Roman"/>
          <w:color w:val="auto"/>
          <w:highlight w:val="none"/>
          <w:lang w:eastAsia="zh-CN"/>
        </w:rPr>
        <w:t>采取密目网对其进行覆盖，减少风蚀扬尘的产生，对路基表面增加表面洒水降尘次数，可有效减少</w:t>
      </w:r>
      <w:r>
        <w:rPr>
          <w:rFonts w:hint="eastAsia"/>
          <w:color w:val="auto"/>
          <w:highlight w:val="none"/>
          <w:lang w:eastAsia="zh-CN"/>
        </w:rPr>
        <w:t>规划道路回填区扬尘的产生。</w:t>
      </w:r>
    </w:p>
    <w:p w14:paraId="7220BE37">
      <w:pPr>
        <w:pStyle w:val="6"/>
        <w:numPr>
          <w:ilvl w:val="3"/>
          <w:numId w:val="40"/>
        </w:numPr>
        <w:bidi w:val="0"/>
        <w:ind w:left="0" w:leftChars="0" w:firstLine="0" w:firstLineChars="0"/>
        <w:rPr>
          <w:rFonts w:hint="default" w:ascii="Times New Roman" w:hAnsi="Times New Roman" w:eastAsia="宋体" w:cs="Times New Roman"/>
          <w:color w:val="auto"/>
          <w:highlight w:val="none"/>
        </w:rPr>
      </w:pPr>
      <w:r>
        <w:rPr>
          <w:rFonts w:hint="eastAsia" w:cs="Times New Roman"/>
          <w:color w:val="auto"/>
          <w:highlight w:val="none"/>
          <w:lang w:eastAsia="zh-CN"/>
        </w:rPr>
        <w:t>淤泥恶臭减缓措施</w:t>
      </w:r>
    </w:p>
    <w:p w14:paraId="4F5806AB">
      <w:pPr>
        <w:pStyle w:val="410"/>
        <w:rPr>
          <w:rFonts w:hint="default" w:ascii="Times New Roman" w:hAnsi="Times New Roman" w:eastAsia="宋体" w:cs="Times New Roman"/>
          <w:color w:val="auto"/>
          <w:highlight w:val="none"/>
        </w:rPr>
      </w:pPr>
      <w:r>
        <w:rPr>
          <w:rFonts w:hint="eastAsia" w:ascii="Times New Roman" w:cs="Times New Roman"/>
          <w:color w:val="auto"/>
          <w:highlight w:val="none"/>
          <w:lang w:eastAsia="zh-CN"/>
        </w:rPr>
        <w:t>施工过程中施工单位应在清淤过程中选用生物除臭剂喷洒在淤泥表面，减少清淤过程中臭气的散发，以降低对周围人群的不利影响。</w:t>
      </w:r>
    </w:p>
    <w:p w14:paraId="4EF1049B">
      <w:pPr>
        <w:pStyle w:val="5"/>
        <w:numPr>
          <w:ilvl w:val="2"/>
          <w:numId w:val="40"/>
        </w:numPr>
        <w:bidi w:val="0"/>
        <w:ind w:left="452" w:leftChars="0" w:firstLine="0" w:firstLineChars="0"/>
        <w:rPr>
          <w:rFonts w:hint="default"/>
          <w:color w:val="auto"/>
          <w:highlight w:val="none"/>
        </w:rPr>
      </w:pPr>
      <w:r>
        <w:rPr>
          <w:rFonts w:hint="default"/>
          <w:color w:val="auto"/>
          <w:highlight w:val="none"/>
        </w:rPr>
        <w:t>施工期水污染防治措施及可行性论证</w:t>
      </w:r>
    </w:p>
    <w:p w14:paraId="2E10236D">
      <w:pPr>
        <w:pStyle w:val="6"/>
        <w:numPr>
          <w:ilvl w:val="3"/>
          <w:numId w:val="40"/>
        </w:numPr>
        <w:bidi w:val="0"/>
        <w:ind w:left="0" w:leftChars="0" w:firstLine="0" w:firstLineChars="0"/>
        <w:rPr>
          <w:rFonts w:hint="default"/>
          <w:color w:val="auto"/>
          <w:highlight w:val="none"/>
        </w:rPr>
      </w:pPr>
      <w:r>
        <w:rPr>
          <w:rFonts w:hint="default"/>
          <w:color w:val="auto"/>
          <w:highlight w:val="none"/>
          <w:lang w:val="en-US" w:eastAsia="zh-CN"/>
        </w:rPr>
        <w:t>混凝土养护废水</w:t>
      </w:r>
      <w:r>
        <w:rPr>
          <w:rFonts w:hint="default"/>
          <w:color w:val="auto"/>
          <w:highlight w:val="none"/>
        </w:rPr>
        <w:t>污染防治措施可行性分析</w:t>
      </w:r>
    </w:p>
    <w:p w14:paraId="7FB43D2B">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本工程施工期混凝土养护产生的废水约</w:t>
      </w:r>
      <w:r>
        <w:rPr>
          <w:rFonts w:hint="default" w:ascii="Times New Roman" w:hAnsi="Times New Roman" w:cs="Times New Roman"/>
          <w:color w:val="auto"/>
          <w:highlight w:val="none"/>
          <w:lang w:val="en-US" w:eastAsia="zh-CN"/>
        </w:rPr>
        <w:t>380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。养护废水基本随蒸发过程从混凝土表面流失，无外排。</w:t>
      </w:r>
    </w:p>
    <w:p w14:paraId="320FE49E">
      <w:pPr>
        <w:pStyle w:val="6"/>
        <w:numPr>
          <w:ilvl w:val="3"/>
          <w:numId w:val="40"/>
        </w:numPr>
        <w:bidi w:val="0"/>
        <w:ind w:left="0" w:leftChars="0" w:firstLine="0" w:firstLineChars="0"/>
        <w:rPr>
          <w:rFonts w:hint="default"/>
          <w:color w:val="auto"/>
          <w:highlight w:val="none"/>
        </w:rPr>
      </w:pPr>
      <w:r>
        <w:rPr>
          <w:rFonts w:hint="default"/>
          <w:color w:val="auto"/>
          <w:highlight w:val="none"/>
          <w:lang w:val="en-US" w:eastAsia="zh-CN"/>
        </w:rPr>
        <w:t>车辆冲洗废水</w:t>
      </w:r>
      <w:r>
        <w:rPr>
          <w:rFonts w:hint="default"/>
          <w:color w:val="auto"/>
          <w:highlight w:val="none"/>
        </w:rPr>
        <w:t>治理措施可行性分析</w:t>
      </w:r>
    </w:p>
    <w:p w14:paraId="235B191D">
      <w:pPr>
        <w:pStyle w:val="410"/>
        <w:ind w:firstLine="44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本项目施工区仅设置施工机械设备停放场，施工机械需要维修时，可委托钦州市有关厂家承修。</w:t>
      </w:r>
      <w:r>
        <w:rPr>
          <w:rFonts w:hint="eastAsia"/>
          <w:color w:val="auto"/>
          <w:highlight w:val="none"/>
          <w:lang w:eastAsia="zh-CN"/>
        </w:rPr>
        <w:t>临时中转场</w:t>
      </w:r>
      <w:r>
        <w:rPr>
          <w:rFonts w:hint="default" w:ascii="Times New Roman" w:hAnsi="Times New Roman" w:cs="Times New Roman"/>
          <w:color w:val="auto"/>
          <w:highlight w:val="none"/>
        </w:rPr>
        <w:t>进出口分别设置车辆冲洗平台，车辆进入和驶出施工场地均需冲洗干净，产生车辆冲洗废水，主要污染物为SS和石油类。油水分离处理过程中产生少量的废油渣，根据《国家危险废物名录》</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2025年版</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机械、动力、运输等设备的更换油及清洗油属危险废物。拟对机械冲洗废水采取隔油和沉淀处理，隔油池定期交由委托有资质单位处置。沉淀池出水回用于洗车和场地和施工运输道路洒水降尘或洗车平台洗车用水。</w:t>
      </w:r>
    </w:p>
    <w:p w14:paraId="0E9654CD">
      <w:pPr>
        <w:pStyle w:val="6"/>
        <w:numPr>
          <w:ilvl w:val="3"/>
          <w:numId w:val="40"/>
        </w:numPr>
        <w:bidi w:val="0"/>
        <w:ind w:left="0" w:leftChars="0" w:firstLine="0" w:firstLineChars="0"/>
        <w:rPr>
          <w:rFonts w:hint="default"/>
          <w:color w:val="auto"/>
          <w:highlight w:val="none"/>
        </w:rPr>
      </w:pPr>
      <w:r>
        <w:rPr>
          <w:rFonts w:hint="default"/>
          <w:color w:val="auto"/>
          <w:highlight w:val="none"/>
          <w:lang w:val="en-US" w:eastAsia="zh-CN"/>
        </w:rPr>
        <w:t>基坑废水治理措施可行性分析</w:t>
      </w:r>
    </w:p>
    <w:p w14:paraId="541B8253">
      <w:pPr>
        <w:pStyle w:val="410"/>
        <w:ind w:firstLine="442"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本项目设置一组</w:t>
      </w:r>
      <w:r>
        <w:rPr>
          <w:rFonts w:hint="default" w:ascii="Times New Roman" w:hAnsi="Times New Roman" w:eastAsia="宋体" w:cs="Times New Roman"/>
          <w:color w:val="auto"/>
          <w:highlight w:val="none"/>
          <w:lang w:val="en-US" w:eastAsia="zh-CN"/>
        </w:rPr>
        <w:t>2级沉淀池对基坑废水进行处理，基坑废水可在基坑废水内静置16~24h小时。根据国内有关水利水电工程项目对施工废水的处理经验，通过投加絮凝剂，施工废水静置沉淀2小时，悬浮物浓度一般可降至70mg/L以下。</w:t>
      </w:r>
    </w:p>
    <w:p w14:paraId="5D8041E0">
      <w:pPr>
        <w:pStyle w:val="410"/>
        <w:ind w:firstLine="442"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简化施工和管理，参照已有的其他类似项目对基坑废水的处理经验，对基坑废水采用自然沉淀法处理，仅在基坑内开挖沉淀池，必要时，可投加絮凝剂，让坑水静置2h后抽出回收利用，污泥定期人工清除。</w:t>
      </w:r>
    </w:p>
    <w:p w14:paraId="73974B11">
      <w:pPr>
        <w:pStyle w:val="410"/>
        <w:ind w:firstLine="442"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处理方案经济技术可行性分析：根据《水利水电工程施工废水处理工艺与实践》（韩建利，2018.02）、《混凝沉淀－中和组合工艺处理水电站基坑废水的工程应用》（何勤聪，2011）等文献研究结果，采用混凝沉淀--中和组合工艺处理水利建设项目施工期基坑排水，工艺成熟稳定，操作管理方便，一般基坑排水经2h絮凝沉淀中和处理，悬浮物的浓度会降低90%以上，出水水质一般SS浓度范围在45～60mg/L，pH浓度范围在7.2～7.8，若是遇到施工废水中的SS超过了一般标准或基坑内污水的污染浓度过高，可以适当地延长废水沉淀的时间再经水泵抽出回用抑尘。</w:t>
      </w:r>
    </w:p>
    <w:p w14:paraId="0A8E291B">
      <w:pPr>
        <w:pStyle w:val="6"/>
        <w:numPr>
          <w:ilvl w:val="3"/>
          <w:numId w:val="40"/>
        </w:numPr>
        <w:bidi w:val="0"/>
        <w:ind w:left="0" w:leftChars="0" w:firstLine="0" w:firstLineChars="0"/>
        <w:rPr>
          <w:rFonts w:hint="default"/>
          <w:color w:val="auto"/>
          <w:highlight w:val="none"/>
          <w:u w:val="single"/>
          <w:lang w:eastAsia="zh-CN"/>
        </w:rPr>
      </w:pPr>
      <w:r>
        <w:rPr>
          <w:rFonts w:hint="eastAsia"/>
          <w:color w:val="auto"/>
          <w:highlight w:val="none"/>
          <w:u w:val="single"/>
          <w:lang w:val="en-US" w:eastAsia="zh-CN"/>
        </w:rPr>
        <w:t>临时中转场淋溶水处置措施可行性分析</w:t>
      </w:r>
    </w:p>
    <w:p w14:paraId="141131BA">
      <w:pPr>
        <w:pStyle w:val="410"/>
        <w:ind w:firstLine="442" w:firstLineChars="200"/>
        <w:rPr>
          <w:rFonts w:hint="eastAsia" w:ascii="Times New Roman" w:cs="Times New Roman"/>
          <w:color w:val="auto"/>
          <w:highlight w:val="none"/>
          <w:u w:val="single"/>
          <w:lang w:val="en-US" w:eastAsia="zh-CN"/>
        </w:rPr>
      </w:pPr>
      <w:r>
        <w:rPr>
          <w:rFonts w:hint="eastAsia" w:ascii="Times New Roman" w:cs="Times New Roman"/>
          <w:color w:val="auto"/>
          <w:highlight w:val="none"/>
          <w:u w:val="single"/>
          <w:lang w:val="en-US" w:eastAsia="zh-CN"/>
        </w:rPr>
        <w:t>钦州港路排水工程段和水系改造段施工对区域淤泥和耕植土进行开挖换填，淤泥和耕植土置于临时中转场内进行晾晒干化，干化后回用于钦州港路和曲绣路边坡绿化覆土</w:t>
      </w:r>
      <w:r>
        <w:rPr>
          <w:rFonts w:hint="default" w:ascii="Times New Roman" w:hAnsi="Times New Roman" w:cs="Times New Roman"/>
          <w:color w:val="auto"/>
          <w:highlight w:val="none"/>
          <w:u w:val="single"/>
          <w:lang w:eastAsia="zh-CN"/>
        </w:rPr>
        <w:t>。</w:t>
      </w:r>
      <w:r>
        <w:rPr>
          <w:rFonts w:hint="eastAsia" w:ascii="Times New Roman" w:cs="Times New Roman"/>
          <w:color w:val="auto"/>
          <w:highlight w:val="none"/>
          <w:u w:val="single"/>
          <w:lang w:eastAsia="zh-CN"/>
        </w:rPr>
        <w:t>淤泥晾晒产生废水主要为淤泥渗出废水和</w:t>
      </w:r>
      <w:r>
        <w:rPr>
          <w:rFonts w:hint="eastAsia" w:ascii="Times New Roman" w:cs="Times New Roman"/>
          <w:color w:val="auto"/>
          <w:highlight w:val="none"/>
          <w:u w:val="single"/>
          <w:lang w:val="en-US" w:eastAsia="zh-CN"/>
        </w:rPr>
        <w:t>遇强降雨天气，产生的淋溶水。</w:t>
      </w:r>
    </w:p>
    <w:p w14:paraId="42ABC692">
      <w:pPr>
        <w:pStyle w:val="410"/>
        <w:ind w:firstLine="442" w:firstLineChars="200"/>
        <w:rPr>
          <w:rFonts w:hint="eastAsia" w:ascii="Times New Roman" w:cs="Times New Roman"/>
          <w:b w:val="0"/>
          <w:bCs/>
          <w:color w:val="auto"/>
          <w:kern w:val="2"/>
          <w:sz w:val="24"/>
          <w:szCs w:val="32"/>
          <w:highlight w:val="none"/>
          <w:lang w:val="en-US" w:eastAsia="zh-CN" w:bidi="ar-SA"/>
        </w:rPr>
      </w:pPr>
      <w:r>
        <w:rPr>
          <w:rFonts w:hint="eastAsia" w:ascii="Times New Roman" w:cs="Times New Roman"/>
          <w:color w:val="auto"/>
          <w:highlight w:val="none"/>
          <w:u w:val="single"/>
          <w:lang w:val="en-US" w:eastAsia="zh-CN"/>
        </w:rPr>
        <w:t>根据工程分析，淤泥开挖自身渗出水按照每天29.6m³/d，临时中转场产生的最大淋溶水量为649.14m³。</w:t>
      </w:r>
      <w:r>
        <w:rPr>
          <w:rFonts w:hint="default" w:ascii="Times New Roman" w:hAnsi="Times New Roman" w:cs="Times New Roman"/>
          <w:b w:val="0"/>
          <w:bCs/>
          <w:color w:val="auto"/>
          <w:kern w:val="2"/>
          <w:sz w:val="24"/>
          <w:szCs w:val="32"/>
          <w:highlight w:val="none"/>
          <w:lang w:val="en-US" w:eastAsia="zh-CN" w:bidi="ar-SA"/>
        </w:rPr>
        <w:t>。根据巢湖污染底泥疏挖机处置二期工程中模拟疏浚淤泥堆存实验研究结果，余水中污染物含量随着泥浆沉淀时间增加而降低，在沉淀初始时，SS浓度可达900~1000mg，静止48h后，SS浓度降至70~80mg/L。</w:t>
      </w:r>
      <w:r>
        <w:rPr>
          <w:rFonts w:hint="default" w:ascii="Times New Roman" w:hAnsi="Times New Roman" w:eastAsia="宋体" w:cs="Times New Roman"/>
          <w:color w:val="auto"/>
          <w:highlight w:val="none"/>
          <w:lang w:val="en-US" w:eastAsia="zh-CN"/>
        </w:rPr>
        <w:t>若是遇到</w:t>
      </w:r>
      <w:r>
        <w:rPr>
          <w:rFonts w:hint="eastAsia" w:ascii="Times New Roman" w:cs="Times New Roman"/>
          <w:color w:val="auto"/>
          <w:highlight w:val="none"/>
          <w:lang w:val="en-US" w:eastAsia="zh-CN"/>
        </w:rPr>
        <w:t>渗滤液</w:t>
      </w:r>
      <w:r>
        <w:rPr>
          <w:rFonts w:hint="default" w:ascii="Times New Roman" w:hAnsi="Times New Roman" w:eastAsia="宋体" w:cs="Times New Roman"/>
          <w:color w:val="auto"/>
          <w:highlight w:val="none"/>
          <w:lang w:val="en-US" w:eastAsia="zh-CN"/>
        </w:rPr>
        <w:t>中的SS超过了一般标准或</w:t>
      </w:r>
      <w:r>
        <w:rPr>
          <w:rFonts w:hint="default" w:ascii="Times New Roman" w:hAnsi="Times New Roman" w:cs="Times New Roman"/>
          <w:color w:val="auto"/>
          <w:highlight w:val="none"/>
          <w:lang w:val="en-US" w:eastAsia="zh-CN"/>
        </w:rPr>
        <w:t>沥干</w:t>
      </w:r>
      <w:r>
        <w:rPr>
          <w:rFonts w:hint="default" w:ascii="Times New Roman" w:hAnsi="Times New Roman" w:eastAsia="宋体" w:cs="Times New Roman"/>
          <w:color w:val="auto"/>
          <w:highlight w:val="none"/>
          <w:lang w:val="en-US" w:eastAsia="zh-CN"/>
        </w:rPr>
        <w:t>污水的污染浓度过高，可以适当地延长废水沉淀的时间再经水泵抽出回用抑尘。</w:t>
      </w:r>
    </w:p>
    <w:p w14:paraId="2005EEA7">
      <w:pPr>
        <w:pStyle w:val="410"/>
        <w:ind w:firstLine="442" w:firstLineChars="200"/>
        <w:rPr>
          <w:rFonts w:hint="default" w:ascii="Times New Roman" w:cs="Times New Roman"/>
          <w:color w:val="auto"/>
          <w:highlight w:val="none"/>
          <w:u w:val="single"/>
          <w:lang w:val="en-US" w:eastAsia="zh-CN"/>
        </w:rPr>
      </w:pPr>
      <w:r>
        <w:rPr>
          <w:rFonts w:hint="eastAsia" w:ascii="Times New Roman" w:cs="Times New Roman"/>
          <w:color w:val="auto"/>
          <w:highlight w:val="none"/>
          <w:u w:val="single"/>
          <w:lang w:val="en-US" w:eastAsia="zh-CN"/>
        </w:rPr>
        <w:t>本项目在临时中转场周围设置截排水沟，并在临时中转场两侧下方建设淋溶水收集池，总有效容积约700m³，可满足临时中转场淋溶水的暂存需求；淋溶水经下游淋溶水沉淀池沉淀处理后作为施工抑尘、道路洒水、洗车用水等，不外排。</w:t>
      </w:r>
    </w:p>
    <w:p w14:paraId="2EC23EF2">
      <w:pPr>
        <w:pStyle w:val="6"/>
        <w:numPr>
          <w:ilvl w:val="3"/>
          <w:numId w:val="40"/>
        </w:numPr>
        <w:bidi w:val="0"/>
        <w:ind w:left="0" w:leftChars="0" w:firstLine="0" w:firstLineChars="0"/>
        <w:rPr>
          <w:rFonts w:hint="default"/>
          <w:color w:val="auto"/>
          <w:highlight w:val="none"/>
          <w:lang w:eastAsia="zh-CN"/>
        </w:rPr>
      </w:pPr>
      <w:r>
        <w:rPr>
          <w:rFonts w:hint="eastAsia"/>
          <w:color w:val="auto"/>
          <w:highlight w:val="none"/>
          <w:u w:val="single"/>
          <w:lang w:val="en-US" w:eastAsia="zh-CN"/>
        </w:rPr>
        <w:t>施工区初期雨水处置措施可行性分析</w:t>
      </w:r>
    </w:p>
    <w:p w14:paraId="4605EDF9">
      <w:pPr>
        <w:pStyle w:val="410"/>
        <w:ind w:firstLine="442" w:firstLineChars="200"/>
        <w:rPr>
          <w:rFonts w:hint="default" w:ascii="Times New Roman" w:hAnsi="Times New Roman" w:cs="Times New Roman"/>
          <w:color w:val="auto"/>
          <w:highlight w:val="none"/>
          <w:u w:val="single"/>
          <w:lang w:eastAsia="zh-CN"/>
        </w:rPr>
      </w:pPr>
      <w:r>
        <w:rPr>
          <w:rFonts w:hint="default" w:ascii="Times New Roman" w:hAnsi="Times New Roman" w:cs="Times New Roman"/>
          <w:color w:val="auto"/>
          <w:highlight w:val="none"/>
          <w:u w:val="single"/>
          <w:lang w:eastAsia="zh-CN"/>
        </w:rPr>
        <w:t>项目基础开挖和</w:t>
      </w:r>
      <w:r>
        <w:rPr>
          <w:rFonts w:hint="eastAsia" w:ascii="Times New Roman" w:cs="Times New Roman"/>
          <w:color w:val="auto"/>
          <w:highlight w:val="none"/>
          <w:u w:val="single"/>
          <w:lang w:val="en-US" w:eastAsia="zh-CN"/>
        </w:rPr>
        <w:t>道路回填</w:t>
      </w:r>
      <w:r>
        <w:rPr>
          <w:rFonts w:hint="default" w:ascii="Times New Roman" w:hAnsi="Times New Roman" w:cs="Times New Roman"/>
          <w:color w:val="auto"/>
          <w:highlight w:val="none"/>
          <w:u w:val="single"/>
          <w:lang w:eastAsia="zh-CN"/>
        </w:rPr>
        <w:t>将造成较大面积的地表裸露。裸露面受雨水冲刷， 将产生含大量泥沙的地表径流水，若不经处理直接进入周边地表水体，将导致水体悬浮物浓度大幅升高。因</w:t>
      </w:r>
      <w:r>
        <w:rPr>
          <w:rFonts w:hint="default" w:ascii="Times New Roman" w:hAnsi="Times New Roman" w:cs="Times New Roman"/>
          <w:b w:val="0"/>
          <w:bCs w:val="0"/>
          <w:color w:val="auto"/>
          <w:highlight w:val="none"/>
          <w:u w:val="single"/>
          <w:lang w:eastAsia="zh-CN"/>
        </w:rPr>
        <w:t>此，施工</w:t>
      </w:r>
      <w:r>
        <w:rPr>
          <w:rFonts w:hint="default" w:ascii="Times New Roman" w:hAnsi="Times New Roman" w:cs="Times New Roman"/>
          <w:color w:val="auto"/>
          <w:highlight w:val="none"/>
          <w:u w:val="single"/>
          <w:lang w:eastAsia="zh-CN"/>
        </w:rPr>
        <w:t>期间应对裸露坡面及堆料场地等，应及时采取彩条布覆盖、拦挡等水土流失防护措施， 修建排水沟、沉砂池疏导雨水，地表径流水引入初期</w:t>
      </w:r>
      <w:r>
        <w:rPr>
          <w:rFonts w:hint="eastAsia" w:ascii="Times New Roman" w:cs="Times New Roman"/>
          <w:color w:val="auto"/>
          <w:highlight w:val="none"/>
          <w:u w:val="single"/>
          <w:lang w:val="en-US" w:eastAsia="zh-CN"/>
        </w:rPr>
        <w:t>雨水</w:t>
      </w:r>
      <w:r>
        <w:rPr>
          <w:rFonts w:hint="default" w:ascii="Times New Roman" w:hAnsi="Times New Roman" w:cs="Times New Roman"/>
          <w:color w:val="auto"/>
          <w:highlight w:val="none"/>
          <w:u w:val="single"/>
          <w:lang w:eastAsia="zh-CN"/>
        </w:rPr>
        <w:t>沉淀池，</w:t>
      </w:r>
    </w:p>
    <w:p w14:paraId="5333B33F">
      <w:pPr>
        <w:pStyle w:val="410"/>
        <w:ind w:firstLine="442" w:firstLineChars="200"/>
        <w:rPr>
          <w:rFonts w:hint="default"/>
          <w:color w:val="auto"/>
          <w:highlight w:val="none"/>
          <w:lang w:eastAsia="zh-CN"/>
        </w:rPr>
      </w:pPr>
      <w:r>
        <w:rPr>
          <w:rFonts w:hint="default" w:ascii="Times New Roman" w:hAnsi="Times New Roman" w:cs="Times New Roman"/>
          <w:color w:val="auto"/>
          <w:highlight w:val="none"/>
          <w:u w:val="single"/>
          <w:lang w:eastAsia="zh-CN"/>
        </w:rPr>
        <w:t>根据工程分析，项目</w:t>
      </w:r>
      <w:r>
        <w:rPr>
          <w:rFonts w:hint="eastAsia" w:ascii="Times New Roman" w:cs="Times New Roman"/>
          <w:color w:val="auto"/>
          <w:highlight w:val="none"/>
          <w:u w:val="single"/>
          <w:lang w:val="en-US" w:eastAsia="zh-CN"/>
        </w:rPr>
        <w:t>主要分为3</w:t>
      </w:r>
      <w:r>
        <w:rPr>
          <w:rFonts w:hint="default" w:ascii="Times New Roman" w:hAnsi="Times New Roman" w:cs="Times New Roman"/>
          <w:color w:val="auto"/>
          <w:highlight w:val="none"/>
          <w:u w:val="single"/>
          <w:lang w:eastAsia="zh-CN"/>
        </w:rPr>
        <w:t>个施工区，每个施工区初期雨水产生量</w:t>
      </w:r>
      <w:r>
        <w:rPr>
          <w:rFonts w:hint="eastAsia" w:ascii="Times New Roman" w:cs="Times New Roman"/>
          <w:color w:val="auto"/>
          <w:highlight w:val="none"/>
          <w:u w:val="single"/>
          <w:lang w:val="en-US" w:eastAsia="zh-CN"/>
        </w:rPr>
        <w:t>97.47</w:t>
      </w:r>
      <w:r>
        <w:rPr>
          <w:rFonts w:hint="default" w:ascii="Times New Roman" w:hAnsi="Times New Roman" w:cs="Times New Roman"/>
          <w:color w:val="auto"/>
          <w:highlight w:val="none"/>
          <w:u w:val="single"/>
          <w:lang w:eastAsia="zh-CN"/>
        </w:rPr>
        <w:t xml:space="preserve">m³/次。项目合理布设施工场地，完善施工场地截排水沟，项目在每个施工场地下游侧设置初期雨水收集池，初期雨水收集池容积 </w:t>
      </w:r>
      <w:r>
        <w:rPr>
          <w:rFonts w:hint="eastAsia" w:ascii="Times New Roman" w:cs="Times New Roman"/>
          <w:color w:val="auto"/>
          <w:highlight w:val="none"/>
          <w:u w:val="single"/>
          <w:lang w:val="en-US" w:eastAsia="zh-CN"/>
        </w:rPr>
        <w:t>100</w:t>
      </w:r>
      <w:r>
        <w:rPr>
          <w:rFonts w:hint="default" w:ascii="Times New Roman" w:hAnsi="Times New Roman" w:cs="Times New Roman"/>
          <w:color w:val="auto"/>
          <w:highlight w:val="none"/>
          <w:u w:val="single"/>
          <w:lang w:eastAsia="zh-CN"/>
        </w:rPr>
        <w:t>m³</w:t>
      </w:r>
      <w:r>
        <w:rPr>
          <w:rFonts w:hint="eastAsia" w:ascii="Times New Roman" w:cs="Times New Roman"/>
          <w:color w:val="auto"/>
          <w:highlight w:val="none"/>
          <w:u w:val="single"/>
          <w:lang w:eastAsia="zh-CN"/>
        </w:rPr>
        <w:t>，</w:t>
      </w:r>
      <w:r>
        <w:rPr>
          <w:rFonts w:hint="eastAsia" w:ascii="Times New Roman" w:cs="Times New Roman"/>
          <w:color w:val="auto"/>
          <w:highlight w:val="none"/>
          <w:u w:val="single"/>
          <w:lang w:val="en-US" w:eastAsia="zh-CN"/>
        </w:rPr>
        <w:t>可满足各施工区初期雨水暂存需求</w:t>
      </w:r>
      <w:r>
        <w:rPr>
          <w:rFonts w:hint="default" w:ascii="Times New Roman" w:hAnsi="Times New Roman" w:cs="Times New Roman"/>
          <w:color w:val="auto"/>
          <w:highlight w:val="none"/>
          <w:u w:val="single"/>
          <w:lang w:eastAsia="zh-CN"/>
        </w:rPr>
        <w:t>。初期雨水主要 为悬浮物（SS），浓度一般为500~1000mg/L，经沉淀处理后，悬浮物浓度＜70 mg/L，初期雨水经收集沉淀处理后用于施工作业降尘、道路洒水、及车辆冲洗水，不外排。</w:t>
      </w:r>
    </w:p>
    <w:p w14:paraId="39991DC0">
      <w:pPr>
        <w:pStyle w:val="5"/>
        <w:numPr>
          <w:ilvl w:val="2"/>
          <w:numId w:val="40"/>
        </w:numPr>
        <w:bidi w:val="0"/>
        <w:ind w:left="452" w:leftChars="0" w:firstLine="0" w:firstLineChars="0"/>
        <w:rPr>
          <w:rFonts w:hint="default"/>
          <w:color w:val="auto"/>
          <w:highlight w:val="none"/>
        </w:rPr>
      </w:pPr>
      <w:r>
        <w:rPr>
          <w:rFonts w:hint="default"/>
          <w:color w:val="auto"/>
          <w:highlight w:val="none"/>
        </w:rPr>
        <w:t>施工期噪声污染防治措施及可行性分析</w:t>
      </w:r>
    </w:p>
    <w:p w14:paraId="4B67DEB4">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施工期的噪声污染主要来源于土石方开挖、</w:t>
      </w:r>
      <w:r>
        <w:rPr>
          <w:rFonts w:hint="default" w:ascii="Times New Roman" w:hAnsi="Times New Roman" w:cs="Times New Roman"/>
          <w:color w:val="auto"/>
          <w:highlight w:val="none"/>
          <w:lang w:val="en-US" w:eastAsia="zh-CN"/>
        </w:rPr>
        <w:t>回填</w:t>
      </w:r>
      <w:r>
        <w:rPr>
          <w:rFonts w:hint="default" w:ascii="Times New Roman" w:hAnsi="Times New Roman" w:cs="Times New Roman"/>
          <w:color w:val="auto"/>
          <w:highlight w:val="none"/>
        </w:rPr>
        <w:t>、机械设备和运输车辆的运行等，噪声污染易引起扰民事件。因此，应遵守《广西壮族自治区环境保护条例》的各项要求，严格按照工程分析噪声影响评价章节中规定的原则，积极防治，尤其注意对夜间施工的监督、管理。控制噪声污染的有效途径有三个：降低声源噪声、限制声源传播和阻断声接收。</w:t>
      </w:r>
    </w:p>
    <w:p w14:paraId="442F0532">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1）加强噪声源的控制：在满足施工需要的前提下，优先选用先进的、低噪声施工机械、设备从声源上对噪声进行控制，淘汰高噪声施工机械，对个别噪声较大的设备应安装消音、减振设备。如液压系统的施工机械：大型固定施工设备、挖掘机、运输卡车等机械的进气、排气口设置消声器；振动大的设备应配备减振装置，也可以使用阻尼材料；强噪声作业应进行全封闭方式；在施工过程中施工单位应设专人对设备进行定期保养和维护，严格按操作规范使用各类机械，保证施工机械处于低噪声、高效率的状态。</w:t>
      </w:r>
    </w:p>
    <w:p w14:paraId="2E97CB30">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（2）合理安排施工方式和作业时间：施工单位严格执行《建筑施工场界环境噪声排放标准》（GB12523-2</w:t>
      </w:r>
      <w:r>
        <w:rPr>
          <w:rFonts w:hint="eastAsia" w:ascii="Times New Roman" w:hAnsi="Times New Roman" w:cs="Times New Roman"/>
          <w:color w:val="auto"/>
          <w:highlight w:val="none"/>
          <w:lang w:val="en-US" w:eastAsia="zh-CN"/>
        </w:rPr>
        <w:t>011</w:t>
      </w:r>
      <w:r>
        <w:rPr>
          <w:rFonts w:hint="default" w:ascii="Times New Roman" w:hAnsi="Times New Roman" w:cs="Times New Roman"/>
          <w:color w:val="auto"/>
          <w:highlight w:val="none"/>
        </w:rPr>
        <w:t>）和《广西壮族自治区环境保护条例》的规定，合理安排施工计划和施工机械设备组合，禁止在午间（12：00～14：30）和夜间（22：00～次日06：00）以及县级以上人民政府规定的其他特殊时段内，进行产生环境噪声污染的建筑施工作业（抢修、抢险作业除外），确因生产工艺要求或者特殊需要必须连续施工作业的，应当持有所在地的县级以上人民政府有关主管部门的证明，并提前二日公告附近居民。</w:t>
      </w:r>
    </w:p>
    <w:p w14:paraId="32168C2A">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（3）合理安排好施工时间与施工场所，合理布置施工总平面，合理布置施工交通及运输路线，远离敏感保护目标。高噪声作业区应远离声敏感点。对个别施工影响较严重的施工场地，需采取临时的隔声</w:t>
      </w:r>
      <w:r>
        <w:rPr>
          <w:rFonts w:hint="default" w:ascii="Times New Roman" w:hAnsi="Times New Roman" w:cs="Times New Roman"/>
          <w:color w:val="auto"/>
          <w:highlight w:val="none"/>
          <w:lang w:eastAsia="zh-CN"/>
        </w:rPr>
        <w:t>围护结构</w:t>
      </w:r>
      <w:r>
        <w:rPr>
          <w:rFonts w:hint="default" w:ascii="Times New Roman" w:hAnsi="Times New Roman" w:cs="Times New Roman"/>
          <w:color w:val="auto"/>
          <w:highlight w:val="none"/>
        </w:rPr>
        <w:t>，在距敏感点50m内的施工时，应设置挡墙等临时隔声屏障等保护措施，在</w:t>
      </w:r>
      <w:r>
        <w:rPr>
          <w:rFonts w:hint="default" w:ascii="Times New Roman" w:hAnsi="Times New Roman" w:cs="Times New Roman"/>
          <w:color w:val="auto"/>
          <w:highlight w:val="none"/>
          <w:lang w:val="en-US" w:eastAsia="zh-CN"/>
        </w:rPr>
        <w:t>大岭脚村</w:t>
      </w:r>
      <w:r>
        <w:rPr>
          <w:rFonts w:hint="default" w:ascii="Times New Roman" w:hAnsi="Times New Roman" w:cs="Times New Roman"/>
          <w:color w:val="auto"/>
          <w:highlight w:val="none"/>
        </w:rPr>
        <w:t>村庄等较近一侧设置移动隔声屏障降噪措施，该声屏障可随着施工路段的变化而移动，减轻对周边居民干扰。</w:t>
      </w:r>
    </w:p>
    <w:p w14:paraId="4B242361">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（4）对位置相对固定的、噪声较大的机械设备，尽可能用多孔吸声材料建隔声屏障、隔声罩和隔声间；不能进入棚内的，可采用围挡之类的单面声屏障。</w:t>
      </w:r>
    </w:p>
    <w:p w14:paraId="039FB99F">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（5）施工运输车辆进出场地应尽可能远离敏感点，路过敏感点应减缓车速，控制车流量，禁止鸣放高音喇叭。</w:t>
      </w:r>
    </w:p>
    <w:p w14:paraId="7E9B02D8">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6）施工方应尽量将施工机械设置在远离敏感区的位置，本项目沿线部分区域的施工场地受到实际情况的限制而不能远离敏感点，势必对沿线的居民的正常生活造成一定的影响，因此需要视具体情况采取一些噪声防治措施。施工现场周围设置2.5m高的铁皮</w:t>
      </w:r>
      <w:r>
        <w:rPr>
          <w:rFonts w:hint="default" w:ascii="Times New Roman" w:hAnsi="Times New Roman" w:cs="Times New Roman"/>
          <w:color w:val="auto"/>
          <w:highlight w:val="none"/>
          <w:lang w:eastAsia="zh-CN"/>
        </w:rPr>
        <w:t>栏</w:t>
      </w:r>
      <w:r>
        <w:rPr>
          <w:rFonts w:hint="default" w:ascii="Times New Roman" w:hAnsi="Times New Roman" w:cs="Times New Roman"/>
          <w:color w:val="auto"/>
          <w:highlight w:val="none"/>
        </w:rPr>
        <w:t>挡，其降噪效果为3~5dB（A）左右。且高噪声设备应尽量远离保护目标。该措施可降噪8~12dB（A）左右。并加强施工机械的保养和维护，对于高噪音的机械设备，采用减振垫、活动式吸隔声板墙进行隔声降噪。该措施可降噪7~13dB（A）左右。</w:t>
      </w:r>
    </w:p>
    <w:p w14:paraId="6FBCB6EE">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7）对工作人员采取有效的保护措施，对施工人员应采取轮班作业和发放噪声防护用具，如戴防声头盔、耳罩、耳塞、设隔音操作室等，以减轻噪声对工作人员的影响。对于强噪声源，如混凝土浇筑、土石方开挖等作业，尽量提高作业的自动化程度，实现远距离的监视作业，既可减少作业人员，又可使作业人员尽量远离噪声源。</w:t>
      </w:r>
    </w:p>
    <w:p w14:paraId="7B67EE00">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8）落实施工工地降噪措施：施工单位在施工前要制定建筑施工降噪方案。施工现场设置围挡，并在运输车辆经过沿途居民集中区域内，施工单位应当于施工期间在施工场所公示项目名称、项目建设内容和时间、项目业主联系方式、施工单位名称、工地负责人及联系方式、可能产生的噪声污染和采取的防治措施。由施工现场的专职环保安全员或环保队监控，对降噪措施落实情况进行监督，对未按要求进行降低噪声作业的立即停工整改。</w:t>
      </w:r>
    </w:p>
    <w:p w14:paraId="377B4B03">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（9）加强对施工人员的环境宣传和教育，使他们认真落实各项降噪措施，做到文明施工。在保证施工质量前提下，加快施工进度，尽量缩短工期。</w:t>
      </w:r>
    </w:p>
    <w:p w14:paraId="117BFB71">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10）要求施工队伍在车辆行驶过程中应严格限制车速，经过居民区时车速昼间应控制在20km/h以下、夜间应控制在15km/h以下，并禁鸣喇叭。项目土方量大，运输需穿越部分城区，运输车辆在经过这些城区居民集中区和学校时，要控制车速、禁鸣喇叭、注意行人。</w:t>
      </w:r>
    </w:p>
    <w:p w14:paraId="1E2AD4C6">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（11）施工单位应处理好与施工场界及运输路线周围居民的关系，避免因噪声污染引发纠纷，影响社会稳定。</w:t>
      </w:r>
    </w:p>
    <w:p w14:paraId="301EFB52">
      <w:pPr>
        <w:pStyle w:val="5"/>
        <w:numPr>
          <w:ilvl w:val="2"/>
          <w:numId w:val="40"/>
        </w:numPr>
        <w:bidi w:val="0"/>
        <w:ind w:left="452" w:leftChars="0" w:firstLine="0" w:firstLineChars="0"/>
        <w:rPr>
          <w:rFonts w:hint="default"/>
          <w:color w:val="auto"/>
          <w:highlight w:val="none"/>
        </w:rPr>
      </w:pPr>
      <w:r>
        <w:rPr>
          <w:rFonts w:hint="default"/>
          <w:color w:val="auto"/>
          <w:highlight w:val="none"/>
        </w:rPr>
        <w:t>施工期固体废物防治措施及可行性分析</w:t>
      </w:r>
    </w:p>
    <w:p w14:paraId="39AA49C5">
      <w:pPr>
        <w:pStyle w:val="410"/>
        <w:rPr>
          <w:rFonts w:hint="default" w:ascii="Times New Roman" w:hAnsi="Times New Roman" w:cs="Times New Roman"/>
          <w:color w:val="auto"/>
          <w:highlight w:val="none"/>
        </w:rPr>
      </w:pPr>
      <w:r>
        <w:rPr>
          <w:rFonts w:hint="default" w:ascii="Times New Roman" w:hAnsi="Times New Roman" w:eastAsia="宋体" w:cs="Times New Roman"/>
          <w:b w:val="0"/>
          <w:bCs w:val="0"/>
          <w:color w:val="auto"/>
          <w:sz w:val="24"/>
          <w:szCs w:val="24"/>
          <w:highlight w:val="none"/>
        </w:rPr>
        <w:t>项目施工期做好固体废物的综合利用和妥善处置工作，按GB18599-2020《一般工业固体废物贮存和填埋污染控制标准》</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GB18597-2023《危险废物贮存污染控制标准》要求设置，本项目施工</w:t>
      </w:r>
      <w:r>
        <w:rPr>
          <w:rFonts w:hint="default" w:ascii="Times New Roman" w:hAnsi="Times New Roman" w:eastAsia="宋体" w:cs="Times New Roman"/>
          <w:b w:val="0"/>
          <w:bCs w:val="0"/>
          <w:color w:val="auto"/>
          <w:sz w:val="24"/>
          <w:szCs w:val="24"/>
          <w:highlight w:val="none"/>
          <w:lang w:val="en-US" w:eastAsia="zh-CN"/>
        </w:rPr>
        <w:t>产生的建筑垃圾、隔油池污油将采取的</w:t>
      </w:r>
      <w:r>
        <w:rPr>
          <w:rFonts w:hint="default" w:ascii="Times New Roman" w:hAnsi="Times New Roman" w:eastAsia="宋体" w:cs="Times New Roman"/>
          <w:b w:val="0"/>
          <w:bCs w:val="0"/>
          <w:color w:val="auto"/>
          <w:sz w:val="24"/>
          <w:szCs w:val="24"/>
          <w:highlight w:val="none"/>
        </w:rPr>
        <w:t>污染防治措施如下：</w:t>
      </w:r>
    </w:p>
    <w:p w14:paraId="3C78DC3C">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建筑垃圾</w:t>
      </w:r>
      <w:r>
        <w:rPr>
          <w:rFonts w:hint="default" w:ascii="Times New Roman" w:hAnsi="Times New Roman" w:cs="Times New Roman"/>
          <w:color w:val="auto"/>
          <w:highlight w:val="none"/>
        </w:rPr>
        <w:t>主要包括废砖头、路面碎块、废木料、钢筋头、废包装纸等，分类收集按“资源化、减量化、无害化”的处置原则，认真落实固废分类收集、处置和综合利用措施。建筑垃圾优先综合利用，对不能回收的建筑垃圾，须按照《钦州市城市建筑垃圾管理办法》的要求，项目施工前，负责施工的单位和建设单位应当向当地环境卫生行政主管部门提出申请，经核准并按规定缴纳建筑垃圾处理费，取得《建筑垃圾处置许可证》后，交由依法取得《建筑垃圾运输许可证》的单位及时清运至有关部门指定的建筑垃圾消纳地点处置，严禁堆放在河岸边、路旁及居民区。</w:t>
      </w:r>
    </w:p>
    <w:p w14:paraId="57704503">
      <w:pPr>
        <w:pStyle w:val="41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本项目施工区主要污染物为隔油沉淀池产生的污油</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隔油池污油按照《国家危险废物名录》（</w:t>
      </w:r>
      <w:r>
        <w:rPr>
          <w:rFonts w:hint="default" w:ascii="Times New Roman" w:hAnsi="Times New Roman" w:eastAsia="宋体" w:cs="Times New Roman"/>
          <w:b w:val="0"/>
          <w:bCs w:val="0"/>
          <w:color w:val="auto"/>
          <w:sz w:val="24"/>
          <w:szCs w:val="24"/>
          <w:highlight w:val="none"/>
          <w:lang w:val="en-US" w:eastAsia="zh-CN"/>
        </w:rPr>
        <w:t>2025</w:t>
      </w:r>
      <w:r>
        <w:rPr>
          <w:rFonts w:hint="default" w:ascii="Times New Roman" w:hAnsi="Times New Roman" w:eastAsia="宋体" w:cs="Times New Roman"/>
          <w:b w:val="0"/>
          <w:bCs w:val="0"/>
          <w:color w:val="auto"/>
          <w:sz w:val="24"/>
          <w:szCs w:val="24"/>
          <w:highlight w:val="none"/>
        </w:rPr>
        <w:t>年版），属于危险废物（HW08废矿物油与含矿物油废物），隔油池污油危险废物须定期收集并交由有危险废物处置资质的单位处置，做好危险废物处置及转移联单的台账记录。</w:t>
      </w:r>
    </w:p>
    <w:p w14:paraId="306021DB">
      <w:pPr>
        <w:pStyle w:val="41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采取上述措施后，项目施工产生的固体废物对周围环境不会产生明显的不良影响。</w:t>
      </w:r>
    </w:p>
    <w:p w14:paraId="7F5CDF19">
      <w:pPr>
        <w:pStyle w:val="5"/>
        <w:numPr>
          <w:ilvl w:val="2"/>
          <w:numId w:val="40"/>
        </w:numPr>
        <w:bidi w:val="0"/>
        <w:ind w:left="452" w:leftChars="0" w:firstLine="0" w:firstLineChars="0"/>
        <w:rPr>
          <w:rFonts w:hint="default"/>
          <w:color w:val="auto"/>
          <w:highlight w:val="none"/>
          <w:u w:val="single"/>
        </w:rPr>
      </w:pPr>
      <w:bookmarkStart w:id="129" w:name="_Toc10827"/>
      <w:r>
        <w:rPr>
          <w:rFonts w:hint="eastAsia"/>
          <w:color w:val="auto"/>
          <w:highlight w:val="none"/>
          <w:u w:val="single"/>
          <w:lang w:eastAsia="zh-CN"/>
        </w:rPr>
        <w:t>施工临时设施防护措施及可行性分析</w:t>
      </w:r>
    </w:p>
    <w:p w14:paraId="1E094AED">
      <w:pPr>
        <w:pStyle w:val="410"/>
        <w:rPr>
          <w:rFonts w:hint="eastAsia"/>
          <w:color w:val="auto"/>
          <w:highlight w:val="none"/>
          <w:u w:val="single"/>
          <w:lang w:eastAsia="zh-CN"/>
        </w:rPr>
      </w:pPr>
      <w:r>
        <w:rPr>
          <w:rFonts w:hint="eastAsia"/>
          <w:color w:val="auto"/>
          <w:highlight w:val="none"/>
          <w:u w:val="single"/>
          <w:lang w:eastAsia="zh-CN"/>
        </w:rPr>
        <w:t>设计单位根据项目施工要求及工程特点设置的临时设施有管道敷设施工区、施工围堰区、临时中转场、钢筋加工厂等。为减少施工活动对区域产生二次环境污染，项目针对各临时施工区域采取相应的生态防护和水土保持措施。</w:t>
      </w:r>
    </w:p>
    <w:p w14:paraId="5672871C">
      <w:pPr>
        <w:pStyle w:val="6"/>
        <w:numPr>
          <w:ilvl w:val="3"/>
          <w:numId w:val="40"/>
        </w:numPr>
        <w:bidi w:val="0"/>
        <w:ind w:left="0" w:leftChars="0" w:firstLine="0" w:firstLineChars="0"/>
        <w:rPr>
          <w:rFonts w:hint="default"/>
          <w:color w:val="auto"/>
          <w:highlight w:val="none"/>
          <w:u w:val="single"/>
          <w:lang w:val="en-US" w:eastAsia="zh-CN"/>
        </w:rPr>
      </w:pPr>
      <w:r>
        <w:rPr>
          <w:rFonts w:hint="eastAsia"/>
          <w:color w:val="auto"/>
          <w:highlight w:val="none"/>
          <w:u w:val="single"/>
          <w:lang w:eastAsia="zh-CN"/>
        </w:rPr>
        <w:t>管道敷设施工区防护措施</w:t>
      </w:r>
    </w:p>
    <w:p w14:paraId="1DA66EE6">
      <w:pPr>
        <w:pStyle w:val="410"/>
        <w:rPr>
          <w:rFonts w:hint="default" w:ascii="Times New Roman" w:hAnsi="Times New Roman" w:eastAsia="宋体" w:cs="Times New Roman"/>
          <w:b w:val="0"/>
          <w:bCs w:val="0"/>
          <w:color w:val="auto"/>
          <w:sz w:val="24"/>
          <w:szCs w:val="24"/>
          <w:highlight w:val="none"/>
          <w:u w:val="single"/>
          <w:lang w:val="en-US" w:eastAsia="zh-CN"/>
        </w:rPr>
      </w:pPr>
      <w:r>
        <w:rPr>
          <w:rFonts w:hint="eastAsia" w:ascii="Times New Roman" w:hAnsi="Times New Roman" w:eastAsia="宋体" w:cs="Times New Roman"/>
          <w:b w:val="0"/>
          <w:bCs w:val="0"/>
          <w:color w:val="auto"/>
          <w:sz w:val="24"/>
          <w:szCs w:val="24"/>
          <w:highlight w:val="none"/>
          <w:u w:val="single"/>
          <w:lang w:val="en-US" w:eastAsia="zh-CN"/>
        </w:rPr>
        <w:t>施工前对占地内进行表土剥离并集中堆放，后期用于施工区覆土，施工结束后对用地范围内进行覆土绿化，播撒草籽。施工过程中</w:t>
      </w:r>
      <w:r>
        <w:rPr>
          <w:rFonts w:hint="default" w:ascii="Times New Roman" w:hAnsi="Times New Roman" w:eastAsia="宋体" w:cs="Times New Roman"/>
          <w:b w:val="0"/>
          <w:bCs w:val="0"/>
          <w:color w:val="auto"/>
          <w:sz w:val="24"/>
          <w:szCs w:val="24"/>
          <w:highlight w:val="none"/>
          <w:u w:val="single"/>
          <w:lang w:val="en-US" w:eastAsia="zh-CN"/>
        </w:rPr>
        <w:t>管沟工程回填土临时堆存于管线一侧，后期用于沟槽回填，临时堆土较松散，遇到降雨时极易产生水土流失，为避免降雨对堆土造成冲刷和溅蚀，施工期拟对堆土表面采取密目网进行临时覆盖。经统计，该区施工过程中需密目网苫盖 8000m</w:t>
      </w:r>
      <w:r>
        <w:rPr>
          <w:rFonts w:hint="default" w:ascii="Times New Roman" w:hAnsi="Times New Roman" w:eastAsia="宋体" w:cs="Times New Roman"/>
          <w:b w:val="0"/>
          <w:bCs w:val="0"/>
          <w:color w:val="auto"/>
          <w:sz w:val="24"/>
          <w:szCs w:val="24"/>
          <w:highlight w:val="none"/>
          <w:u w:val="single"/>
          <w:vertAlign w:val="superscript"/>
          <w:lang w:val="en-US" w:eastAsia="zh-CN"/>
        </w:rPr>
        <w:t>2</w:t>
      </w:r>
      <w:r>
        <w:rPr>
          <w:rFonts w:hint="default" w:ascii="Times New Roman" w:hAnsi="Times New Roman" w:eastAsia="宋体" w:cs="Times New Roman"/>
          <w:b w:val="0"/>
          <w:bCs w:val="0"/>
          <w:color w:val="auto"/>
          <w:sz w:val="24"/>
          <w:szCs w:val="24"/>
          <w:highlight w:val="none"/>
          <w:u w:val="single"/>
          <w:lang w:val="en-US" w:eastAsia="zh-CN"/>
        </w:rPr>
        <w:t>（可重复利用），密目网规格为（标准规格每 10cm×10cm 的面积上，应有 2000 个网目）。</w:t>
      </w:r>
    </w:p>
    <w:p w14:paraId="26FD5775">
      <w:pPr>
        <w:pStyle w:val="410"/>
        <w:rPr>
          <w:rFonts w:hint="default" w:ascii="Times New Roman" w:hAnsi="Times New Roman" w:eastAsia="宋体" w:cs="Times New Roman"/>
          <w:b w:val="0"/>
          <w:bCs w:val="0"/>
          <w:color w:val="auto"/>
          <w:sz w:val="24"/>
          <w:szCs w:val="24"/>
          <w:highlight w:val="none"/>
          <w:u w:val="single"/>
          <w:lang w:val="en-US" w:eastAsia="zh-CN"/>
        </w:rPr>
      </w:pPr>
      <w:r>
        <w:rPr>
          <w:rFonts w:hint="eastAsia" w:ascii="Times New Roman" w:hAnsi="Times New Roman" w:eastAsia="宋体" w:cs="Times New Roman"/>
          <w:b w:val="0"/>
          <w:bCs w:val="0"/>
          <w:color w:val="auto"/>
          <w:sz w:val="24"/>
          <w:szCs w:val="24"/>
          <w:highlight w:val="none"/>
          <w:u w:val="single"/>
          <w:lang w:val="en-US" w:eastAsia="zh-CN"/>
        </w:rPr>
        <w:t>管道敷设施工区采取的防护措施能有效减少降雨冲刷，减少水土流失，改措施无经济、技术制约，措施有效可行。</w:t>
      </w:r>
    </w:p>
    <w:p w14:paraId="4BCF87E7">
      <w:pPr>
        <w:pStyle w:val="6"/>
        <w:numPr>
          <w:ilvl w:val="3"/>
          <w:numId w:val="40"/>
        </w:numPr>
        <w:bidi w:val="0"/>
        <w:ind w:left="0" w:leftChars="0" w:firstLine="0" w:firstLineChars="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钦州港路、曲绣路回填区</w:t>
      </w:r>
      <w:r>
        <w:rPr>
          <w:rFonts w:hint="eastAsia" w:ascii="Times New Roman" w:hAnsi="Times New Roman" w:eastAsia="宋体" w:cs="Times New Roman"/>
          <w:b/>
          <w:bCs/>
          <w:color w:val="auto"/>
          <w:sz w:val="24"/>
          <w:szCs w:val="24"/>
          <w:highlight w:val="none"/>
          <w:lang w:val="en-US" w:eastAsia="zh-CN"/>
        </w:rPr>
        <w:t>（施工围堰区）</w:t>
      </w:r>
    </w:p>
    <w:p w14:paraId="60112C6D">
      <w:pPr>
        <w:pStyle w:val="410"/>
        <w:rPr>
          <w:rFonts w:hint="eastAsia" w:ascii="Times New Roman" w:hAnsi="Times New Roman" w:eastAsia="宋体" w:cs="Times New Roman"/>
          <w:b w:val="0"/>
          <w:bCs w:val="0"/>
          <w:color w:val="auto"/>
          <w:sz w:val="24"/>
          <w:szCs w:val="24"/>
          <w:highlight w:val="none"/>
          <w:u w:val="single"/>
          <w:lang w:val="en-US" w:eastAsia="zh-CN"/>
        </w:rPr>
      </w:pPr>
      <w:r>
        <w:rPr>
          <w:rFonts w:hint="eastAsia" w:ascii="Times New Roman" w:hAnsi="Times New Roman" w:eastAsia="宋体" w:cs="Times New Roman"/>
          <w:b w:val="0"/>
          <w:bCs w:val="0"/>
          <w:color w:val="auto"/>
          <w:sz w:val="24"/>
          <w:szCs w:val="24"/>
          <w:highlight w:val="none"/>
          <w:u w:val="single"/>
          <w:lang w:val="en-US" w:eastAsia="zh-CN"/>
        </w:rPr>
        <w:t>项目设置施工围堰，围堰内侧为钦州港路、曲绣路回填区兼顾临时道路；项目位于围堰区内设施基坑废水沉淀池，用于收集围堰内产生的基坑废水。项目河床导流后水系沿项目东侧围堰外部汇入下游水系。围堰及道路回填区裸露面积较大，施工期对围堰内侧裸露表面采取密目网进行临时覆盖，对临时性的挖填土边坡雨天采用密目网覆盖防护，需铺密目网15000m</w:t>
      </w:r>
      <w:r>
        <w:rPr>
          <w:rFonts w:hint="eastAsia" w:ascii="Times New Roman" w:hAnsi="Times New Roman" w:eastAsia="宋体" w:cs="Times New Roman"/>
          <w:b w:val="0"/>
          <w:bCs w:val="0"/>
          <w:color w:val="auto"/>
          <w:sz w:val="24"/>
          <w:szCs w:val="24"/>
          <w:highlight w:val="none"/>
          <w:u w:val="single"/>
          <w:vertAlign w:val="superscript"/>
          <w:lang w:val="en-US" w:eastAsia="zh-CN"/>
        </w:rPr>
        <w:t>2</w:t>
      </w:r>
      <w:r>
        <w:rPr>
          <w:rFonts w:hint="eastAsia" w:ascii="Times New Roman" w:hAnsi="Times New Roman" w:eastAsia="宋体" w:cs="Times New Roman"/>
          <w:b w:val="0"/>
          <w:bCs w:val="0"/>
          <w:color w:val="auto"/>
          <w:sz w:val="24"/>
          <w:szCs w:val="24"/>
          <w:highlight w:val="none"/>
          <w:u w:val="single"/>
          <w:lang w:val="en-US" w:eastAsia="zh-CN"/>
        </w:rPr>
        <w:t>。</w:t>
      </w:r>
    </w:p>
    <w:p w14:paraId="5C5ED975">
      <w:pPr>
        <w:pStyle w:val="410"/>
        <w:rPr>
          <w:rFonts w:hint="default"/>
          <w:color w:val="auto"/>
          <w:highlight w:val="none"/>
          <w:lang w:val="en-US" w:eastAsia="zh-CN"/>
        </w:rPr>
      </w:pPr>
      <w:r>
        <w:rPr>
          <w:rFonts w:hint="eastAsia" w:ascii="Times New Roman" w:hAnsi="Times New Roman" w:eastAsia="宋体" w:cs="Times New Roman"/>
          <w:b w:val="0"/>
          <w:bCs w:val="0"/>
          <w:color w:val="auto"/>
          <w:sz w:val="24"/>
          <w:szCs w:val="24"/>
          <w:highlight w:val="none"/>
          <w:u w:val="single"/>
          <w:lang w:val="en-US" w:eastAsia="zh-CN"/>
        </w:rPr>
        <w:t>施工结束后对路面及路基边坡采用撒播草籽植物，防护措施以保证裸露面的稳定性，以促使裸露面迅速被植物覆盖，尽量减少水土流失。</w:t>
      </w:r>
    </w:p>
    <w:p w14:paraId="1775DF0E">
      <w:pPr>
        <w:pStyle w:val="6"/>
        <w:numPr>
          <w:ilvl w:val="3"/>
          <w:numId w:val="40"/>
        </w:numPr>
        <w:bidi w:val="0"/>
        <w:ind w:left="0" w:leftChars="0" w:firstLine="0" w:firstLineChars="0"/>
        <w:rPr>
          <w:rFonts w:hint="default"/>
          <w:color w:val="auto"/>
          <w:highlight w:val="none"/>
          <w:lang w:val="en-US" w:eastAsia="zh-CN"/>
        </w:rPr>
      </w:pPr>
      <w:r>
        <w:rPr>
          <w:rFonts w:hint="eastAsia"/>
          <w:color w:val="auto"/>
          <w:highlight w:val="none"/>
          <w:lang w:val="en-US" w:eastAsia="zh-CN"/>
        </w:rPr>
        <w:t>临时中转场防护措施</w:t>
      </w:r>
    </w:p>
    <w:p w14:paraId="00ABED68">
      <w:pPr>
        <w:pStyle w:val="410"/>
        <w:rPr>
          <w:rFonts w:hint="eastAsia"/>
          <w:color w:val="auto"/>
          <w:highlight w:val="none"/>
          <w:u w:val="single"/>
          <w:lang w:val="en-US" w:eastAsia="zh-CN"/>
        </w:rPr>
      </w:pPr>
      <w:r>
        <w:rPr>
          <w:rFonts w:hint="eastAsia"/>
          <w:color w:val="auto"/>
          <w:highlight w:val="none"/>
          <w:u w:val="single"/>
          <w:lang w:val="en-US" w:eastAsia="zh-CN"/>
        </w:rPr>
        <w:t>项目设置临时中转场主要用于耕植土堆放和淤泥晾晒，由于临时中转场为露天形式，项目拟采取编织土袋临时挡墙、密目网覆盖、截排水沟及初期雨水收集池等措施。</w:t>
      </w:r>
    </w:p>
    <w:p w14:paraId="0685A9EF">
      <w:pPr>
        <w:pStyle w:val="410"/>
        <w:numPr>
          <w:ilvl w:val="0"/>
          <w:numId w:val="48"/>
        </w:numPr>
        <w:ind w:left="0" w:leftChars="0" w:firstLine="442" w:firstLineChars="200"/>
        <w:rPr>
          <w:rFonts w:hint="eastAsia" w:ascii="宋体" w:hAnsi="Times New Roman" w:eastAsia="宋体" w:cs="Times New Roman"/>
          <w:b/>
          <w:bCs/>
          <w:color w:val="auto"/>
          <w:highlight w:val="none"/>
          <w:u w:val="single"/>
          <w:lang w:val="en-US" w:eastAsia="zh-CN"/>
        </w:rPr>
      </w:pPr>
      <w:r>
        <w:rPr>
          <w:rFonts w:hint="eastAsia" w:ascii="宋体" w:hAnsi="Times New Roman" w:eastAsia="宋体" w:cs="Times New Roman"/>
          <w:b/>
          <w:bCs/>
          <w:color w:val="auto"/>
          <w:highlight w:val="none"/>
          <w:u w:val="single"/>
          <w:lang w:val="en-US" w:eastAsia="zh-CN"/>
        </w:rPr>
        <w:t>编织袋临时挡墙</w:t>
      </w:r>
    </w:p>
    <w:p w14:paraId="3222A26E">
      <w:pPr>
        <w:pStyle w:val="410"/>
        <w:rPr>
          <w:rFonts w:hint="eastAsia" w:ascii="宋体" w:hAnsi="Times New Roman" w:eastAsia="宋体" w:cs="Times New Roman"/>
          <w:color w:val="auto"/>
          <w:highlight w:val="none"/>
          <w:u w:val="single"/>
          <w:lang w:val="en-US" w:eastAsia="zh-CN"/>
        </w:rPr>
      </w:pPr>
      <w:r>
        <w:rPr>
          <w:rFonts w:hint="eastAsia" w:ascii="宋体" w:hAnsi="Times New Roman" w:eastAsia="宋体" w:cs="Times New Roman"/>
          <w:color w:val="auto"/>
          <w:highlight w:val="none"/>
          <w:u w:val="single"/>
          <w:lang w:val="en-US" w:eastAsia="zh-CN"/>
        </w:rPr>
        <w:t>为防止临时堆土四处洒落或受降雨径流冲刷影响周围环境，采用编织袋装土堆砌成梯形断面挡土墙，对边坡坡脚进行临时拦挡，临时挡墙断面为梯形断面，尺寸为：下底 1.0m，上底 0.6m，高 1.0m，分层错缝填筑。施工结束后，将拆除挡墙所得表土就近利用。临时挡土墙单位工程量为编织袋土0.80m</w:t>
      </w:r>
      <w:r>
        <w:rPr>
          <w:rFonts w:hint="eastAsia" w:ascii="宋体" w:hAnsi="Times New Roman" w:eastAsia="宋体" w:cs="Times New Roman"/>
          <w:color w:val="auto"/>
          <w:highlight w:val="none"/>
          <w:u w:val="single"/>
          <w:vertAlign w:val="superscript"/>
          <w:lang w:val="en-US" w:eastAsia="zh-CN"/>
        </w:rPr>
        <w:t>3</w:t>
      </w:r>
      <w:r>
        <w:rPr>
          <w:rFonts w:hint="eastAsia" w:ascii="宋体" w:hAnsi="Times New Roman" w:eastAsia="宋体" w:cs="Times New Roman"/>
          <w:color w:val="auto"/>
          <w:highlight w:val="none"/>
          <w:u w:val="single"/>
          <w:lang w:val="en-US" w:eastAsia="zh-CN"/>
        </w:rPr>
        <w:t>/m。经计算，临时中转场区临时挡墙长375m。</w:t>
      </w:r>
    </w:p>
    <w:p w14:paraId="398376DD">
      <w:pPr>
        <w:pStyle w:val="410"/>
        <w:numPr>
          <w:ilvl w:val="0"/>
          <w:numId w:val="48"/>
        </w:numPr>
        <w:ind w:left="0" w:leftChars="0" w:firstLine="442" w:firstLineChars="200"/>
        <w:rPr>
          <w:rFonts w:hint="eastAsia" w:ascii="宋体" w:hAnsi="Times New Roman" w:eastAsia="宋体" w:cs="Times New Roman"/>
          <w:b/>
          <w:bCs/>
          <w:color w:val="auto"/>
          <w:highlight w:val="none"/>
          <w:u w:val="single"/>
          <w:lang w:val="en-US" w:eastAsia="zh-CN"/>
        </w:rPr>
      </w:pPr>
      <w:r>
        <w:rPr>
          <w:rFonts w:hint="eastAsia" w:ascii="宋体" w:hAnsi="Times New Roman" w:eastAsia="宋体" w:cs="Times New Roman"/>
          <w:b/>
          <w:bCs/>
          <w:color w:val="auto"/>
          <w:highlight w:val="none"/>
          <w:u w:val="single"/>
          <w:lang w:val="en-US" w:eastAsia="zh-CN"/>
        </w:rPr>
        <w:t>临时覆盖措施</w:t>
      </w:r>
    </w:p>
    <w:p w14:paraId="3C644657">
      <w:pPr>
        <w:pStyle w:val="410"/>
        <w:rPr>
          <w:rFonts w:hint="eastAsia" w:ascii="宋体" w:hAnsi="Times New Roman" w:eastAsia="宋体" w:cs="Times New Roman"/>
          <w:color w:val="auto"/>
          <w:highlight w:val="none"/>
          <w:u w:val="single"/>
          <w:lang w:val="en-US" w:eastAsia="zh-CN"/>
        </w:rPr>
      </w:pPr>
      <w:r>
        <w:rPr>
          <w:rFonts w:hint="eastAsia" w:ascii="宋体" w:hAnsi="Times New Roman" w:eastAsia="宋体" w:cs="Times New Roman"/>
          <w:color w:val="auto"/>
          <w:highlight w:val="none"/>
          <w:u w:val="single"/>
          <w:lang w:val="en-US" w:eastAsia="zh-CN"/>
        </w:rPr>
        <w:t>表土质地疏松，若不采取覆盖措施，遇降雨容易发生击溅侵蚀及沟蚀，或随风起扬尘，本方案拟对临时堆土表面覆盖密目网进行防护。</w:t>
      </w:r>
    </w:p>
    <w:p w14:paraId="4756D796">
      <w:pPr>
        <w:pStyle w:val="410"/>
        <w:rPr>
          <w:rFonts w:hint="eastAsia" w:ascii="宋体" w:hAnsi="Times New Roman" w:eastAsia="宋体" w:cs="Times New Roman"/>
          <w:color w:val="auto"/>
          <w:highlight w:val="none"/>
          <w:u w:val="single"/>
          <w:lang w:val="en-US" w:eastAsia="zh-CN"/>
        </w:rPr>
      </w:pPr>
      <w:r>
        <w:rPr>
          <w:rFonts w:hint="eastAsia" w:ascii="宋体" w:hAnsi="Times New Roman" w:eastAsia="宋体" w:cs="Times New Roman"/>
          <w:color w:val="auto"/>
          <w:highlight w:val="none"/>
          <w:u w:val="single"/>
          <w:lang w:val="en-US" w:eastAsia="zh-CN"/>
        </w:rPr>
        <w:t>经统计，临时中转场区临时覆盖工程需密目网 8000m</w:t>
      </w:r>
      <w:r>
        <w:rPr>
          <w:rFonts w:hint="eastAsia" w:ascii="宋体" w:hAnsi="Times New Roman" w:eastAsia="宋体" w:cs="Times New Roman"/>
          <w:color w:val="auto"/>
          <w:highlight w:val="none"/>
          <w:u w:val="single"/>
          <w:vertAlign w:val="superscript"/>
          <w:lang w:val="en-US" w:eastAsia="zh-CN"/>
        </w:rPr>
        <w:t>2</w:t>
      </w:r>
      <w:r>
        <w:rPr>
          <w:rFonts w:hint="eastAsia" w:ascii="宋体" w:hAnsi="Times New Roman" w:eastAsia="宋体" w:cs="Times New Roman"/>
          <w:color w:val="auto"/>
          <w:highlight w:val="none"/>
          <w:u w:val="single"/>
          <w:lang w:val="en-US" w:eastAsia="zh-CN"/>
        </w:rPr>
        <w:t>。</w:t>
      </w:r>
    </w:p>
    <w:p w14:paraId="2A47E026">
      <w:pPr>
        <w:pStyle w:val="410"/>
        <w:numPr>
          <w:ilvl w:val="0"/>
          <w:numId w:val="48"/>
        </w:numPr>
        <w:ind w:left="0" w:leftChars="0" w:firstLine="442" w:firstLineChars="200"/>
        <w:rPr>
          <w:rFonts w:hint="default" w:ascii="Times New Roman" w:hAnsi="Times New Roman" w:eastAsia="宋体" w:cs="Times New Roman"/>
          <w:b/>
          <w:bCs/>
          <w:color w:val="auto"/>
          <w:highlight w:val="none"/>
          <w:u w:val="single"/>
          <w:lang w:val="en-US" w:eastAsia="zh-CN"/>
        </w:rPr>
      </w:pPr>
      <w:r>
        <w:rPr>
          <w:rFonts w:hint="default" w:ascii="Times New Roman" w:hAnsi="Times New Roman" w:eastAsia="宋体" w:cs="Times New Roman"/>
          <w:b/>
          <w:bCs/>
          <w:color w:val="auto"/>
          <w:highlight w:val="none"/>
          <w:u w:val="single"/>
          <w:lang w:val="en-US" w:eastAsia="zh-CN"/>
        </w:rPr>
        <w:t>截排水沟、沉沙池</w:t>
      </w:r>
    </w:p>
    <w:p w14:paraId="626B7DDE">
      <w:pPr>
        <w:pStyle w:val="410"/>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本方案拟在场地周边开挖临时截、排水沟以引导雨水，低处排水口处依地形挖临时沉沙池以沉淀泥沙，雨水排入附近沟道。临时排水沟采用梯形断面，底 0.4m×深 0.4m，内坡比为 1:1，内坡及底部砂浆抹面，单位开挖土方工程量 0.35m</w:t>
      </w:r>
      <w:r>
        <w:rPr>
          <w:rFonts w:hint="default" w:ascii="Times New Roman" w:hAnsi="Times New Roman" w:eastAsia="宋体" w:cs="Times New Roman"/>
          <w:color w:val="auto"/>
          <w:highlight w:val="none"/>
          <w:u w:val="single"/>
          <w:vertAlign w:val="superscript"/>
          <w:lang w:val="en-US" w:eastAsia="zh-CN"/>
        </w:rPr>
        <w:t>3</w:t>
      </w:r>
      <w:r>
        <w:rPr>
          <w:rFonts w:hint="default" w:ascii="Times New Roman" w:hAnsi="Times New Roman" w:eastAsia="宋体" w:cs="Times New Roman"/>
          <w:color w:val="auto"/>
          <w:highlight w:val="none"/>
          <w:u w:val="single"/>
          <w:lang w:val="en-US" w:eastAsia="zh-CN"/>
        </w:rPr>
        <w:t xml:space="preserve"> /m，砂浆抹面1.70m</w:t>
      </w:r>
      <w:r>
        <w:rPr>
          <w:rFonts w:hint="default" w:ascii="Times New Roman" w:hAnsi="Times New Roman" w:eastAsia="宋体" w:cs="Times New Roman"/>
          <w:color w:val="auto"/>
          <w:highlight w:val="none"/>
          <w:u w:val="single"/>
          <w:vertAlign w:val="superscript"/>
          <w:lang w:val="en-US" w:eastAsia="zh-CN"/>
        </w:rPr>
        <w:t>2</w:t>
      </w:r>
      <w:r>
        <w:rPr>
          <w:rFonts w:hint="default" w:ascii="Times New Roman" w:hAnsi="Times New Roman" w:eastAsia="宋体" w:cs="Times New Roman"/>
          <w:color w:val="auto"/>
          <w:highlight w:val="none"/>
          <w:u w:val="single"/>
          <w:lang w:val="en-US" w:eastAsia="zh-CN"/>
        </w:rPr>
        <w:t xml:space="preserve"> /m；</w:t>
      </w:r>
      <w:r>
        <w:rPr>
          <w:rFonts w:hint="eastAsia" w:ascii="Times New Roman" w:hAnsi="Times New Roman" w:eastAsia="宋体" w:cs="Times New Roman"/>
          <w:color w:val="auto"/>
          <w:highlight w:val="none"/>
          <w:u w:val="single"/>
          <w:lang w:val="en-US" w:eastAsia="zh-CN"/>
        </w:rPr>
        <w:t>位于临时中转场两侧设置总容积为700</w:t>
      </w:r>
      <w:r>
        <w:rPr>
          <w:rFonts w:hint="default" w:ascii="Times New Roman" w:hAnsi="Times New Roman" w:eastAsia="宋体" w:cs="Times New Roman"/>
          <w:color w:val="auto"/>
          <w:highlight w:val="none"/>
          <w:u w:val="single"/>
          <w:lang w:val="en-US" w:eastAsia="zh-CN"/>
        </w:rPr>
        <w:t>m</w:t>
      </w:r>
      <w:r>
        <w:rPr>
          <w:rFonts w:hint="eastAsia" w:ascii="Times New Roman" w:hAnsi="Times New Roman" w:eastAsia="宋体" w:cs="Times New Roman"/>
          <w:color w:val="auto"/>
          <w:highlight w:val="none"/>
          <w:u w:val="single"/>
          <w:vertAlign w:val="superscript"/>
          <w:lang w:val="en-US" w:eastAsia="zh-CN"/>
        </w:rPr>
        <w:t>3</w:t>
      </w:r>
      <w:r>
        <w:rPr>
          <w:rFonts w:hint="eastAsia" w:ascii="Times New Roman" w:hAnsi="Times New Roman" w:eastAsia="宋体" w:cs="Times New Roman"/>
          <w:color w:val="auto"/>
          <w:highlight w:val="none"/>
          <w:u w:val="single"/>
          <w:lang w:val="en-US" w:eastAsia="zh-CN"/>
        </w:rPr>
        <w:t>的 沉淀池，</w:t>
      </w:r>
      <w:r>
        <w:rPr>
          <w:rFonts w:hint="default" w:ascii="Times New Roman" w:hAnsi="Times New Roman" w:eastAsia="宋体" w:cs="Times New Roman"/>
          <w:color w:val="auto"/>
          <w:highlight w:val="none"/>
          <w:u w:val="single"/>
          <w:lang w:val="en-US" w:eastAsia="zh-CN"/>
        </w:rPr>
        <w:t>内坡及底部砂浆抹面，排水设施开挖土方置于沟道两侧夯实处理，严禁随意堆放，不得堆弃于用地范围以外。</w:t>
      </w:r>
    </w:p>
    <w:p w14:paraId="0DE9EAA3">
      <w:pPr>
        <w:pStyle w:val="410"/>
        <w:rPr>
          <w:rFonts w:hint="eastAsia" w:ascii="宋体" w:hAnsi="Times New Roman" w:eastAsia="宋体" w:cs="Times New Roman"/>
          <w:color w:val="auto"/>
          <w:highlight w:val="none"/>
          <w:u w:val="single"/>
          <w:lang w:val="en-US" w:eastAsia="zh-CN"/>
        </w:rPr>
      </w:pPr>
      <w:r>
        <w:rPr>
          <w:rFonts w:hint="eastAsia" w:ascii="宋体" w:hAnsi="Times New Roman" w:eastAsia="宋体" w:cs="Times New Roman"/>
          <w:color w:val="auto"/>
          <w:highlight w:val="none"/>
          <w:u w:val="single"/>
          <w:lang w:val="en-US" w:eastAsia="zh-CN"/>
        </w:rPr>
        <w:t xml:space="preserve">经估算，施工中需修筑临时排水沟长 </w:t>
      </w:r>
      <w:r>
        <w:rPr>
          <w:rFonts w:hint="default" w:ascii="宋体" w:hAnsi="Times New Roman" w:eastAsia="宋体" w:cs="Times New Roman"/>
          <w:color w:val="auto"/>
          <w:highlight w:val="none"/>
          <w:u w:val="single"/>
          <w:lang w:val="en-US" w:eastAsia="zh-CN"/>
        </w:rPr>
        <w:t>398m</w:t>
      </w:r>
      <w:r>
        <w:rPr>
          <w:rFonts w:hint="eastAsia" w:ascii="宋体" w:hAnsi="Times New Roman" w:eastAsia="宋体" w:cs="Times New Roman"/>
          <w:color w:val="auto"/>
          <w:highlight w:val="none"/>
          <w:u w:val="single"/>
          <w:lang w:val="en-US" w:eastAsia="zh-CN"/>
        </w:rPr>
        <w:t xml:space="preserve">，配套沉沙池 </w:t>
      </w:r>
      <w:r>
        <w:rPr>
          <w:rFonts w:hint="default" w:ascii="宋体" w:hAnsi="Times New Roman" w:eastAsia="宋体" w:cs="Times New Roman"/>
          <w:color w:val="auto"/>
          <w:highlight w:val="none"/>
          <w:u w:val="single"/>
          <w:lang w:val="en-US" w:eastAsia="zh-CN"/>
        </w:rPr>
        <w:t xml:space="preserve">1 </w:t>
      </w:r>
      <w:r>
        <w:rPr>
          <w:rFonts w:hint="eastAsia" w:ascii="宋体" w:hAnsi="Times New Roman" w:eastAsia="宋体" w:cs="Times New Roman"/>
          <w:color w:val="auto"/>
          <w:highlight w:val="none"/>
          <w:u w:val="single"/>
          <w:lang w:val="en-US" w:eastAsia="zh-CN"/>
        </w:rPr>
        <w:t>个。</w:t>
      </w:r>
    </w:p>
    <w:p w14:paraId="5BCC6592">
      <w:pPr>
        <w:pStyle w:val="6"/>
        <w:numPr>
          <w:ilvl w:val="3"/>
          <w:numId w:val="40"/>
        </w:numPr>
        <w:bidi w:val="0"/>
        <w:ind w:left="0" w:leftChars="0" w:firstLine="0" w:firstLineChars="0"/>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钢筋加工厂</w:t>
      </w:r>
    </w:p>
    <w:p w14:paraId="03D01C27">
      <w:pPr>
        <w:pStyle w:val="410"/>
        <w:rPr>
          <w:rFonts w:hint="default" w:ascii="宋体" w:hAnsi="Times New Roman" w:eastAsia="宋体" w:cs="Times New Roman"/>
          <w:color w:val="auto"/>
          <w:highlight w:val="none"/>
          <w:u w:val="single"/>
          <w:lang w:val="en-US" w:eastAsia="zh-CN"/>
        </w:rPr>
      </w:pPr>
      <w:r>
        <w:rPr>
          <w:rFonts w:hint="eastAsia" w:ascii="宋体" w:hAnsi="Times New Roman" w:eastAsia="宋体" w:cs="Times New Roman"/>
          <w:color w:val="auto"/>
          <w:highlight w:val="none"/>
          <w:u w:val="single"/>
          <w:lang w:val="en-US" w:eastAsia="zh-CN"/>
        </w:rPr>
        <w:t>项目位于临时中转场南侧设置一个面积约1500m</w:t>
      </w:r>
      <w:r>
        <w:rPr>
          <w:rFonts w:hint="eastAsia" w:ascii="宋体" w:hAnsi="Times New Roman" w:eastAsia="宋体" w:cs="Times New Roman"/>
          <w:color w:val="auto"/>
          <w:highlight w:val="none"/>
          <w:u w:val="single"/>
          <w:vertAlign w:val="superscript"/>
          <w:lang w:val="en-US" w:eastAsia="zh-CN"/>
        </w:rPr>
        <w:t>2</w:t>
      </w:r>
      <w:r>
        <w:rPr>
          <w:rFonts w:hint="eastAsia" w:ascii="宋体" w:hAnsi="Times New Roman" w:eastAsia="宋体" w:cs="Times New Roman"/>
          <w:color w:val="auto"/>
          <w:highlight w:val="none"/>
          <w:u w:val="single"/>
          <w:lang w:val="en-US" w:eastAsia="zh-CN"/>
        </w:rPr>
        <w:t>的钢材加工厂，钢材加工厂地面采取地面铺设碎石。为减少材料堆产生扬尘，施工期对临时材料堆放采取密目网或彩条布覆盖措施。施工后期撒播草籽后，为防止径流冲刷，同时促进草种快速生长，提高成活率，采用覆盖密目网的形式进行初期养护，需密目网800</w:t>
      </w:r>
      <w:r>
        <w:rPr>
          <w:rFonts w:hint="default" w:ascii="宋体" w:hAnsi="Times New Roman" w:eastAsia="宋体" w:cs="Times New Roman"/>
          <w:color w:val="auto"/>
          <w:highlight w:val="none"/>
          <w:u w:val="single"/>
          <w:lang w:val="en-US" w:eastAsia="zh-CN"/>
        </w:rPr>
        <w:t>m</w:t>
      </w:r>
      <w:r>
        <w:rPr>
          <w:rFonts w:hint="eastAsia" w:ascii="宋体" w:hAnsi="Times New Roman" w:eastAsia="宋体" w:cs="Times New Roman"/>
          <w:color w:val="auto"/>
          <w:highlight w:val="none"/>
          <w:u w:val="single"/>
          <w:vertAlign w:val="superscript"/>
          <w:lang w:val="en-US" w:eastAsia="zh-CN"/>
        </w:rPr>
        <w:t>2</w:t>
      </w:r>
      <w:r>
        <w:rPr>
          <w:rFonts w:hint="eastAsia" w:ascii="宋体" w:hAnsi="Times New Roman" w:eastAsia="宋体" w:cs="Times New Roman"/>
          <w:color w:val="auto"/>
          <w:highlight w:val="none"/>
          <w:u w:val="single"/>
          <w:lang w:val="en-US" w:eastAsia="zh-CN"/>
        </w:rPr>
        <w:t>。</w:t>
      </w:r>
    </w:p>
    <w:p w14:paraId="0B30A153">
      <w:pPr>
        <w:pStyle w:val="4"/>
        <w:numPr>
          <w:ilvl w:val="1"/>
          <w:numId w:val="40"/>
        </w:numPr>
        <w:bidi w:val="0"/>
        <w:ind w:left="678" w:leftChars="0" w:firstLine="0" w:firstLineChars="0"/>
        <w:rPr>
          <w:rFonts w:hint="default"/>
          <w:color w:val="auto"/>
          <w:highlight w:val="none"/>
        </w:rPr>
      </w:pPr>
      <w:r>
        <w:rPr>
          <w:rFonts w:hint="default"/>
          <w:color w:val="auto"/>
          <w:highlight w:val="none"/>
        </w:rPr>
        <w:t>运营期环境保护措施及可行性分析</w:t>
      </w:r>
      <w:bookmarkEnd w:id="129"/>
    </w:p>
    <w:bookmarkEnd w:id="125"/>
    <w:bookmarkEnd w:id="126"/>
    <w:bookmarkEnd w:id="127"/>
    <w:bookmarkEnd w:id="128"/>
    <w:p w14:paraId="396A0574">
      <w:pPr>
        <w:pStyle w:val="5"/>
        <w:numPr>
          <w:ilvl w:val="2"/>
          <w:numId w:val="40"/>
        </w:numPr>
        <w:bidi w:val="0"/>
        <w:ind w:left="452" w:leftChars="0" w:firstLine="0" w:firstLineChars="0"/>
        <w:rPr>
          <w:rFonts w:hint="default"/>
          <w:color w:val="auto"/>
          <w:highlight w:val="none"/>
        </w:rPr>
      </w:pPr>
      <w:r>
        <w:rPr>
          <w:rFonts w:hint="default"/>
          <w:color w:val="auto"/>
          <w:highlight w:val="none"/>
        </w:rPr>
        <w:t>运营期</w:t>
      </w:r>
      <w:r>
        <w:rPr>
          <w:rFonts w:hint="default"/>
          <w:color w:val="auto"/>
          <w:highlight w:val="none"/>
          <w:lang w:val="en-US" w:eastAsia="zh-CN"/>
        </w:rPr>
        <w:t>陆生生态</w:t>
      </w:r>
      <w:r>
        <w:rPr>
          <w:rFonts w:hint="default"/>
          <w:color w:val="auto"/>
          <w:highlight w:val="none"/>
        </w:rPr>
        <w:t>保护措施及可行性分析</w:t>
      </w:r>
    </w:p>
    <w:p w14:paraId="35AB4352">
      <w:pPr>
        <w:pStyle w:val="68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（1）加强对施工恢复植被管护。施工完成后，及时清理临时</w:t>
      </w:r>
      <w:r>
        <w:rPr>
          <w:rFonts w:hint="eastAsia" w:ascii="Times New Roman" w:hAnsi="Times New Roman" w:cs="Times New Roman"/>
          <w:color w:val="auto"/>
          <w:highlight w:val="none"/>
          <w:lang w:eastAsia="zh-CN"/>
        </w:rPr>
        <w:t>中转场</w:t>
      </w:r>
      <w:r>
        <w:rPr>
          <w:rFonts w:hint="default" w:ascii="Times New Roman" w:hAnsi="Times New Roman" w:cs="Times New Roman"/>
          <w:color w:val="auto"/>
          <w:highlight w:val="none"/>
        </w:rPr>
        <w:t>表面，并依据植被生态演替的基本规律采取植被恢复措施，对临时</w:t>
      </w:r>
      <w:r>
        <w:rPr>
          <w:rFonts w:hint="eastAsia"/>
          <w:color w:val="auto"/>
          <w:highlight w:val="none"/>
          <w:lang w:eastAsia="zh-CN"/>
        </w:rPr>
        <w:t>中转场、钦州港路和曲绣路道路回填区</w:t>
      </w:r>
      <w:r>
        <w:rPr>
          <w:rFonts w:hint="default" w:ascii="Times New Roman" w:hAnsi="Times New Roman" w:cs="Times New Roman"/>
          <w:color w:val="auto"/>
          <w:highlight w:val="none"/>
        </w:rPr>
        <w:t>造成的裸露地表采取植被恢复措施。而且对于临时占用的施工场地</w:t>
      </w:r>
      <w:r>
        <w:rPr>
          <w:rFonts w:hint="eastAsia"/>
          <w:color w:val="auto"/>
          <w:highlight w:val="none"/>
          <w:lang w:eastAsia="zh-CN"/>
        </w:rPr>
        <w:t>、临时管道施工区</w:t>
      </w:r>
      <w:r>
        <w:rPr>
          <w:rFonts w:hint="default" w:ascii="Times New Roman" w:hAnsi="Times New Roman" w:cs="Times New Roman"/>
          <w:color w:val="auto"/>
          <w:highlight w:val="none"/>
        </w:rPr>
        <w:t>也应恢复原状，施工单位进行植被恢复。</w:t>
      </w:r>
    </w:p>
    <w:p w14:paraId="0D80AEC5">
      <w:pPr>
        <w:pStyle w:val="68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eastAsia="zh-CN"/>
        </w:rPr>
        <w:t>）项</w:t>
      </w:r>
      <w:r>
        <w:rPr>
          <w:rFonts w:hint="default" w:ascii="Times New Roman" w:hAnsi="Times New Roman" w:cs="Times New Roman"/>
          <w:color w:val="auto"/>
          <w:highlight w:val="none"/>
        </w:rPr>
        <w:t>目设计的护坡形式以工程措施和植物措施相结合，充分考虑城市对河道景观和环境和谐的要求，保持河道原有的生态功能，绿化植被选择本地易生耐活树种，维护区域的生物</w:t>
      </w:r>
      <w:r>
        <w:rPr>
          <w:rFonts w:hint="default" w:ascii="Times New Roman" w:hAnsi="Times New Roman" w:cs="Times New Roman"/>
          <w:color w:val="auto"/>
          <w:highlight w:val="none"/>
          <w:lang w:eastAsia="zh-CN"/>
        </w:rPr>
        <w:t>多样性</w:t>
      </w:r>
      <w:r>
        <w:rPr>
          <w:rFonts w:hint="default" w:ascii="Times New Roman" w:hAnsi="Times New Roman" w:cs="Times New Roman"/>
          <w:color w:val="auto"/>
          <w:highlight w:val="none"/>
        </w:rPr>
        <w:t>和生态系统的稳定性。</w:t>
      </w:r>
    </w:p>
    <w:p w14:paraId="63B2708F">
      <w:pPr>
        <w:pStyle w:val="68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3）坡面种植景观植物护坡，可以绿化、美化景观，回归河道的自然生态景观。由于南方气候适宜，湿润多雨，植被恢复较快，生态系统能够继续发挥原有系统的生态服务功能，具有美化环境、优化区域绿地控制能力等正面效应。</w:t>
      </w:r>
    </w:p>
    <w:p w14:paraId="3A62F982">
      <w:pPr>
        <w:pStyle w:val="684"/>
        <w:ind w:firstLine="442"/>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（4）做好绿化区的养护。严禁砍伐、破坏防洪堤保护区内的护岸林和阔叶林及杂木灌丛等植被</w:t>
      </w:r>
      <w:r>
        <w:rPr>
          <w:rFonts w:hint="default" w:ascii="Times New Roman" w:hAnsi="Times New Roman" w:cs="Times New Roman"/>
          <w:color w:val="auto"/>
          <w:highlight w:val="none"/>
          <w:lang w:eastAsia="zh-CN"/>
        </w:rPr>
        <w:t>。</w:t>
      </w:r>
    </w:p>
    <w:p w14:paraId="07C4688E">
      <w:pPr>
        <w:pStyle w:val="5"/>
        <w:numPr>
          <w:ilvl w:val="2"/>
          <w:numId w:val="40"/>
        </w:numPr>
        <w:bidi w:val="0"/>
        <w:ind w:left="452" w:leftChars="0" w:firstLine="0" w:firstLineChars="0"/>
        <w:rPr>
          <w:rFonts w:hint="default"/>
          <w:color w:val="auto"/>
          <w:highlight w:val="none"/>
        </w:rPr>
      </w:pPr>
      <w:r>
        <w:rPr>
          <w:rFonts w:hint="default"/>
          <w:color w:val="auto"/>
          <w:highlight w:val="none"/>
        </w:rPr>
        <w:t>运营期</w:t>
      </w:r>
      <w:r>
        <w:rPr>
          <w:rFonts w:hint="default"/>
          <w:color w:val="auto"/>
          <w:highlight w:val="none"/>
          <w:lang w:val="en-US" w:eastAsia="zh-CN"/>
        </w:rPr>
        <w:t>水生生态</w:t>
      </w:r>
      <w:r>
        <w:rPr>
          <w:rFonts w:hint="default"/>
          <w:color w:val="auto"/>
          <w:highlight w:val="none"/>
        </w:rPr>
        <w:t>保护措施及可行性分析</w:t>
      </w:r>
    </w:p>
    <w:p w14:paraId="764F50D4">
      <w:pPr>
        <w:pStyle w:val="684"/>
        <w:ind w:firstLine="442"/>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加强项目完工后对河流环境的管理工作。同时要定时打捞水面垃圾和挖除受污染的底泥，减少</w:t>
      </w:r>
      <w:r>
        <w:rPr>
          <w:rFonts w:hint="eastAsia" w:ascii="Times New Roman" w:cs="Times New Roman"/>
          <w:color w:val="auto"/>
          <w:highlight w:val="none"/>
          <w:lang w:eastAsia="zh-CN"/>
        </w:rPr>
        <w:t>河道</w:t>
      </w:r>
      <w:r>
        <w:rPr>
          <w:rFonts w:hint="default" w:ascii="Times New Roman" w:hAnsi="Times New Roman" w:cs="Times New Roman"/>
          <w:color w:val="auto"/>
          <w:highlight w:val="none"/>
          <w:lang w:eastAsia="zh-CN"/>
        </w:rPr>
        <w:t>本身的内源污染。</w:t>
      </w:r>
    </w:p>
    <w:p w14:paraId="5F4686A4">
      <w:pPr>
        <w:pStyle w:val="5"/>
        <w:numPr>
          <w:ilvl w:val="2"/>
          <w:numId w:val="40"/>
        </w:numPr>
        <w:bidi w:val="0"/>
        <w:ind w:left="452" w:leftChars="0" w:firstLine="0" w:firstLineChars="0"/>
        <w:rPr>
          <w:rFonts w:hint="default"/>
          <w:color w:val="auto"/>
          <w:highlight w:val="none"/>
        </w:rPr>
      </w:pPr>
      <w:r>
        <w:rPr>
          <w:rFonts w:hint="default"/>
          <w:color w:val="auto"/>
          <w:highlight w:val="none"/>
        </w:rPr>
        <w:t>运营期大气污染防治措施及可行性分析</w:t>
      </w:r>
    </w:p>
    <w:p w14:paraId="774E25F8">
      <w:pPr>
        <w:pStyle w:val="410"/>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项目无废气产生</w:t>
      </w:r>
      <w:r>
        <w:rPr>
          <w:rFonts w:hint="default" w:ascii="Times New Roman" w:hAnsi="Times New Roman" w:cs="Times New Roman"/>
          <w:color w:val="auto"/>
          <w:highlight w:val="none"/>
        </w:rPr>
        <w:t>。</w:t>
      </w:r>
    </w:p>
    <w:p w14:paraId="507B4E1F">
      <w:pPr>
        <w:pStyle w:val="5"/>
        <w:numPr>
          <w:ilvl w:val="2"/>
          <w:numId w:val="40"/>
        </w:numPr>
        <w:bidi w:val="0"/>
        <w:ind w:left="452" w:leftChars="0" w:firstLine="0" w:firstLineChars="0"/>
        <w:rPr>
          <w:rFonts w:hint="default"/>
          <w:color w:val="auto"/>
          <w:highlight w:val="none"/>
        </w:rPr>
      </w:pPr>
      <w:r>
        <w:rPr>
          <w:rFonts w:hint="default"/>
          <w:color w:val="auto"/>
          <w:highlight w:val="none"/>
        </w:rPr>
        <w:t>运营期水污染防治措施及可行性分析</w:t>
      </w:r>
    </w:p>
    <w:p w14:paraId="08CF4800">
      <w:pPr>
        <w:pStyle w:val="41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lang w:val="en-US" w:eastAsia="zh-CN"/>
        </w:rPr>
        <w:t>项目</w:t>
      </w:r>
      <w:r>
        <w:rPr>
          <w:rFonts w:hint="eastAsia" w:ascii="Times New Roman" w:hAnsi="Times New Roman" w:eastAsia="宋体" w:cs="Times New Roman"/>
          <w:color w:val="auto"/>
          <w:highlight w:val="none"/>
          <w:lang w:val="en-US" w:eastAsia="zh-CN"/>
        </w:rPr>
        <w:t>无废水产生</w:t>
      </w:r>
      <w:r>
        <w:rPr>
          <w:rFonts w:hint="default" w:ascii="Times New Roman" w:hAnsi="Times New Roman" w:eastAsia="宋体" w:cs="Times New Roman"/>
          <w:color w:val="auto"/>
          <w:highlight w:val="none"/>
          <w:lang w:val="en-US" w:eastAsia="zh-CN"/>
        </w:rPr>
        <w:t>。</w:t>
      </w:r>
    </w:p>
    <w:p w14:paraId="1FCDDCA4">
      <w:pPr>
        <w:pStyle w:val="5"/>
        <w:numPr>
          <w:ilvl w:val="2"/>
          <w:numId w:val="40"/>
        </w:numPr>
        <w:bidi w:val="0"/>
        <w:ind w:left="452" w:leftChars="0" w:firstLine="0" w:firstLineChars="0"/>
        <w:rPr>
          <w:rFonts w:hint="default"/>
          <w:color w:val="auto"/>
          <w:highlight w:val="none"/>
        </w:rPr>
      </w:pPr>
      <w:r>
        <w:rPr>
          <w:rFonts w:hint="default"/>
          <w:color w:val="auto"/>
          <w:highlight w:val="none"/>
        </w:rPr>
        <w:t>运营期噪声污染防治措施及可行性分析</w:t>
      </w:r>
    </w:p>
    <w:p w14:paraId="0BB97AD6">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项目</w:t>
      </w:r>
      <w:r>
        <w:rPr>
          <w:rFonts w:hint="eastAsia" w:ascii="Times New Roman" w:hAnsi="Times New Roman" w:cs="Times New Roman"/>
          <w:color w:val="auto"/>
          <w:highlight w:val="none"/>
          <w:lang w:val="en-US" w:eastAsia="zh-CN"/>
        </w:rPr>
        <w:t>无噪声产生</w:t>
      </w:r>
      <w:r>
        <w:rPr>
          <w:rFonts w:hint="default" w:ascii="Times New Roman" w:hAnsi="Times New Roman" w:cs="Times New Roman"/>
          <w:color w:val="auto"/>
          <w:highlight w:val="none"/>
        </w:rPr>
        <w:t>。</w:t>
      </w:r>
    </w:p>
    <w:p w14:paraId="23CCB3C7">
      <w:pPr>
        <w:pStyle w:val="5"/>
        <w:numPr>
          <w:ilvl w:val="2"/>
          <w:numId w:val="40"/>
        </w:numPr>
        <w:bidi w:val="0"/>
        <w:ind w:left="452" w:leftChars="0" w:firstLine="0" w:firstLineChars="0"/>
        <w:rPr>
          <w:rFonts w:hint="default"/>
          <w:color w:val="auto"/>
          <w:highlight w:val="none"/>
        </w:rPr>
      </w:pPr>
      <w:r>
        <w:rPr>
          <w:rFonts w:hint="default"/>
          <w:color w:val="auto"/>
          <w:highlight w:val="none"/>
        </w:rPr>
        <w:t>运营期固体废物防治措施及可行性分析</w:t>
      </w:r>
    </w:p>
    <w:p w14:paraId="454BB10C">
      <w:pPr>
        <w:pStyle w:val="41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项目无固废产生。</w:t>
      </w:r>
    </w:p>
    <w:p w14:paraId="452869D0">
      <w:pPr>
        <w:pStyle w:val="4"/>
        <w:numPr>
          <w:ilvl w:val="1"/>
          <w:numId w:val="40"/>
        </w:numPr>
        <w:bidi w:val="0"/>
        <w:ind w:left="678" w:leftChars="0" w:firstLine="0" w:firstLineChars="0"/>
        <w:rPr>
          <w:rFonts w:hint="default"/>
          <w:color w:val="auto"/>
          <w:highlight w:val="none"/>
        </w:rPr>
      </w:pPr>
      <w:bookmarkStart w:id="130" w:name="_Toc5355"/>
      <w:r>
        <w:rPr>
          <w:rFonts w:hint="default"/>
          <w:color w:val="auto"/>
          <w:highlight w:val="none"/>
        </w:rPr>
        <w:t>风险防治措施及可行性分析</w:t>
      </w:r>
      <w:bookmarkEnd w:id="130"/>
    </w:p>
    <w:p w14:paraId="05F6BF7B">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项目施工机械、车辆使用燃油、废矿物质油</w:t>
      </w:r>
      <w:r>
        <w:rPr>
          <w:rFonts w:hint="eastAsia"/>
          <w:color w:val="auto"/>
          <w:highlight w:val="none"/>
          <w:lang w:eastAsia="zh-CN"/>
        </w:rPr>
        <w:t>暂存</w:t>
      </w:r>
      <w:r>
        <w:rPr>
          <w:rFonts w:hint="default" w:ascii="Times New Roman" w:hAnsi="Times New Roman" w:eastAsia="宋体" w:cs="Times New Roman"/>
          <w:color w:val="auto"/>
          <w:highlight w:val="none"/>
          <w:lang w:val="en-US" w:eastAsia="zh-CN"/>
        </w:rPr>
        <w:t>等过程中会发生跑、冒、滴等泄漏风险。防治措施如下：</w:t>
      </w:r>
    </w:p>
    <w:p w14:paraId="4D27CE24">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①加强环保宣传教育，增强施工人员的环保意识，尤其是提高挖掘机操作人员安全生产的高度责任感和责任心，增加对溢油事故危害和污染损害严重性的认识，提高实际操作应变能力、避免人为因素。</w:t>
      </w:r>
    </w:p>
    <w:p w14:paraId="311BD2C8">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②工程施工过程中，应监督施工单位，使用专用的施工机械，禁止使用改造机械，按规章制度和施工程序进行施工，严禁超载或超速，在一定程度上可以降低机械事故发生概率。</w:t>
      </w:r>
    </w:p>
    <w:p w14:paraId="4B22765A">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③在河道水域附近施工时应采取必要的防护措施，禁止施工污染物排入水体。在作业期间应禁止施工机械排放污染物，严禁施工机械向河道内排放污水，严禁将施工产生的垃圾投入河道中。</w:t>
      </w:r>
    </w:p>
    <w:p w14:paraId="0E8D55D5">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④发生燃油、废矿物质油泄漏事故，现场人员立即报告应急指挥中心领导，及时组织应急小组人员对泄漏进行堵漏，隔断火源，必要时使用泥土构筑围堤或挖坑拦截泄漏的油液，并做好相应的防渗措施，防止污染水体和土壤。</w:t>
      </w:r>
    </w:p>
    <w:p w14:paraId="5A5AA539">
      <w:pPr>
        <w:pStyle w:val="410"/>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⑤</w:t>
      </w:r>
      <w:r>
        <w:rPr>
          <w:rFonts w:hint="default" w:ascii="Times New Roman" w:hAnsi="Times New Roman" w:eastAsia="宋体" w:cs="Times New Roman"/>
          <w:color w:val="auto"/>
          <w:highlight w:val="none"/>
          <w:lang w:val="en-US" w:eastAsia="zh-CN"/>
        </w:rPr>
        <w:t>若发生泄漏事故，应迅速查明原因，尽快通知检修处理，并做好相应的收集措施，收集的废油交由有资质的单位处理。严禁事故油外漏而造成环境污染。</w:t>
      </w:r>
    </w:p>
    <w:p w14:paraId="3F660D02">
      <w:pPr>
        <w:pStyle w:val="410"/>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⑥</w:t>
      </w:r>
      <w:r>
        <w:rPr>
          <w:rFonts w:hint="default" w:ascii="Times New Roman" w:hAnsi="Times New Roman" w:eastAsia="宋体" w:cs="Times New Roman"/>
          <w:color w:val="auto"/>
          <w:highlight w:val="none"/>
          <w:lang w:val="en-US" w:eastAsia="zh-CN"/>
        </w:rPr>
        <w:t>设置应急物资，如沙包、填埋土等应急物资。</w:t>
      </w:r>
    </w:p>
    <w:p w14:paraId="087CB383">
      <w:pPr>
        <w:pStyle w:val="410"/>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⑦</w:t>
      </w:r>
      <w:r>
        <w:rPr>
          <w:rFonts w:hint="default" w:ascii="Times New Roman" w:hAnsi="Times New Roman" w:eastAsia="宋体" w:cs="Times New Roman"/>
          <w:color w:val="auto"/>
          <w:highlight w:val="none"/>
          <w:lang w:val="en-US" w:eastAsia="zh-CN"/>
        </w:rPr>
        <w:t>运行人员加强施工现场管理、巡查，避免发生燃油、废矿物质油等泄漏风险。</w:t>
      </w:r>
    </w:p>
    <w:p w14:paraId="4B2F816A">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以上措施在经济、技术上均较为成熟，是可行的。</w:t>
      </w:r>
    </w:p>
    <w:p w14:paraId="087D904B">
      <w:pPr>
        <w:pStyle w:val="4"/>
        <w:numPr>
          <w:ilvl w:val="1"/>
          <w:numId w:val="40"/>
        </w:numPr>
        <w:bidi w:val="0"/>
        <w:ind w:left="678" w:leftChars="0" w:firstLine="0" w:firstLineChars="0"/>
        <w:rPr>
          <w:rFonts w:hint="default"/>
          <w:color w:val="auto"/>
          <w:highlight w:val="none"/>
        </w:rPr>
      </w:pPr>
      <w:bookmarkStart w:id="131" w:name="_Toc18289"/>
      <w:r>
        <w:rPr>
          <w:rFonts w:hint="default"/>
          <w:color w:val="auto"/>
          <w:highlight w:val="none"/>
        </w:rPr>
        <w:t>环保措施费用估算</w:t>
      </w:r>
      <w:bookmarkEnd w:id="131"/>
    </w:p>
    <w:p w14:paraId="69E5EC87">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本项目工程总投资为</w:t>
      </w:r>
      <w:r>
        <w:rPr>
          <w:rFonts w:hint="default" w:ascii="Times New Roman" w:hAnsi="Times New Roman" w:cs="Times New Roman"/>
          <w:color w:val="auto"/>
          <w:highlight w:val="none"/>
          <w:lang w:val="en-US" w:eastAsia="zh-CN"/>
        </w:rPr>
        <w:t>8912.20</w:t>
      </w:r>
      <w:r>
        <w:rPr>
          <w:rFonts w:hint="default" w:ascii="Times New Roman" w:hAnsi="Times New Roman" w:cs="Times New Roman"/>
          <w:color w:val="auto"/>
          <w:highlight w:val="none"/>
          <w:u w:val="none"/>
        </w:rPr>
        <w:t>万元，环保投资为</w:t>
      </w:r>
      <w:r>
        <w:rPr>
          <w:rFonts w:hint="eastAsia" w:ascii="Times New Roman" w:cs="Times New Roman"/>
          <w:color w:val="auto"/>
          <w:highlight w:val="none"/>
          <w:u w:val="none"/>
          <w:lang w:val="en-US" w:eastAsia="zh-CN"/>
        </w:rPr>
        <w:t>67.2</w:t>
      </w:r>
      <w:r>
        <w:rPr>
          <w:rFonts w:hint="default" w:ascii="Times New Roman" w:hAnsi="Times New Roman" w:cs="Times New Roman"/>
          <w:color w:val="auto"/>
          <w:highlight w:val="none"/>
          <w:u w:val="none"/>
        </w:rPr>
        <w:t>万元，环保投资占比</w:t>
      </w:r>
      <w:r>
        <w:rPr>
          <w:rFonts w:hint="eastAsia" w:ascii="Times New Roman" w:cs="Times New Roman"/>
          <w:color w:val="auto"/>
          <w:highlight w:val="none"/>
          <w:u w:val="none"/>
          <w:lang w:val="en-US" w:eastAsia="zh-CN"/>
        </w:rPr>
        <w:t>0.75</w:t>
      </w:r>
      <w:r>
        <w:rPr>
          <w:rFonts w:hint="default" w:ascii="Times New Roman" w:hAnsi="Times New Roman" w:cs="Times New Roman"/>
          <w:color w:val="auto"/>
          <w:highlight w:val="none"/>
          <w:u w:val="none"/>
        </w:rPr>
        <w:t>%，本</w:t>
      </w:r>
      <w:r>
        <w:rPr>
          <w:rFonts w:hint="default" w:ascii="Times New Roman" w:hAnsi="Times New Roman" w:cs="Times New Roman"/>
          <w:color w:val="auto"/>
          <w:highlight w:val="none"/>
        </w:rPr>
        <w:t>项目环保投资估算详见</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_Ref96266966 \r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表5.4-1</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w:t>
      </w:r>
    </w:p>
    <w:p w14:paraId="1DA8C9D3">
      <w:pPr>
        <w:pStyle w:val="268"/>
        <w:keepNext w:val="0"/>
        <w:keepLines w:val="0"/>
        <w:pageBreakBefore w:val="0"/>
        <w:widowControl w:val="0"/>
        <w:numPr>
          <w:ilvl w:val="4"/>
          <w:numId w:val="4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bookmarkStart w:id="132" w:name="_Ref96266966"/>
      <w:r>
        <w:rPr>
          <w:rFonts w:hint="default"/>
          <w:color w:val="auto"/>
          <w:highlight w:val="none"/>
        </w:rPr>
        <w:t>工程主要环保投资估</w:t>
      </w:r>
      <w:bookmarkEnd w:id="132"/>
      <w:r>
        <w:rPr>
          <w:rFonts w:hint="default"/>
          <w:color w:val="auto"/>
          <w:highlight w:val="none"/>
        </w:rPr>
        <w:t>算表</w:t>
      </w:r>
    </w:p>
    <w:tbl>
      <w:tblPr>
        <w:tblStyle w:val="88"/>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649"/>
        <w:gridCol w:w="4409"/>
        <w:gridCol w:w="1813"/>
      </w:tblGrid>
      <w:tr w14:paraId="4623B3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4" w:type="pct"/>
            <w:gridSpan w:val="2"/>
            <w:tcBorders>
              <w:tl2br w:val="nil"/>
              <w:tr2bl w:val="nil"/>
            </w:tcBorders>
            <w:noWrap w:val="0"/>
            <w:vAlign w:val="center"/>
          </w:tcPr>
          <w:p w14:paraId="1560F11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sz w:val="21"/>
                <w:szCs w:val="21"/>
                <w:highlight w:val="none"/>
                <w:u w:val="none"/>
                <w:vertAlign w:val="baseline"/>
                <w:lang w:eastAsia="zh-CN"/>
              </w:rPr>
            </w:pPr>
            <w:r>
              <w:rPr>
                <w:rFonts w:hint="default" w:ascii="Times New Roman" w:hAnsi="Times New Roman" w:cs="Times New Roman"/>
                <w:b/>
                <w:bCs/>
                <w:color w:val="auto"/>
                <w:sz w:val="21"/>
                <w:szCs w:val="21"/>
                <w:highlight w:val="none"/>
                <w:u w:val="none"/>
                <w:vertAlign w:val="baseline"/>
                <w:lang w:eastAsia="zh-CN"/>
              </w:rPr>
              <w:t>污染源</w:t>
            </w:r>
          </w:p>
        </w:tc>
        <w:tc>
          <w:tcPr>
            <w:tcW w:w="2498" w:type="pct"/>
            <w:tcBorders>
              <w:tl2br w:val="nil"/>
              <w:tr2bl w:val="nil"/>
            </w:tcBorders>
            <w:noWrap w:val="0"/>
            <w:vAlign w:val="center"/>
          </w:tcPr>
          <w:p w14:paraId="6AF3E6B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bCs/>
                <w:color w:val="auto"/>
                <w:sz w:val="21"/>
                <w:szCs w:val="21"/>
                <w:highlight w:val="none"/>
                <w:u w:val="none"/>
                <w:vertAlign w:val="baseline"/>
              </w:rPr>
            </w:pPr>
            <w:r>
              <w:rPr>
                <w:rFonts w:hint="default" w:ascii="Times New Roman" w:hAnsi="Times New Roman" w:cs="Times New Roman"/>
                <w:b/>
                <w:bCs/>
                <w:color w:val="auto"/>
                <w:sz w:val="21"/>
                <w:szCs w:val="21"/>
                <w:highlight w:val="none"/>
                <w:u w:val="none"/>
                <w:vertAlign w:val="baseline"/>
                <w:lang w:eastAsia="zh-CN"/>
              </w:rPr>
              <w:t>投资内容</w:t>
            </w:r>
          </w:p>
        </w:tc>
        <w:tc>
          <w:tcPr>
            <w:tcW w:w="1027" w:type="pct"/>
            <w:tcBorders>
              <w:tl2br w:val="nil"/>
              <w:tr2bl w:val="nil"/>
            </w:tcBorders>
            <w:noWrap w:val="0"/>
            <w:vAlign w:val="center"/>
          </w:tcPr>
          <w:p w14:paraId="3A5ABD33">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sz w:val="21"/>
                <w:szCs w:val="21"/>
                <w:highlight w:val="none"/>
                <w:u w:val="none"/>
                <w:vertAlign w:val="baseline"/>
                <w:lang w:eastAsia="zh-CN"/>
              </w:rPr>
            </w:pPr>
            <w:r>
              <w:rPr>
                <w:rFonts w:hint="default" w:ascii="Times New Roman" w:hAnsi="Times New Roman" w:cs="Times New Roman"/>
                <w:b/>
                <w:bCs/>
                <w:color w:val="auto"/>
                <w:sz w:val="21"/>
                <w:szCs w:val="21"/>
                <w:highlight w:val="none"/>
                <w:u w:val="none"/>
                <w:vertAlign w:val="baseline"/>
                <w:lang w:eastAsia="zh-CN"/>
              </w:rPr>
              <w:t>投资额（万元）</w:t>
            </w:r>
          </w:p>
        </w:tc>
      </w:tr>
      <w:tr w14:paraId="28B04A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Merge w:val="restart"/>
            <w:tcBorders>
              <w:tl2br w:val="nil"/>
              <w:tr2bl w:val="nil"/>
            </w:tcBorders>
            <w:noWrap w:val="0"/>
            <w:vAlign w:val="center"/>
          </w:tcPr>
          <w:p w14:paraId="01070F1E">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sz w:val="21"/>
                <w:szCs w:val="21"/>
                <w:highlight w:val="none"/>
                <w:u w:val="none"/>
                <w:vertAlign w:val="baseline"/>
                <w:lang w:eastAsia="zh-CN"/>
              </w:rPr>
            </w:pPr>
            <w:r>
              <w:rPr>
                <w:rFonts w:hint="default" w:ascii="Times New Roman" w:hAnsi="Times New Roman" w:cs="Times New Roman"/>
                <w:b w:val="0"/>
                <w:bCs w:val="0"/>
                <w:color w:val="auto"/>
                <w:sz w:val="21"/>
                <w:szCs w:val="21"/>
                <w:highlight w:val="none"/>
                <w:u w:val="none"/>
                <w:vertAlign w:val="baseline"/>
                <w:lang w:eastAsia="zh-CN"/>
              </w:rPr>
              <w:t>施工期</w:t>
            </w:r>
          </w:p>
        </w:tc>
        <w:tc>
          <w:tcPr>
            <w:tcW w:w="934" w:type="pct"/>
            <w:vMerge w:val="restart"/>
            <w:tcBorders>
              <w:tl2br w:val="nil"/>
              <w:tr2bl w:val="nil"/>
            </w:tcBorders>
            <w:noWrap w:val="0"/>
            <w:vAlign w:val="center"/>
          </w:tcPr>
          <w:p w14:paraId="7C6517D4">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auto"/>
                <w:sz w:val="21"/>
                <w:szCs w:val="21"/>
                <w:highlight w:val="none"/>
                <w:u w:val="none"/>
                <w:vertAlign w:val="baseline"/>
                <w:lang w:eastAsia="zh-CN"/>
              </w:rPr>
            </w:pPr>
            <w:r>
              <w:rPr>
                <w:rFonts w:hint="default" w:ascii="Times New Roman" w:hAnsi="Times New Roman" w:cs="Times New Roman"/>
                <w:color w:val="auto"/>
                <w:sz w:val="21"/>
                <w:szCs w:val="21"/>
                <w:highlight w:val="none"/>
                <w:u w:val="none" w:color="0000FF"/>
              </w:rPr>
              <w:t>废水处理措施</w:t>
            </w:r>
          </w:p>
        </w:tc>
        <w:tc>
          <w:tcPr>
            <w:tcW w:w="2498" w:type="pct"/>
            <w:tcBorders>
              <w:tl2br w:val="nil"/>
              <w:tr2bl w:val="nil"/>
            </w:tcBorders>
            <w:noWrap w:val="0"/>
            <w:vAlign w:val="center"/>
          </w:tcPr>
          <w:p w14:paraId="715A75CC">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bCs/>
                <w:color w:val="auto"/>
                <w:sz w:val="21"/>
                <w:szCs w:val="21"/>
                <w:highlight w:val="none"/>
                <w:u w:val="none"/>
                <w:vertAlign w:val="baseline"/>
              </w:rPr>
            </w:pPr>
            <w:r>
              <w:rPr>
                <w:rFonts w:hint="default" w:ascii="Times New Roman" w:hAnsi="Times New Roman" w:cs="Times New Roman"/>
                <w:b w:val="0"/>
                <w:bCs w:val="0"/>
                <w:color w:val="auto"/>
                <w:sz w:val="21"/>
                <w:szCs w:val="21"/>
                <w:highlight w:val="none"/>
                <w:u w:val="none"/>
                <w:vertAlign w:val="baseline"/>
                <w:lang w:eastAsia="zh-CN"/>
              </w:rPr>
              <w:t>临时</w:t>
            </w:r>
            <w:r>
              <w:rPr>
                <w:rFonts w:hint="eastAsia" w:ascii="Times New Roman" w:hAnsi="Times New Roman" w:cs="Times New Roman"/>
                <w:b w:val="0"/>
                <w:bCs w:val="0"/>
                <w:color w:val="auto"/>
                <w:sz w:val="21"/>
                <w:szCs w:val="21"/>
                <w:highlight w:val="none"/>
                <w:u w:val="none"/>
                <w:vertAlign w:val="baseline"/>
                <w:lang w:eastAsia="zh-CN"/>
              </w:rPr>
              <w:t>隔油</w:t>
            </w:r>
            <w:r>
              <w:rPr>
                <w:rFonts w:hint="default" w:ascii="Times New Roman" w:hAnsi="Times New Roman" w:cs="Times New Roman"/>
                <w:b w:val="0"/>
                <w:bCs w:val="0"/>
                <w:color w:val="auto"/>
                <w:sz w:val="21"/>
                <w:szCs w:val="21"/>
                <w:highlight w:val="none"/>
                <w:u w:val="none"/>
                <w:vertAlign w:val="baseline"/>
                <w:lang w:eastAsia="zh-CN"/>
              </w:rPr>
              <w:t>沉淀池</w:t>
            </w:r>
          </w:p>
        </w:tc>
        <w:tc>
          <w:tcPr>
            <w:tcW w:w="1027" w:type="pct"/>
            <w:tcBorders>
              <w:tl2br w:val="nil"/>
              <w:tr2bl w:val="nil"/>
            </w:tcBorders>
            <w:noWrap w:val="0"/>
            <w:vAlign w:val="center"/>
          </w:tcPr>
          <w:p w14:paraId="129CC91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2.8</w:t>
            </w:r>
          </w:p>
        </w:tc>
      </w:tr>
      <w:tr w14:paraId="0CE13B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Merge w:val="continue"/>
            <w:tcBorders>
              <w:tl2br w:val="nil"/>
              <w:tr2bl w:val="nil"/>
            </w:tcBorders>
            <w:noWrap w:val="0"/>
            <w:vAlign w:val="center"/>
          </w:tcPr>
          <w:p w14:paraId="287025F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auto"/>
                <w:sz w:val="21"/>
                <w:szCs w:val="21"/>
                <w:highlight w:val="none"/>
                <w:u w:val="none"/>
                <w:vertAlign w:val="baseline"/>
                <w:lang w:eastAsia="zh-CN"/>
              </w:rPr>
            </w:pPr>
          </w:p>
        </w:tc>
        <w:tc>
          <w:tcPr>
            <w:tcW w:w="934" w:type="pct"/>
            <w:vMerge w:val="continue"/>
            <w:tcBorders>
              <w:tl2br w:val="nil"/>
              <w:tr2bl w:val="nil"/>
            </w:tcBorders>
            <w:noWrap w:val="0"/>
            <w:vAlign w:val="center"/>
          </w:tcPr>
          <w:p w14:paraId="514750AC">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highlight w:val="none"/>
                <w:u w:val="none" w:color="0000FF"/>
              </w:rPr>
            </w:pPr>
          </w:p>
        </w:tc>
        <w:tc>
          <w:tcPr>
            <w:tcW w:w="2498" w:type="pct"/>
            <w:tcBorders>
              <w:tl2br w:val="nil"/>
              <w:tr2bl w:val="nil"/>
            </w:tcBorders>
            <w:noWrap w:val="0"/>
            <w:vAlign w:val="center"/>
          </w:tcPr>
          <w:p w14:paraId="638CC24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auto"/>
                <w:sz w:val="21"/>
                <w:szCs w:val="21"/>
                <w:highlight w:val="none"/>
                <w:u w:val="none"/>
                <w:vertAlign w:val="baseline"/>
                <w:lang w:eastAsia="zh-CN"/>
              </w:rPr>
            </w:pPr>
            <w:r>
              <w:rPr>
                <w:rFonts w:hint="eastAsia" w:ascii="Times New Roman" w:cs="Times New Roman"/>
                <w:b w:val="0"/>
                <w:bCs w:val="0"/>
                <w:color w:val="auto"/>
                <w:sz w:val="21"/>
                <w:szCs w:val="21"/>
                <w:highlight w:val="none"/>
                <w:u w:val="none"/>
                <w:vertAlign w:val="baseline"/>
                <w:lang w:eastAsia="zh-CN"/>
              </w:rPr>
              <w:t>临时排水沟</w:t>
            </w:r>
          </w:p>
        </w:tc>
        <w:tc>
          <w:tcPr>
            <w:tcW w:w="1027" w:type="pct"/>
            <w:tcBorders>
              <w:tl2br w:val="nil"/>
              <w:tr2bl w:val="nil"/>
            </w:tcBorders>
            <w:noWrap w:val="0"/>
            <w:vAlign w:val="center"/>
          </w:tcPr>
          <w:p w14:paraId="7D2B67A6">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auto"/>
                <w:sz w:val="21"/>
                <w:szCs w:val="21"/>
                <w:highlight w:val="none"/>
                <w:u w:val="none"/>
                <w:vertAlign w:val="baseline"/>
                <w:lang w:val="en-US" w:eastAsia="zh-CN"/>
              </w:rPr>
            </w:pPr>
            <w:r>
              <w:rPr>
                <w:rFonts w:hint="eastAsia" w:ascii="Times New Roman" w:cs="Times New Roman"/>
                <w:b w:val="0"/>
                <w:bCs w:val="0"/>
                <w:color w:val="auto"/>
                <w:sz w:val="21"/>
                <w:szCs w:val="21"/>
                <w:highlight w:val="none"/>
                <w:u w:val="none"/>
                <w:vertAlign w:val="baseline"/>
                <w:lang w:val="en-US" w:eastAsia="zh-CN"/>
              </w:rPr>
              <w:t>2.0</w:t>
            </w:r>
          </w:p>
        </w:tc>
      </w:tr>
      <w:tr w14:paraId="5F77D1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Merge w:val="continue"/>
            <w:tcBorders>
              <w:tl2br w:val="nil"/>
              <w:tr2bl w:val="nil"/>
            </w:tcBorders>
            <w:noWrap w:val="0"/>
            <w:vAlign w:val="center"/>
          </w:tcPr>
          <w:p w14:paraId="6C25392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auto"/>
                <w:sz w:val="21"/>
                <w:szCs w:val="21"/>
                <w:highlight w:val="none"/>
                <w:u w:val="none"/>
                <w:vertAlign w:val="baseline"/>
                <w:lang w:eastAsia="zh-CN"/>
              </w:rPr>
            </w:pPr>
          </w:p>
        </w:tc>
        <w:tc>
          <w:tcPr>
            <w:tcW w:w="934" w:type="pct"/>
            <w:vMerge w:val="continue"/>
            <w:tcBorders>
              <w:tl2br w:val="nil"/>
              <w:tr2bl w:val="nil"/>
            </w:tcBorders>
            <w:noWrap w:val="0"/>
            <w:vAlign w:val="center"/>
          </w:tcPr>
          <w:p w14:paraId="59164FB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highlight w:val="none"/>
                <w:u w:val="none" w:color="0000FF"/>
              </w:rPr>
            </w:pPr>
          </w:p>
        </w:tc>
        <w:tc>
          <w:tcPr>
            <w:tcW w:w="2498" w:type="pct"/>
            <w:tcBorders>
              <w:tl2br w:val="nil"/>
              <w:tr2bl w:val="nil"/>
            </w:tcBorders>
            <w:noWrap w:val="0"/>
            <w:vAlign w:val="center"/>
          </w:tcPr>
          <w:p w14:paraId="1B83EBC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cs="Times New Roman"/>
                <w:b w:val="0"/>
                <w:bCs w:val="0"/>
                <w:color w:val="auto"/>
                <w:sz w:val="21"/>
                <w:szCs w:val="21"/>
                <w:highlight w:val="none"/>
                <w:u w:val="none"/>
                <w:vertAlign w:val="baseline"/>
                <w:lang w:eastAsia="zh-CN"/>
              </w:rPr>
            </w:pPr>
            <w:r>
              <w:rPr>
                <w:rFonts w:hint="eastAsia" w:ascii="Times New Roman" w:cs="Times New Roman"/>
                <w:b w:val="0"/>
                <w:bCs w:val="0"/>
                <w:color w:val="auto"/>
                <w:sz w:val="21"/>
                <w:szCs w:val="21"/>
                <w:highlight w:val="none"/>
                <w:u w:val="none"/>
                <w:vertAlign w:val="baseline"/>
                <w:lang w:eastAsia="zh-CN"/>
              </w:rPr>
              <w:t>临时沉淀池</w:t>
            </w:r>
          </w:p>
        </w:tc>
        <w:tc>
          <w:tcPr>
            <w:tcW w:w="1027" w:type="pct"/>
            <w:tcBorders>
              <w:tl2br w:val="nil"/>
              <w:tr2bl w:val="nil"/>
            </w:tcBorders>
            <w:noWrap w:val="0"/>
            <w:vAlign w:val="center"/>
          </w:tcPr>
          <w:p w14:paraId="38947FE3">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auto"/>
                <w:sz w:val="21"/>
                <w:szCs w:val="21"/>
                <w:highlight w:val="none"/>
                <w:u w:val="none"/>
                <w:vertAlign w:val="baseline"/>
                <w:lang w:val="en-US" w:eastAsia="zh-CN"/>
              </w:rPr>
            </w:pPr>
            <w:r>
              <w:rPr>
                <w:rFonts w:hint="eastAsia" w:ascii="Times New Roman" w:cs="Times New Roman"/>
                <w:b w:val="0"/>
                <w:bCs w:val="0"/>
                <w:color w:val="auto"/>
                <w:sz w:val="21"/>
                <w:szCs w:val="21"/>
                <w:highlight w:val="none"/>
                <w:u w:val="none"/>
                <w:vertAlign w:val="baseline"/>
                <w:lang w:val="en-US" w:eastAsia="zh-CN"/>
              </w:rPr>
              <w:t>3.2</w:t>
            </w:r>
          </w:p>
        </w:tc>
      </w:tr>
      <w:tr w14:paraId="225034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Merge w:val="continue"/>
            <w:tcBorders>
              <w:tl2br w:val="nil"/>
              <w:tr2bl w:val="nil"/>
            </w:tcBorders>
            <w:noWrap w:val="0"/>
            <w:vAlign w:val="center"/>
          </w:tcPr>
          <w:p w14:paraId="783C1FCF">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bCs/>
                <w:color w:val="auto"/>
                <w:sz w:val="21"/>
                <w:szCs w:val="21"/>
                <w:highlight w:val="none"/>
                <w:u w:val="none"/>
                <w:vertAlign w:val="baseline"/>
              </w:rPr>
            </w:pPr>
          </w:p>
        </w:tc>
        <w:tc>
          <w:tcPr>
            <w:tcW w:w="934" w:type="pct"/>
            <w:vMerge w:val="continue"/>
            <w:tcBorders>
              <w:tl2br w:val="nil"/>
              <w:tr2bl w:val="nil"/>
            </w:tcBorders>
            <w:noWrap w:val="0"/>
            <w:vAlign w:val="center"/>
          </w:tcPr>
          <w:p w14:paraId="6E07F5D7">
            <w:pPr>
              <w:pStyle w:val="1650"/>
              <w:keepNext w:val="0"/>
              <w:keepLines w:val="0"/>
              <w:pageBreakBefore w:val="0"/>
              <w:widowControl w:val="0"/>
              <w:kinsoku/>
              <w:wordWrap/>
              <w:overflowPunct/>
              <w:topLinePunct w:val="0"/>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u w:val="none"/>
              </w:rPr>
            </w:pPr>
          </w:p>
        </w:tc>
        <w:tc>
          <w:tcPr>
            <w:tcW w:w="2498" w:type="pct"/>
            <w:tcBorders>
              <w:tl2br w:val="nil"/>
              <w:tr2bl w:val="nil"/>
            </w:tcBorders>
            <w:noWrap w:val="0"/>
            <w:vAlign w:val="center"/>
          </w:tcPr>
          <w:p w14:paraId="52823E3A">
            <w:pPr>
              <w:pStyle w:val="1650"/>
              <w:keepNext w:val="0"/>
              <w:keepLines w:val="0"/>
              <w:pageBreakBefore w:val="0"/>
              <w:widowControl w:val="0"/>
              <w:kinsoku/>
              <w:wordWrap/>
              <w:overflowPunct/>
              <w:topLinePunct w:val="0"/>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u w:val="none"/>
              </w:rPr>
            </w:pPr>
            <w:r>
              <w:rPr>
                <w:rFonts w:hint="eastAsia" w:ascii="Times New Roman" w:cs="Times New Roman"/>
                <w:color w:val="auto"/>
                <w:sz w:val="21"/>
                <w:szCs w:val="21"/>
                <w:highlight w:val="none"/>
                <w:u w:val="none"/>
                <w:lang w:eastAsia="zh-CN"/>
              </w:rPr>
              <w:t>临时截</w:t>
            </w:r>
            <w:r>
              <w:rPr>
                <w:rFonts w:hint="default" w:ascii="Times New Roman" w:hAnsi="Times New Roman" w:eastAsia="宋体" w:cs="Times New Roman"/>
                <w:color w:val="auto"/>
                <w:sz w:val="21"/>
                <w:szCs w:val="21"/>
                <w:highlight w:val="none"/>
                <w:u w:val="none"/>
              </w:rPr>
              <w:t>排水沟</w:t>
            </w:r>
          </w:p>
        </w:tc>
        <w:tc>
          <w:tcPr>
            <w:tcW w:w="1027" w:type="pct"/>
            <w:tcBorders>
              <w:tl2br w:val="nil"/>
              <w:tr2bl w:val="nil"/>
            </w:tcBorders>
            <w:noWrap w:val="0"/>
            <w:vAlign w:val="center"/>
          </w:tcPr>
          <w:p w14:paraId="6D3FBC9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2.0</w:t>
            </w:r>
          </w:p>
        </w:tc>
      </w:tr>
      <w:tr w14:paraId="357C43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Merge w:val="continue"/>
            <w:tcBorders>
              <w:tl2br w:val="nil"/>
              <w:tr2bl w:val="nil"/>
            </w:tcBorders>
            <w:noWrap w:val="0"/>
            <w:vAlign w:val="center"/>
          </w:tcPr>
          <w:p w14:paraId="37B2F753">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bCs/>
                <w:color w:val="auto"/>
                <w:sz w:val="21"/>
                <w:szCs w:val="21"/>
                <w:highlight w:val="none"/>
                <w:u w:val="none"/>
                <w:vertAlign w:val="baseline"/>
              </w:rPr>
            </w:pPr>
          </w:p>
        </w:tc>
        <w:tc>
          <w:tcPr>
            <w:tcW w:w="934" w:type="pct"/>
            <w:vMerge w:val="restart"/>
            <w:tcBorders>
              <w:tl2br w:val="nil"/>
              <w:tr2bl w:val="nil"/>
            </w:tcBorders>
            <w:noWrap w:val="0"/>
            <w:vAlign w:val="center"/>
          </w:tcPr>
          <w:p w14:paraId="26F4DAC9">
            <w:pPr>
              <w:pStyle w:val="1650"/>
              <w:keepNext w:val="0"/>
              <w:keepLines w:val="0"/>
              <w:pageBreakBefore w:val="0"/>
              <w:widowControl w:val="0"/>
              <w:kinsoku/>
              <w:wordWrap/>
              <w:overflowPunct/>
              <w:topLinePunct w:val="0"/>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color w:val="auto"/>
                <w:sz w:val="21"/>
                <w:szCs w:val="21"/>
                <w:highlight w:val="none"/>
                <w:u w:val="none" w:color="0000FF"/>
              </w:rPr>
              <w:t>废气处理措施</w:t>
            </w:r>
          </w:p>
        </w:tc>
        <w:tc>
          <w:tcPr>
            <w:tcW w:w="2498" w:type="pct"/>
            <w:tcBorders>
              <w:tl2br w:val="nil"/>
              <w:tr2bl w:val="nil"/>
            </w:tcBorders>
            <w:noWrap w:val="0"/>
            <w:vAlign w:val="center"/>
          </w:tcPr>
          <w:p w14:paraId="2633801A">
            <w:pPr>
              <w:pStyle w:val="1650"/>
              <w:keepNext w:val="0"/>
              <w:keepLines w:val="0"/>
              <w:pageBreakBefore w:val="0"/>
              <w:widowControl w:val="0"/>
              <w:kinsoku/>
              <w:wordWrap/>
              <w:overflowPunct/>
              <w:topLinePunct w:val="0"/>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施工围挡</w:t>
            </w:r>
            <w:r>
              <w:rPr>
                <w:rFonts w:hint="default" w:ascii="Times New Roman" w:hAnsi="Times New Roman" w:cs="Times New Roman"/>
                <w:color w:val="auto"/>
                <w:sz w:val="21"/>
                <w:szCs w:val="21"/>
                <w:highlight w:val="none"/>
                <w:u w:val="none"/>
                <w:lang w:eastAsia="zh-CN"/>
              </w:rPr>
              <w:t>，</w:t>
            </w:r>
            <w:r>
              <w:rPr>
                <w:rFonts w:hint="default" w:ascii="Times New Roman" w:hAnsi="Times New Roman" w:eastAsia="宋体" w:cs="Times New Roman"/>
                <w:color w:val="auto"/>
                <w:sz w:val="21"/>
                <w:szCs w:val="21"/>
                <w:highlight w:val="none"/>
                <w:u w:val="none"/>
              </w:rPr>
              <w:t>洒水抑尘、冲洗地面和车辆</w:t>
            </w:r>
          </w:p>
        </w:tc>
        <w:tc>
          <w:tcPr>
            <w:tcW w:w="1027" w:type="pct"/>
            <w:tcBorders>
              <w:tl2br w:val="nil"/>
              <w:tr2bl w:val="nil"/>
            </w:tcBorders>
            <w:noWrap w:val="0"/>
            <w:vAlign w:val="center"/>
          </w:tcPr>
          <w:p w14:paraId="44E3E6B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2.0</w:t>
            </w:r>
          </w:p>
        </w:tc>
      </w:tr>
      <w:tr w14:paraId="27E106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Merge w:val="continue"/>
            <w:tcBorders>
              <w:tl2br w:val="nil"/>
              <w:tr2bl w:val="nil"/>
            </w:tcBorders>
            <w:noWrap w:val="0"/>
            <w:vAlign w:val="center"/>
          </w:tcPr>
          <w:p w14:paraId="58CF253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bCs/>
                <w:color w:val="auto"/>
                <w:sz w:val="21"/>
                <w:szCs w:val="21"/>
                <w:highlight w:val="none"/>
                <w:u w:val="none"/>
                <w:vertAlign w:val="baseline"/>
              </w:rPr>
            </w:pPr>
          </w:p>
        </w:tc>
        <w:tc>
          <w:tcPr>
            <w:tcW w:w="934" w:type="pct"/>
            <w:vMerge w:val="continue"/>
            <w:tcBorders>
              <w:tl2br w:val="nil"/>
              <w:tr2bl w:val="nil"/>
            </w:tcBorders>
            <w:noWrap w:val="0"/>
            <w:vAlign w:val="center"/>
          </w:tcPr>
          <w:p w14:paraId="6F06CEA2">
            <w:pPr>
              <w:pStyle w:val="1650"/>
              <w:keepNext w:val="0"/>
              <w:keepLines w:val="0"/>
              <w:pageBreakBefore w:val="0"/>
              <w:widowControl w:val="0"/>
              <w:kinsoku/>
              <w:wordWrap/>
              <w:overflowPunct/>
              <w:topLinePunct w:val="0"/>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u w:val="none"/>
              </w:rPr>
            </w:pPr>
          </w:p>
        </w:tc>
        <w:tc>
          <w:tcPr>
            <w:tcW w:w="2498" w:type="pct"/>
            <w:tcBorders>
              <w:tl2br w:val="nil"/>
              <w:tr2bl w:val="nil"/>
            </w:tcBorders>
            <w:noWrap w:val="0"/>
            <w:vAlign w:val="center"/>
          </w:tcPr>
          <w:p w14:paraId="179005A0">
            <w:pPr>
              <w:pStyle w:val="1650"/>
              <w:keepNext w:val="0"/>
              <w:keepLines w:val="0"/>
              <w:pageBreakBefore w:val="0"/>
              <w:widowControl w:val="0"/>
              <w:kinsoku/>
              <w:wordWrap/>
              <w:overflowPunct/>
              <w:topLinePunct w:val="0"/>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u w:val="none"/>
              </w:rPr>
            </w:pPr>
            <w:r>
              <w:rPr>
                <w:rFonts w:hint="eastAsia" w:ascii="Times New Roman" w:cs="Times New Roman"/>
                <w:color w:val="auto"/>
                <w:sz w:val="21"/>
                <w:szCs w:val="21"/>
                <w:highlight w:val="none"/>
                <w:u w:val="none"/>
                <w:lang w:eastAsia="zh-CN"/>
              </w:rPr>
              <w:t>临时中转场</w:t>
            </w:r>
            <w:r>
              <w:rPr>
                <w:rFonts w:hint="default" w:ascii="Times New Roman" w:hAnsi="Times New Roman" w:eastAsia="宋体" w:cs="Times New Roman"/>
                <w:color w:val="auto"/>
                <w:sz w:val="21"/>
                <w:szCs w:val="21"/>
                <w:highlight w:val="none"/>
                <w:u w:val="none"/>
              </w:rPr>
              <w:t>防尘布苫、防尘网遮盖、</w:t>
            </w:r>
            <w:r>
              <w:rPr>
                <w:rFonts w:hint="default" w:ascii="Times New Roman" w:hAnsi="Times New Roman" w:cs="Times New Roman"/>
                <w:color w:val="auto"/>
                <w:sz w:val="21"/>
                <w:szCs w:val="21"/>
                <w:highlight w:val="none"/>
                <w:u w:val="none"/>
                <w:lang w:eastAsia="zh-CN"/>
              </w:rPr>
              <w:t>淤泥</w:t>
            </w:r>
            <w:r>
              <w:rPr>
                <w:rFonts w:hint="default" w:ascii="Times New Roman" w:hAnsi="Times New Roman" w:eastAsia="宋体" w:cs="Times New Roman"/>
                <w:color w:val="auto"/>
                <w:sz w:val="21"/>
                <w:szCs w:val="21"/>
                <w:highlight w:val="none"/>
                <w:u w:val="none"/>
              </w:rPr>
              <w:t>除臭剂</w:t>
            </w:r>
          </w:p>
        </w:tc>
        <w:tc>
          <w:tcPr>
            <w:tcW w:w="1027" w:type="pct"/>
            <w:tcBorders>
              <w:tl2br w:val="nil"/>
              <w:tr2bl w:val="nil"/>
            </w:tcBorders>
            <w:noWrap w:val="0"/>
            <w:vAlign w:val="center"/>
          </w:tcPr>
          <w:p w14:paraId="043E0C54">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1.5</w:t>
            </w:r>
          </w:p>
        </w:tc>
      </w:tr>
      <w:tr w14:paraId="38F696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Merge w:val="continue"/>
            <w:tcBorders>
              <w:tl2br w:val="nil"/>
              <w:tr2bl w:val="nil"/>
            </w:tcBorders>
            <w:noWrap w:val="0"/>
            <w:vAlign w:val="center"/>
          </w:tcPr>
          <w:p w14:paraId="494A344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bCs/>
                <w:color w:val="auto"/>
                <w:sz w:val="21"/>
                <w:szCs w:val="21"/>
                <w:highlight w:val="none"/>
                <w:u w:val="none"/>
                <w:vertAlign w:val="baseline"/>
              </w:rPr>
            </w:pPr>
          </w:p>
        </w:tc>
        <w:tc>
          <w:tcPr>
            <w:tcW w:w="934" w:type="pct"/>
            <w:vMerge w:val="continue"/>
            <w:tcBorders>
              <w:tl2br w:val="nil"/>
              <w:tr2bl w:val="nil"/>
            </w:tcBorders>
            <w:noWrap w:val="0"/>
            <w:vAlign w:val="center"/>
          </w:tcPr>
          <w:p w14:paraId="1603EA5B">
            <w:pPr>
              <w:pStyle w:val="1650"/>
              <w:keepNext w:val="0"/>
              <w:keepLines w:val="0"/>
              <w:pageBreakBefore w:val="0"/>
              <w:widowControl w:val="0"/>
              <w:kinsoku/>
              <w:wordWrap/>
              <w:overflowPunct/>
              <w:topLinePunct w:val="0"/>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u w:val="none"/>
              </w:rPr>
            </w:pPr>
          </w:p>
        </w:tc>
        <w:tc>
          <w:tcPr>
            <w:tcW w:w="2498" w:type="pct"/>
            <w:tcBorders>
              <w:tl2br w:val="nil"/>
              <w:tr2bl w:val="nil"/>
            </w:tcBorders>
            <w:noWrap w:val="0"/>
            <w:vAlign w:val="center"/>
          </w:tcPr>
          <w:p w14:paraId="01A1B8C7">
            <w:pPr>
              <w:pStyle w:val="1650"/>
              <w:keepNext w:val="0"/>
              <w:keepLines w:val="0"/>
              <w:pageBreakBefore w:val="0"/>
              <w:widowControl w:val="0"/>
              <w:kinsoku/>
              <w:wordWrap/>
              <w:overflowPunct/>
              <w:topLinePunct w:val="0"/>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运输车辆密闭车斗</w:t>
            </w:r>
          </w:p>
        </w:tc>
        <w:tc>
          <w:tcPr>
            <w:tcW w:w="1027" w:type="pct"/>
            <w:tcBorders>
              <w:tl2br w:val="nil"/>
              <w:tr2bl w:val="nil"/>
            </w:tcBorders>
            <w:noWrap w:val="0"/>
            <w:vAlign w:val="center"/>
          </w:tcPr>
          <w:p w14:paraId="60F1187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cs="Times New Roman"/>
                <w:b w:val="0"/>
                <w:bCs w:val="0"/>
                <w:color w:val="auto"/>
                <w:sz w:val="21"/>
                <w:szCs w:val="21"/>
                <w:highlight w:val="none"/>
                <w:u w:val="none"/>
                <w:vertAlign w:val="baseline"/>
                <w:lang w:val="en-US" w:eastAsia="zh-CN"/>
              </w:rPr>
              <w:t>1.5</w:t>
            </w:r>
          </w:p>
        </w:tc>
      </w:tr>
      <w:tr w14:paraId="69ED98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Merge w:val="continue"/>
            <w:tcBorders>
              <w:tl2br w:val="nil"/>
              <w:tr2bl w:val="nil"/>
            </w:tcBorders>
            <w:noWrap w:val="0"/>
            <w:vAlign w:val="center"/>
          </w:tcPr>
          <w:p w14:paraId="1AE5B987">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bCs/>
                <w:color w:val="auto"/>
                <w:sz w:val="21"/>
                <w:szCs w:val="21"/>
                <w:highlight w:val="none"/>
                <w:u w:val="none"/>
                <w:vertAlign w:val="baseline"/>
              </w:rPr>
            </w:pPr>
          </w:p>
        </w:tc>
        <w:tc>
          <w:tcPr>
            <w:tcW w:w="934" w:type="pct"/>
            <w:vMerge w:val="continue"/>
            <w:tcBorders>
              <w:tl2br w:val="nil"/>
              <w:tr2bl w:val="nil"/>
            </w:tcBorders>
            <w:noWrap w:val="0"/>
            <w:vAlign w:val="center"/>
          </w:tcPr>
          <w:p w14:paraId="0E624541">
            <w:pPr>
              <w:pStyle w:val="1650"/>
              <w:keepNext w:val="0"/>
              <w:keepLines w:val="0"/>
              <w:pageBreakBefore w:val="0"/>
              <w:widowControl w:val="0"/>
              <w:kinsoku/>
              <w:wordWrap/>
              <w:overflowPunct/>
              <w:topLinePunct w:val="0"/>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u w:val="none"/>
              </w:rPr>
            </w:pPr>
          </w:p>
        </w:tc>
        <w:tc>
          <w:tcPr>
            <w:tcW w:w="2498" w:type="pct"/>
            <w:tcBorders>
              <w:tl2br w:val="nil"/>
              <w:tr2bl w:val="nil"/>
            </w:tcBorders>
            <w:noWrap w:val="0"/>
            <w:vAlign w:val="center"/>
          </w:tcPr>
          <w:p w14:paraId="4750B102">
            <w:pPr>
              <w:pStyle w:val="1650"/>
              <w:keepNext w:val="0"/>
              <w:keepLines w:val="0"/>
              <w:pageBreakBefore w:val="0"/>
              <w:widowControl w:val="0"/>
              <w:kinsoku/>
              <w:wordWrap/>
              <w:overflowPunct/>
              <w:topLinePunct w:val="0"/>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u w:val="none"/>
              </w:rPr>
            </w:pPr>
            <w:r>
              <w:rPr>
                <w:rFonts w:hint="eastAsia" w:ascii="Times New Roman" w:cs="Times New Roman"/>
                <w:color w:val="auto"/>
                <w:sz w:val="21"/>
                <w:szCs w:val="21"/>
                <w:highlight w:val="none"/>
                <w:u w:val="none"/>
                <w:lang w:eastAsia="zh-CN"/>
              </w:rPr>
              <w:t>临时中转场、钦州港路、曲绣路回填区采取</w:t>
            </w:r>
            <w:r>
              <w:rPr>
                <w:rFonts w:hint="default" w:ascii="Times New Roman" w:hAnsi="Times New Roman" w:cs="Times New Roman"/>
                <w:color w:val="auto"/>
                <w:sz w:val="21"/>
                <w:szCs w:val="21"/>
                <w:highlight w:val="none"/>
                <w:u w:val="none"/>
                <w:lang w:eastAsia="zh-CN"/>
              </w:rPr>
              <w:t>洒水保湿、防尘网覆盖和绿化等措施</w:t>
            </w:r>
          </w:p>
        </w:tc>
        <w:tc>
          <w:tcPr>
            <w:tcW w:w="1027" w:type="pct"/>
            <w:tcBorders>
              <w:tl2br w:val="nil"/>
              <w:tr2bl w:val="nil"/>
            </w:tcBorders>
            <w:noWrap w:val="0"/>
            <w:vAlign w:val="center"/>
          </w:tcPr>
          <w:p w14:paraId="46242F1F">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6.0</w:t>
            </w:r>
          </w:p>
        </w:tc>
      </w:tr>
      <w:tr w14:paraId="127824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Merge w:val="continue"/>
            <w:tcBorders>
              <w:tl2br w:val="nil"/>
              <w:tr2bl w:val="nil"/>
            </w:tcBorders>
            <w:noWrap w:val="0"/>
            <w:vAlign w:val="center"/>
          </w:tcPr>
          <w:p w14:paraId="5326C05F">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bCs/>
                <w:color w:val="auto"/>
                <w:sz w:val="21"/>
                <w:szCs w:val="21"/>
                <w:highlight w:val="none"/>
                <w:u w:val="none"/>
                <w:vertAlign w:val="baseline"/>
              </w:rPr>
            </w:pPr>
          </w:p>
        </w:tc>
        <w:tc>
          <w:tcPr>
            <w:tcW w:w="934" w:type="pct"/>
            <w:vMerge w:val="restart"/>
            <w:tcBorders>
              <w:tl2br w:val="nil"/>
              <w:tr2bl w:val="nil"/>
            </w:tcBorders>
            <w:noWrap w:val="0"/>
            <w:vAlign w:val="center"/>
          </w:tcPr>
          <w:p w14:paraId="04007A4F">
            <w:pPr>
              <w:pStyle w:val="1650"/>
              <w:keepNext w:val="0"/>
              <w:keepLines w:val="0"/>
              <w:pageBreakBefore w:val="0"/>
              <w:widowControl w:val="0"/>
              <w:kinsoku/>
              <w:wordWrap/>
              <w:overflowPunct/>
              <w:topLinePunct w:val="0"/>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color w:val="auto"/>
                <w:sz w:val="21"/>
                <w:szCs w:val="21"/>
                <w:highlight w:val="none"/>
                <w:u w:val="none" w:color="0000FF"/>
              </w:rPr>
              <w:t>噪声处理措施</w:t>
            </w:r>
          </w:p>
        </w:tc>
        <w:tc>
          <w:tcPr>
            <w:tcW w:w="2498" w:type="pct"/>
            <w:tcBorders>
              <w:tl2br w:val="nil"/>
              <w:tr2bl w:val="nil"/>
            </w:tcBorders>
            <w:noWrap w:val="0"/>
            <w:vAlign w:val="center"/>
          </w:tcPr>
          <w:p w14:paraId="5C7A528B">
            <w:pPr>
              <w:pStyle w:val="1650"/>
              <w:keepNext w:val="0"/>
              <w:keepLines w:val="0"/>
              <w:pageBreakBefore w:val="0"/>
              <w:widowControl w:val="0"/>
              <w:kinsoku/>
              <w:wordWrap/>
              <w:overflowPunct/>
              <w:topLinePunct w:val="0"/>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rPr>
              <w:t>临时围挡</w:t>
            </w:r>
            <w:r>
              <w:rPr>
                <w:rFonts w:hint="default" w:ascii="Times New Roman" w:hAnsi="Times New Roman" w:cs="Times New Roman"/>
                <w:color w:val="auto"/>
                <w:sz w:val="21"/>
                <w:szCs w:val="21"/>
                <w:highlight w:val="none"/>
                <w:u w:val="none"/>
                <w:lang w:eastAsia="zh-CN"/>
              </w:rPr>
              <w:t>；</w:t>
            </w:r>
          </w:p>
        </w:tc>
        <w:tc>
          <w:tcPr>
            <w:tcW w:w="1027" w:type="pct"/>
            <w:tcBorders>
              <w:tl2br w:val="nil"/>
              <w:tr2bl w:val="nil"/>
            </w:tcBorders>
            <w:noWrap w:val="0"/>
            <w:vAlign w:val="center"/>
          </w:tcPr>
          <w:p w14:paraId="089EB07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1.0</w:t>
            </w:r>
          </w:p>
        </w:tc>
      </w:tr>
      <w:tr w14:paraId="2E9413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Merge w:val="continue"/>
            <w:tcBorders>
              <w:tl2br w:val="nil"/>
              <w:tr2bl w:val="nil"/>
            </w:tcBorders>
            <w:noWrap w:val="0"/>
            <w:vAlign w:val="center"/>
          </w:tcPr>
          <w:p w14:paraId="1310CD4F">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bCs/>
                <w:color w:val="auto"/>
                <w:sz w:val="21"/>
                <w:szCs w:val="21"/>
                <w:highlight w:val="none"/>
                <w:u w:val="none"/>
                <w:vertAlign w:val="baseline"/>
              </w:rPr>
            </w:pPr>
          </w:p>
        </w:tc>
        <w:tc>
          <w:tcPr>
            <w:tcW w:w="934" w:type="pct"/>
            <w:vMerge w:val="continue"/>
            <w:tcBorders>
              <w:tl2br w:val="nil"/>
              <w:tr2bl w:val="nil"/>
            </w:tcBorders>
            <w:noWrap w:val="0"/>
            <w:vAlign w:val="center"/>
          </w:tcPr>
          <w:p w14:paraId="3E992068">
            <w:pPr>
              <w:pStyle w:val="1650"/>
              <w:keepNext w:val="0"/>
              <w:keepLines w:val="0"/>
              <w:pageBreakBefore w:val="0"/>
              <w:widowControl w:val="0"/>
              <w:kinsoku/>
              <w:wordWrap/>
              <w:overflowPunct/>
              <w:topLinePunct w:val="0"/>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u w:val="none"/>
              </w:rPr>
            </w:pPr>
          </w:p>
        </w:tc>
        <w:tc>
          <w:tcPr>
            <w:tcW w:w="2498" w:type="pct"/>
            <w:tcBorders>
              <w:tl2br w:val="nil"/>
              <w:tr2bl w:val="nil"/>
            </w:tcBorders>
            <w:noWrap w:val="0"/>
            <w:vAlign w:val="center"/>
          </w:tcPr>
          <w:p w14:paraId="2D2FAE73">
            <w:pPr>
              <w:pStyle w:val="1650"/>
              <w:keepNext w:val="0"/>
              <w:keepLines w:val="0"/>
              <w:pageBreakBefore w:val="0"/>
              <w:widowControl w:val="0"/>
              <w:kinsoku/>
              <w:wordWrap/>
              <w:overflowPunct/>
              <w:topLinePunct w:val="0"/>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rPr>
              <w:t>设立提示牌，保护附近居民点；在施工区靠近居民点侧设立声障</w:t>
            </w:r>
          </w:p>
        </w:tc>
        <w:tc>
          <w:tcPr>
            <w:tcW w:w="1027" w:type="pct"/>
            <w:tcBorders>
              <w:tl2br w:val="nil"/>
              <w:tr2bl w:val="nil"/>
            </w:tcBorders>
            <w:noWrap w:val="0"/>
            <w:vAlign w:val="center"/>
          </w:tcPr>
          <w:p w14:paraId="3038D3E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0.5</w:t>
            </w:r>
          </w:p>
        </w:tc>
      </w:tr>
      <w:tr w14:paraId="4FD8ED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Merge w:val="continue"/>
            <w:tcBorders>
              <w:tl2br w:val="nil"/>
              <w:tr2bl w:val="nil"/>
            </w:tcBorders>
            <w:noWrap w:val="0"/>
            <w:vAlign w:val="center"/>
          </w:tcPr>
          <w:p w14:paraId="35C5A4A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bCs/>
                <w:color w:val="auto"/>
                <w:sz w:val="21"/>
                <w:szCs w:val="21"/>
                <w:highlight w:val="none"/>
                <w:u w:val="none"/>
                <w:vertAlign w:val="baseline"/>
              </w:rPr>
            </w:pPr>
          </w:p>
        </w:tc>
        <w:tc>
          <w:tcPr>
            <w:tcW w:w="934" w:type="pct"/>
            <w:vMerge w:val="restart"/>
            <w:tcBorders>
              <w:tl2br w:val="nil"/>
              <w:tr2bl w:val="nil"/>
            </w:tcBorders>
            <w:noWrap w:val="0"/>
            <w:vAlign w:val="center"/>
          </w:tcPr>
          <w:p w14:paraId="2B6D2CAF">
            <w:pPr>
              <w:pStyle w:val="1650"/>
              <w:keepNext w:val="0"/>
              <w:keepLines w:val="0"/>
              <w:pageBreakBefore w:val="0"/>
              <w:widowControl w:val="0"/>
              <w:kinsoku/>
              <w:wordWrap/>
              <w:overflowPunct/>
              <w:topLinePunct w:val="0"/>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color w:val="auto"/>
                <w:sz w:val="21"/>
                <w:szCs w:val="21"/>
                <w:highlight w:val="none"/>
                <w:u w:val="none" w:color="0000FF"/>
              </w:rPr>
              <w:t>固体废物处理措施</w:t>
            </w:r>
          </w:p>
        </w:tc>
        <w:tc>
          <w:tcPr>
            <w:tcW w:w="2498" w:type="pct"/>
            <w:tcBorders>
              <w:tl2br w:val="nil"/>
              <w:tr2bl w:val="nil"/>
            </w:tcBorders>
            <w:noWrap w:val="0"/>
            <w:vAlign w:val="center"/>
          </w:tcPr>
          <w:p w14:paraId="188C6761">
            <w:pPr>
              <w:pStyle w:val="1650"/>
              <w:keepNext w:val="0"/>
              <w:keepLines w:val="0"/>
              <w:pageBreakBefore w:val="0"/>
              <w:widowControl w:val="0"/>
              <w:kinsoku/>
              <w:wordWrap/>
              <w:overflowPunct/>
              <w:topLinePunct w:val="0"/>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将施工人员产生的生活垃圾进行处理，施工区设置垃圾箱，并请人定期清理</w:t>
            </w:r>
          </w:p>
        </w:tc>
        <w:tc>
          <w:tcPr>
            <w:tcW w:w="1027" w:type="pct"/>
            <w:tcBorders>
              <w:tl2br w:val="nil"/>
              <w:tr2bl w:val="nil"/>
            </w:tcBorders>
            <w:noWrap w:val="0"/>
            <w:vAlign w:val="center"/>
          </w:tcPr>
          <w:p w14:paraId="0404048E">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0.2</w:t>
            </w:r>
          </w:p>
        </w:tc>
      </w:tr>
      <w:tr w14:paraId="63F3EE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Merge w:val="continue"/>
            <w:tcBorders>
              <w:tl2br w:val="nil"/>
              <w:tr2bl w:val="nil"/>
            </w:tcBorders>
            <w:noWrap w:val="0"/>
            <w:vAlign w:val="center"/>
          </w:tcPr>
          <w:p w14:paraId="47ED074F">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bCs/>
                <w:color w:val="auto"/>
                <w:sz w:val="21"/>
                <w:szCs w:val="21"/>
                <w:highlight w:val="none"/>
                <w:u w:val="none"/>
                <w:vertAlign w:val="baseline"/>
              </w:rPr>
            </w:pPr>
          </w:p>
        </w:tc>
        <w:tc>
          <w:tcPr>
            <w:tcW w:w="934" w:type="pct"/>
            <w:vMerge w:val="continue"/>
            <w:tcBorders>
              <w:tl2br w:val="nil"/>
              <w:tr2bl w:val="nil"/>
            </w:tcBorders>
            <w:noWrap w:val="0"/>
            <w:vAlign w:val="center"/>
          </w:tcPr>
          <w:p w14:paraId="24C6F1D7">
            <w:pPr>
              <w:pStyle w:val="1650"/>
              <w:keepNext w:val="0"/>
              <w:keepLines w:val="0"/>
              <w:pageBreakBefore w:val="0"/>
              <w:widowControl w:val="0"/>
              <w:kinsoku/>
              <w:wordWrap/>
              <w:overflowPunct/>
              <w:topLinePunct w:val="0"/>
              <w:bidi w:val="0"/>
              <w:adjustRightInd w:val="0"/>
              <w:snapToGrid w:val="0"/>
              <w:spacing w:line="240" w:lineRule="atLeast"/>
              <w:jc w:val="center"/>
              <w:textAlignment w:val="auto"/>
              <w:rPr>
                <w:rFonts w:hint="default" w:ascii="Times New Roman" w:hAnsi="Times New Roman" w:cs="Times New Roman"/>
                <w:color w:val="auto"/>
                <w:sz w:val="21"/>
                <w:szCs w:val="21"/>
                <w:highlight w:val="none"/>
                <w:u w:val="none" w:color="0000FF"/>
              </w:rPr>
            </w:pPr>
          </w:p>
        </w:tc>
        <w:tc>
          <w:tcPr>
            <w:tcW w:w="2498" w:type="pct"/>
            <w:tcBorders>
              <w:tl2br w:val="nil"/>
              <w:tr2bl w:val="nil"/>
            </w:tcBorders>
            <w:noWrap w:val="0"/>
            <w:vAlign w:val="center"/>
          </w:tcPr>
          <w:p w14:paraId="2CD95172">
            <w:pPr>
              <w:pStyle w:val="1650"/>
              <w:keepNext w:val="0"/>
              <w:keepLines w:val="0"/>
              <w:pageBreakBefore w:val="0"/>
              <w:widowControl w:val="0"/>
              <w:kinsoku/>
              <w:wordWrap/>
              <w:overflowPunct/>
              <w:topLinePunct w:val="0"/>
              <w:bidi w:val="0"/>
              <w:adjustRightInd w:val="0"/>
              <w:snapToGrid w:val="0"/>
              <w:spacing w:line="240" w:lineRule="atLeast"/>
              <w:jc w:val="center"/>
              <w:textAlignment w:val="auto"/>
              <w:rPr>
                <w:rFonts w:hint="eastAsia" w:ascii="Times New Roman" w:hAnsi="Times New Roman" w:eastAsia="宋体" w:cs="Times New Roman"/>
                <w:color w:val="auto"/>
                <w:sz w:val="21"/>
                <w:szCs w:val="21"/>
                <w:highlight w:val="none"/>
                <w:u w:val="none"/>
                <w:lang w:eastAsia="zh-CN"/>
              </w:rPr>
            </w:pPr>
            <w:r>
              <w:rPr>
                <w:rFonts w:hint="eastAsia" w:ascii="Times New Roman" w:cs="Times New Roman"/>
                <w:color w:val="auto"/>
                <w:sz w:val="21"/>
                <w:szCs w:val="21"/>
                <w:highlight w:val="none"/>
                <w:u w:val="none"/>
                <w:lang w:eastAsia="zh-CN"/>
              </w:rPr>
              <w:t>建筑垃圾清运</w:t>
            </w:r>
          </w:p>
        </w:tc>
        <w:tc>
          <w:tcPr>
            <w:tcW w:w="1027" w:type="pct"/>
            <w:tcBorders>
              <w:tl2br w:val="nil"/>
              <w:tr2bl w:val="nil"/>
            </w:tcBorders>
            <w:noWrap w:val="0"/>
            <w:vAlign w:val="center"/>
          </w:tcPr>
          <w:p w14:paraId="113C330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auto"/>
                <w:sz w:val="21"/>
                <w:szCs w:val="21"/>
                <w:highlight w:val="none"/>
                <w:u w:val="none"/>
                <w:vertAlign w:val="baseline"/>
                <w:lang w:val="en-US" w:eastAsia="zh-CN"/>
              </w:rPr>
            </w:pPr>
            <w:r>
              <w:rPr>
                <w:rFonts w:hint="eastAsia" w:ascii="Times New Roman" w:cs="Times New Roman"/>
                <w:b w:val="0"/>
                <w:bCs w:val="0"/>
                <w:color w:val="auto"/>
                <w:sz w:val="21"/>
                <w:szCs w:val="21"/>
                <w:highlight w:val="none"/>
                <w:u w:val="none"/>
                <w:vertAlign w:val="baseline"/>
                <w:lang w:val="en-US" w:eastAsia="zh-CN"/>
              </w:rPr>
              <w:t>0.5</w:t>
            </w:r>
          </w:p>
        </w:tc>
      </w:tr>
      <w:tr w14:paraId="7383B1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Merge w:val="continue"/>
            <w:tcBorders>
              <w:tl2br w:val="nil"/>
              <w:tr2bl w:val="nil"/>
            </w:tcBorders>
            <w:noWrap w:val="0"/>
            <w:vAlign w:val="center"/>
          </w:tcPr>
          <w:p w14:paraId="60F38AB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bCs/>
                <w:color w:val="auto"/>
                <w:sz w:val="21"/>
                <w:szCs w:val="21"/>
                <w:highlight w:val="none"/>
                <w:u w:val="none"/>
                <w:vertAlign w:val="baseline"/>
              </w:rPr>
            </w:pPr>
          </w:p>
        </w:tc>
        <w:tc>
          <w:tcPr>
            <w:tcW w:w="934" w:type="pct"/>
            <w:vMerge w:val="continue"/>
            <w:tcBorders>
              <w:tl2br w:val="nil"/>
              <w:tr2bl w:val="nil"/>
            </w:tcBorders>
            <w:noWrap w:val="0"/>
            <w:vAlign w:val="center"/>
          </w:tcPr>
          <w:p w14:paraId="01A307BE">
            <w:pPr>
              <w:pStyle w:val="1650"/>
              <w:keepNext w:val="0"/>
              <w:keepLines w:val="0"/>
              <w:pageBreakBefore w:val="0"/>
              <w:widowControl w:val="0"/>
              <w:kinsoku/>
              <w:wordWrap/>
              <w:overflowPunct/>
              <w:topLinePunct w:val="0"/>
              <w:bidi w:val="0"/>
              <w:adjustRightInd w:val="0"/>
              <w:snapToGrid w:val="0"/>
              <w:spacing w:line="240" w:lineRule="atLeast"/>
              <w:jc w:val="center"/>
              <w:textAlignment w:val="auto"/>
              <w:rPr>
                <w:rFonts w:hint="default" w:ascii="Times New Roman" w:hAnsi="Times New Roman" w:cs="Times New Roman"/>
                <w:color w:val="auto"/>
                <w:sz w:val="21"/>
                <w:szCs w:val="21"/>
                <w:highlight w:val="none"/>
                <w:u w:val="none" w:color="0000FF"/>
              </w:rPr>
            </w:pPr>
          </w:p>
        </w:tc>
        <w:tc>
          <w:tcPr>
            <w:tcW w:w="2498" w:type="pct"/>
            <w:tcBorders>
              <w:tl2br w:val="nil"/>
              <w:tr2bl w:val="nil"/>
            </w:tcBorders>
            <w:noWrap w:val="0"/>
            <w:vAlign w:val="center"/>
          </w:tcPr>
          <w:p w14:paraId="769FFB37">
            <w:pPr>
              <w:pStyle w:val="1650"/>
              <w:keepNext w:val="0"/>
              <w:keepLines w:val="0"/>
              <w:pageBreakBefore w:val="0"/>
              <w:widowControl w:val="0"/>
              <w:kinsoku/>
              <w:wordWrap/>
              <w:overflowPunct/>
              <w:topLinePunct w:val="0"/>
              <w:bidi w:val="0"/>
              <w:adjustRightInd w:val="0"/>
              <w:snapToGrid w:val="0"/>
              <w:spacing w:line="240" w:lineRule="atLeast"/>
              <w:jc w:val="center"/>
              <w:textAlignment w:val="auto"/>
              <w:rPr>
                <w:rFonts w:hint="eastAsia" w:ascii="Times New Roman" w:hAnsi="Times New Roman" w:eastAsia="宋体" w:cs="Times New Roman"/>
                <w:color w:val="auto"/>
                <w:sz w:val="21"/>
                <w:szCs w:val="21"/>
                <w:highlight w:val="none"/>
                <w:u w:val="none"/>
                <w:lang w:eastAsia="zh-CN"/>
              </w:rPr>
            </w:pPr>
            <w:r>
              <w:rPr>
                <w:rFonts w:hint="eastAsia" w:ascii="Times New Roman" w:cs="Times New Roman"/>
                <w:color w:val="auto"/>
                <w:sz w:val="21"/>
                <w:szCs w:val="21"/>
                <w:highlight w:val="none"/>
                <w:u w:val="none"/>
                <w:lang w:eastAsia="zh-CN"/>
              </w:rPr>
              <w:t>隔油沉淀池污油委托有资质单位处置</w:t>
            </w:r>
          </w:p>
        </w:tc>
        <w:tc>
          <w:tcPr>
            <w:tcW w:w="1027" w:type="pct"/>
            <w:tcBorders>
              <w:tl2br w:val="nil"/>
              <w:tr2bl w:val="nil"/>
            </w:tcBorders>
            <w:noWrap w:val="0"/>
            <w:vAlign w:val="center"/>
          </w:tcPr>
          <w:p w14:paraId="228CAC7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auto"/>
                <w:sz w:val="21"/>
                <w:szCs w:val="21"/>
                <w:highlight w:val="none"/>
                <w:u w:val="none"/>
                <w:vertAlign w:val="baseline"/>
                <w:lang w:val="en-US" w:eastAsia="zh-CN"/>
              </w:rPr>
            </w:pPr>
            <w:r>
              <w:rPr>
                <w:rFonts w:hint="eastAsia" w:ascii="Times New Roman" w:cs="Times New Roman"/>
                <w:b w:val="0"/>
                <w:bCs w:val="0"/>
                <w:color w:val="auto"/>
                <w:sz w:val="21"/>
                <w:szCs w:val="21"/>
                <w:highlight w:val="none"/>
                <w:u w:val="none"/>
                <w:vertAlign w:val="baseline"/>
                <w:lang w:val="en-US" w:eastAsia="zh-CN"/>
              </w:rPr>
              <w:t>2.0</w:t>
            </w:r>
          </w:p>
        </w:tc>
      </w:tr>
      <w:tr w14:paraId="4B9622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Merge w:val="continue"/>
            <w:tcBorders>
              <w:tl2br w:val="nil"/>
              <w:tr2bl w:val="nil"/>
            </w:tcBorders>
            <w:noWrap w:val="0"/>
            <w:vAlign w:val="center"/>
          </w:tcPr>
          <w:p w14:paraId="0642722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bCs/>
                <w:color w:val="auto"/>
                <w:sz w:val="21"/>
                <w:szCs w:val="21"/>
                <w:highlight w:val="none"/>
                <w:u w:val="none"/>
                <w:vertAlign w:val="baseline"/>
              </w:rPr>
            </w:pPr>
          </w:p>
        </w:tc>
        <w:tc>
          <w:tcPr>
            <w:tcW w:w="934" w:type="pct"/>
            <w:vMerge w:val="restart"/>
            <w:tcBorders>
              <w:tl2br w:val="nil"/>
              <w:tr2bl w:val="nil"/>
            </w:tcBorders>
            <w:noWrap w:val="0"/>
            <w:vAlign w:val="center"/>
          </w:tcPr>
          <w:p w14:paraId="06C60C9A">
            <w:pPr>
              <w:pStyle w:val="1650"/>
              <w:keepNext w:val="0"/>
              <w:keepLines w:val="0"/>
              <w:pageBreakBefore w:val="0"/>
              <w:widowControl w:val="0"/>
              <w:kinsoku/>
              <w:wordWrap/>
              <w:overflowPunct/>
              <w:topLinePunct w:val="0"/>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cs="Times New Roman"/>
                <w:color w:val="auto"/>
                <w:sz w:val="21"/>
                <w:szCs w:val="21"/>
                <w:highlight w:val="none"/>
                <w:u w:val="none" w:color="0000FF"/>
              </w:rPr>
              <w:t>生态环境保护措施</w:t>
            </w:r>
          </w:p>
        </w:tc>
        <w:tc>
          <w:tcPr>
            <w:tcW w:w="2498" w:type="pct"/>
            <w:tcBorders>
              <w:tl2br w:val="nil"/>
              <w:tr2bl w:val="nil"/>
            </w:tcBorders>
            <w:noWrap w:val="0"/>
            <w:vAlign w:val="center"/>
          </w:tcPr>
          <w:p w14:paraId="4B118FA4">
            <w:pPr>
              <w:pStyle w:val="1650"/>
              <w:keepNext w:val="0"/>
              <w:keepLines w:val="0"/>
              <w:pageBreakBefore w:val="0"/>
              <w:widowControl w:val="0"/>
              <w:kinsoku/>
              <w:wordWrap/>
              <w:overflowPunct/>
              <w:topLinePunct w:val="0"/>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挡土墙</w:t>
            </w:r>
          </w:p>
        </w:tc>
        <w:tc>
          <w:tcPr>
            <w:tcW w:w="1027" w:type="pct"/>
            <w:tcBorders>
              <w:tl2br w:val="nil"/>
              <w:tr2bl w:val="nil"/>
            </w:tcBorders>
            <w:noWrap w:val="0"/>
            <w:vAlign w:val="center"/>
          </w:tcPr>
          <w:p w14:paraId="42BA677E">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15.0</w:t>
            </w:r>
          </w:p>
        </w:tc>
      </w:tr>
      <w:tr w14:paraId="74F404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Merge w:val="continue"/>
            <w:tcBorders>
              <w:tl2br w:val="nil"/>
              <w:tr2bl w:val="nil"/>
            </w:tcBorders>
            <w:noWrap w:val="0"/>
            <w:vAlign w:val="center"/>
          </w:tcPr>
          <w:p w14:paraId="7ADE653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bCs/>
                <w:color w:val="auto"/>
                <w:sz w:val="21"/>
                <w:szCs w:val="21"/>
                <w:highlight w:val="none"/>
                <w:u w:val="none"/>
                <w:vertAlign w:val="baseline"/>
              </w:rPr>
            </w:pPr>
          </w:p>
        </w:tc>
        <w:tc>
          <w:tcPr>
            <w:tcW w:w="934" w:type="pct"/>
            <w:vMerge w:val="continue"/>
            <w:tcBorders>
              <w:tl2br w:val="nil"/>
              <w:tr2bl w:val="nil"/>
            </w:tcBorders>
            <w:noWrap w:val="0"/>
            <w:vAlign w:val="center"/>
          </w:tcPr>
          <w:p w14:paraId="0564FC4E">
            <w:pPr>
              <w:pStyle w:val="1650"/>
              <w:keepNext w:val="0"/>
              <w:keepLines w:val="0"/>
              <w:pageBreakBefore w:val="0"/>
              <w:widowControl w:val="0"/>
              <w:kinsoku/>
              <w:wordWrap/>
              <w:overflowPunct/>
              <w:topLinePunct w:val="0"/>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u w:val="none"/>
              </w:rPr>
            </w:pPr>
          </w:p>
        </w:tc>
        <w:tc>
          <w:tcPr>
            <w:tcW w:w="2498" w:type="pct"/>
            <w:tcBorders>
              <w:tl2br w:val="nil"/>
              <w:tr2bl w:val="nil"/>
            </w:tcBorders>
            <w:noWrap w:val="0"/>
            <w:vAlign w:val="center"/>
          </w:tcPr>
          <w:p w14:paraId="1D468B97">
            <w:pPr>
              <w:pStyle w:val="1650"/>
              <w:keepNext w:val="0"/>
              <w:keepLines w:val="0"/>
              <w:pageBreakBefore w:val="0"/>
              <w:widowControl w:val="0"/>
              <w:kinsoku/>
              <w:wordWrap/>
              <w:overflowPunct/>
              <w:topLinePunct w:val="0"/>
              <w:bidi w:val="0"/>
              <w:adjustRightInd w:val="0"/>
              <w:snapToGrid w:val="0"/>
              <w:spacing w:line="240" w:lineRule="atLeast"/>
              <w:jc w:val="center"/>
              <w:textAlignment w:val="auto"/>
              <w:rPr>
                <w:rFonts w:hint="eastAsia"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rPr>
              <w:t>植被恢复</w:t>
            </w:r>
            <w:r>
              <w:rPr>
                <w:rFonts w:hint="eastAsia" w:ascii="Times New Roman" w:cs="Times New Roman"/>
                <w:color w:val="auto"/>
                <w:sz w:val="21"/>
                <w:szCs w:val="21"/>
                <w:highlight w:val="none"/>
                <w:u w:val="none"/>
                <w:lang w:eastAsia="zh-CN"/>
              </w:rPr>
              <w:t>，回填道路边坡绿化</w:t>
            </w:r>
          </w:p>
        </w:tc>
        <w:tc>
          <w:tcPr>
            <w:tcW w:w="1027" w:type="pct"/>
            <w:tcBorders>
              <w:tl2br w:val="nil"/>
              <w:tr2bl w:val="nil"/>
            </w:tcBorders>
            <w:noWrap w:val="0"/>
            <w:vAlign w:val="center"/>
          </w:tcPr>
          <w:p w14:paraId="02D7633F">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10.0</w:t>
            </w:r>
          </w:p>
        </w:tc>
      </w:tr>
      <w:tr w14:paraId="461480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vMerge w:val="continue"/>
            <w:tcBorders>
              <w:tl2br w:val="nil"/>
              <w:tr2bl w:val="nil"/>
            </w:tcBorders>
            <w:noWrap w:val="0"/>
            <w:vAlign w:val="center"/>
          </w:tcPr>
          <w:p w14:paraId="41ECD60B">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bCs/>
                <w:color w:val="auto"/>
                <w:sz w:val="21"/>
                <w:szCs w:val="21"/>
                <w:highlight w:val="none"/>
                <w:u w:val="none"/>
                <w:vertAlign w:val="baseline"/>
              </w:rPr>
            </w:pPr>
          </w:p>
        </w:tc>
        <w:tc>
          <w:tcPr>
            <w:tcW w:w="934" w:type="pct"/>
            <w:vMerge w:val="continue"/>
            <w:tcBorders>
              <w:tl2br w:val="nil"/>
              <w:tr2bl w:val="nil"/>
            </w:tcBorders>
            <w:noWrap w:val="0"/>
            <w:vAlign w:val="center"/>
          </w:tcPr>
          <w:p w14:paraId="461E3A8D">
            <w:pPr>
              <w:pStyle w:val="1650"/>
              <w:keepNext w:val="0"/>
              <w:keepLines w:val="0"/>
              <w:pageBreakBefore w:val="0"/>
              <w:widowControl w:val="0"/>
              <w:kinsoku/>
              <w:wordWrap/>
              <w:overflowPunct/>
              <w:topLinePunct w:val="0"/>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u w:val="none"/>
              </w:rPr>
            </w:pPr>
          </w:p>
        </w:tc>
        <w:tc>
          <w:tcPr>
            <w:tcW w:w="2498" w:type="pct"/>
            <w:tcBorders>
              <w:tl2br w:val="nil"/>
              <w:tr2bl w:val="nil"/>
            </w:tcBorders>
            <w:noWrap w:val="0"/>
            <w:vAlign w:val="center"/>
          </w:tcPr>
          <w:p w14:paraId="703AC0FB">
            <w:pPr>
              <w:pStyle w:val="1650"/>
              <w:keepNext w:val="0"/>
              <w:keepLines w:val="0"/>
              <w:pageBreakBefore w:val="0"/>
              <w:widowControl w:val="0"/>
              <w:kinsoku/>
              <w:wordWrap/>
              <w:overflowPunct/>
              <w:topLinePunct w:val="0"/>
              <w:bidi w:val="0"/>
              <w:adjustRightInd w:val="0"/>
              <w:snapToGrid w:val="0"/>
              <w:spacing w:line="240" w:lineRule="atLeast"/>
              <w:jc w:val="center"/>
              <w:textAlignment w:val="auto"/>
              <w:rPr>
                <w:rFonts w:hint="eastAsia"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rPr>
              <w:t>进行表土回填</w:t>
            </w:r>
            <w:r>
              <w:rPr>
                <w:rFonts w:hint="eastAsia" w:ascii="Times New Roman" w:cs="Times New Roman"/>
                <w:color w:val="auto"/>
                <w:sz w:val="21"/>
                <w:szCs w:val="21"/>
                <w:highlight w:val="none"/>
                <w:u w:val="none"/>
                <w:lang w:eastAsia="zh-CN"/>
              </w:rPr>
              <w:t>，淤泥覆土</w:t>
            </w:r>
          </w:p>
        </w:tc>
        <w:tc>
          <w:tcPr>
            <w:tcW w:w="1027" w:type="pct"/>
            <w:tcBorders>
              <w:tl2br w:val="nil"/>
              <w:tr2bl w:val="nil"/>
            </w:tcBorders>
            <w:noWrap w:val="0"/>
            <w:vAlign w:val="center"/>
          </w:tcPr>
          <w:p w14:paraId="342026D4">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12.0</w:t>
            </w:r>
          </w:p>
        </w:tc>
      </w:tr>
      <w:tr w14:paraId="6DDCAC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0" w:type="pct"/>
            <w:tcBorders>
              <w:tl2br w:val="nil"/>
              <w:tr2bl w:val="nil"/>
            </w:tcBorders>
            <w:noWrap w:val="0"/>
            <w:vAlign w:val="center"/>
          </w:tcPr>
          <w:p w14:paraId="3C873C6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sz w:val="21"/>
                <w:szCs w:val="21"/>
                <w:highlight w:val="none"/>
                <w:u w:val="none"/>
                <w:vertAlign w:val="baseline"/>
                <w:lang w:eastAsia="zh-CN"/>
              </w:rPr>
            </w:pPr>
            <w:r>
              <w:rPr>
                <w:rFonts w:hint="eastAsia" w:ascii="Times New Roman" w:hAnsi="Times New Roman" w:cs="Times New Roman"/>
                <w:b/>
                <w:bCs/>
                <w:color w:val="auto"/>
                <w:sz w:val="21"/>
                <w:szCs w:val="21"/>
                <w:highlight w:val="none"/>
                <w:u w:val="none"/>
                <w:vertAlign w:val="baseline"/>
                <w:lang w:eastAsia="zh-CN"/>
              </w:rPr>
              <w:t>运营期</w:t>
            </w:r>
          </w:p>
        </w:tc>
        <w:tc>
          <w:tcPr>
            <w:tcW w:w="934" w:type="pct"/>
            <w:tcBorders>
              <w:tl2br w:val="nil"/>
              <w:tr2bl w:val="nil"/>
            </w:tcBorders>
            <w:noWrap w:val="0"/>
            <w:vAlign w:val="center"/>
          </w:tcPr>
          <w:p w14:paraId="65BEB863">
            <w:pPr>
              <w:pStyle w:val="1650"/>
              <w:keepNext w:val="0"/>
              <w:keepLines w:val="0"/>
              <w:pageBreakBefore w:val="0"/>
              <w:widowControl w:val="0"/>
              <w:kinsoku/>
              <w:wordWrap/>
              <w:overflowPunct/>
              <w:topLinePunct w:val="0"/>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cs="Times New Roman"/>
                <w:color w:val="auto"/>
                <w:sz w:val="21"/>
                <w:szCs w:val="21"/>
                <w:highlight w:val="none"/>
                <w:u w:val="none"/>
                <w:lang w:eastAsia="zh-CN"/>
              </w:rPr>
              <w:t>生态环境保护措施</w:t>
            </w:r>
          </w:p>
        </w:tc>
        <w:tc>
          <w:tcPr>
            <w:tcW w:w="2498" w:type="pct"/>
            <w:tcBorders>
              <w:tl2br w:val="nil"/>
              <w:tr2bl w:val="nil"/>
            </w:tcBorders>
            <w:noWrap w:val="0"/>
            <w:vAlign w:val="center"/>
          </w:tcPr>
          <w:p w14:paraId="7371D20F">
            <w:pPr>
              <w:pStyle w:val="1650"/>
              <w:keepNext w:val="0"/>
              <w:keepLines w:val="0"/>
              <w:pageBreakBefore w:val="0"/>
              <w:widowControl w:val="0"/>
              <w:kinsoku/>
              <w:wordWrap/>
              <w:overflowPunct/>
              <w:topLinePunct w:val="0"/>
              <w:bidi w:val="0"/>
              <w:adjustRightInd w:val="0"/>
              <w:snapToGrid w:val="0"/>
              <w:spacing w:line="240" w:lineRule="atLeast"/>
              <w:jc w:val="center"/>
              <w:textAlignment w:val="auto"/>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cs="Times New Roman"/>
                <w:color w:val="auto"/>
                <w:sz w:val="21"/>
                <w:szCs w:val="21"/>
                <w:highlight w:val="none"/>
                <w:lang w:eastAsia="zh-CN"/>
              </w:rPr>
              <w:t>生态重建及恢复：水生生态重建、绿化。</w:t>
            </w:r>
          </w:p>
        </w:tc>
        <w:tc>
          <w:tcPr>
            <w:tcW w:w="1027" w:type="pct"/>
            <w:tcBorders>
              <w:tl2br w:val="nil"/>
              <w:tr2bl w:val="nil"/>
            </w:tcBorders>
            <w:noWrap w:val="0"/>
            <w:vAlign w:val="center"/>
          </w:tcPr>
          <w:p w14:paraId="0BD8353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val="0"/>
                <w:bCs w:val="0"/>
                <w:color w:val="auto"/>
                <w:sz w:val="21"/>
                <w:szCs w:val="21"/>
                <w:highlight w:val="none"/>
                <w:u w:val="none"/>
                <w:vertAlign w:val="baseline"/>
                <w:lang w:val="en-US" w:eastAsia="zh-CN"/>
              </w:rPr>
            </w:pPr>
            <w:r>
              <w:rPr>
                <w:rFonts w:hint="default" w:ascii="Times New Roman" w:hAnsi="Times New Roman" w:cs="Times New Roman"/>
                <w:b w:val="0"/>
                <w:bCs w:val="0"/>
                <w:color w:val="auto"/>
                <w:sz w:val="21"/>
                <w:szCs w:val="21"/>
                <w:highlight w:val="none"/>
                <w:u w:val="none"/>
                <w:vertAlign w:val="baseline"/>
                <w:lang w:val="en-US" w:eastAsia="zh-CN"/>
              </w:rPr>
              <w:t>5.0</w:t>
            </w:r>
          </w:p>
        </w:tc>
      </w:tr>
      <w:tr w14:paraId="6CA8B5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4" w:type="pct"/>
            <w:gridSpan w:val="2"/>
            <w:tcBorders>
              <w:tl2br w:val="nil"/>
              <w:tr2bl w:val="nil"/>
            </w:tcBorders>
            <w:noWrap w:val="0"/>
            <w:vAlign w:val="center"/>
          </w:tcPr>
          <w:p w14:paraId="09CA160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bCs/>
                <w:color w:val="auto"/>
                <w:sz w:val="21"/>
                <w:szCs w:val="21"/>
                <w:highlight w:val="none"/>
                <w:u w:val="none"/>
                <w:vertAlign w:val="baseline"/>
              </w:rPr>
            </w:pPr>
            <w:r>
              <w:rPr>
                <w:rFonts w:hint="default" w:ascii="Times New Roman" w:hAnsi="Times New Roman" w:cs="Times New Roman"/>
                <w:b w:val="0"/>
                <w:bCs w:val="0"/>
                <w:color w:val="auto"/>
                <w:sz w:val="21"/>
                <w:szCs w:val="21"/>
                <w:highlight w:val="none"/>
                <w:u w:val="none"/>
                <w:vertAlign w:val="baseline"/>
                <w:lang w:eastAsia="zh-CN"/>
              </w:rPr>
              <w:t>合计（万元）</w:t>
            </w:r>
          </w:p>
        </w:tc>
        <w:tc>
          <w:tcPr>
            <w:tcW w:w="3525" w:type="pct"/>
            <w:gridSpan w:val="2"/>
            <w:tcBorders>
              <w:tl2br w:val="nil"/>
              <w:tr2bl w:val="nil"/>
            </w:tcBorders>
            <w:noWrap w:val="0"/>
            <w:vAlign w:val="center"/>
          </w:tcPr>
          <w:p w14:paraId="34CAA1DB">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cs="Times New Roman"/>
                <w:b w:val="0"/>
                <w:bCs w:val="0"/>
                <w:color w:val="auto"/>
                <w:sz w:val="21"/>
                <w:szCs w:val="21"/>
                <w:highlight w:val="none"/>
                <w:u w:val="single"/>
                <w:vertAlign w:val="baseline"/>
                <w:lang w:val="en-US" w:eastAsia="zh-CN"/>
              </w:rPr>
              <w:t>67.2</w:t>
            </w:r>
          </w:p>
        </w:tc>
      </w:tr>
      <w:tr w14:paraId="5316C9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474" w:type="pct"/>
            <w:gridSpan w:val="2"/>
            <w:tcBorders>
              <w:tl2br w:val="nil"/>
              <w:tr2bl w:val="nil"/>
            </w:tcBorders>
            <w:noWrap w:val="0"/>
            <w:vAlign w:val="center"/>
          </w:tcPr>
          <w:p w14:paraId="0B4AAEEC">
            <w:pPr>
              <w:pStyle w:val="1650"/>
              <w:keepNext w:val="0"/>
              <w:keepLines w:val="0"/>
              <w:pageBreakBefore w:val="0"/>
              <w:widowControl w:val="0"/>
              <w:kinsoku/>
              <w:wordWrap/>
              <w:overflowPunct/>
              <w:topLinePunct w:val="0"/>
              <w:bidi w:val="0"/>
              <w:adjustRightInd w:val="0"/>
              <w:snapToGrid w:val="0"/>
              <w:spacing w:line="240" w:lineRule="atLeast"/>
              <w:jc w:val="center"/>
              <w:textAlignment w:val="auto"/>
              <w:rPr>
                <w:rFonts w:hint="default" w:ascii="Times New Roman" w:hAnsi="Times New Roman" w:cs="Times New Roman"/>
                <w:color w:val="auto"/>
                <w:sz w:val="21"/>
                <w:szCs w:val="21"/>
                <w:highlight w:val="none"/>
                <w:u w:val="none" w:color="0000FF"/>
              </w:rPr>
            </w:pPr>
            <w:r>
              <w:rPr>
                <w:rFonts w:hint="default" w:ascii="Times New Roman" w:hAnsi="Times New Roman" w:cs="Times New Roman"/>
                <w:b w:val="0"/>
                <w:bCs w:val="0"/>
                <w:color w:val="auto"/>
                <w:sz w:val="21"/>
                <w:szCs w:val="21"/>
                <w:highlight w:val="none"/>
                <w:u w:val="none"/>
                <w:vertAlign w:val="baseline"/>
                <w:lang w:eastAsia="zh-CN"/>
              </w:rPr>
              <w:t>项目总投资（万元）</w:t>
            </w:r>
          </w:p>
        </w:tc>
        <w:tc>
          <w:tcPr>
            <w:tcW w:w="3525" w:type="pct"/>
            <w:gridSpan w:val="2"/>
            <w:tcBorders>
              <w:tl2br w:val="nil"/>
              <w:tr2bl w:val="nil"/>
            </w:tcBorders>
            <w:noWrap w:val="0"/>
            <w:vAlign w:val="center"/>
          </w:tcPr>
          <w:p w14:paraId="46ACA3D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8912.20</w:t>
            </w:r>
          </w:p>
        </w:tc>
      </w:tr>
      <w:tr w14:paraId="6C940C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4" w:type="pct"/>
            <w:gridSpan w:val="2"/>
            <w:tcBorders>
              <w:tl2br w:val="nil"/>
              <w:tr2bl w:val="nil"/>
            </w:tcBorders>
            <w:noWrap w:val="0"/>
            <w:vAlign w:val="center"/>
          </w:tcPr>
          <w:p w14:paraId="250B5FC9">
            <w:pPr>
              <w:pStyle w:val="1650"/>
              <w:keepNext w:val="0"/>
              <w:keepLines w:val="0"/>
              <w:pageBreakBefore w:val="0"/>
              <w:widowControl w:val="0"/>
              <w:kinsoku/>
              <w:wordWrap/>
              <w:overflowPunct/>
              <w:topLinePunct w:val="0"/>
              <w:bidi w:val="0"/>
              <w:adjustRightInd w:val="0"/>
              <w:snapToGrid w:val="0"/>
              <w:spacing w:line="240" w:lineRule="atLeast"/>
              <w:jc w:val="center"/>
              <w:textAlignment w:val="auto"/>
              <w:rPr>
                <w:rFonts w:hint="default" w:ascii="Times New Roman" w:hAnsi="Times New Roman" w:cs="Times New Roman"/>
                <w:color w:val="auto"/>
                <w:sz w:val="21"/>
                <w:szCs w:val="21"/>
                <w:highlight w:val="none"/>
                <w:u w:val="none" w:color="0000FF"/>
              </w:rPr>
            </w:pPr>
            <w:r>
              <w:rPr>
                <w:rFonts w:hint="default" w:ascii="Times New Roman" w:hAnsi="Times New Roman" w:cs="Times New Roman"/>
                <w:b w:val="0"/>
                <w:bCs w:val="0"/>
                <w:color w:val="auto"/>
                <w:sz w:val="21"/>
                <w:szCs w:val="21"/>
                <w:highlight w:val="none"/>
                <w:u w:val="none"/>
                <w:vertAlign w:val="baseline"/>
                <w:lang w:eastAsia="zh-CN"/>
              </w:rPr>
              <w:t>占总投资百分比（</w:t>
            </w:r>
            <w:r>
              <w:rPr>
                <w:rFonts w:hint="default" w:ascii="Times New Roman" w:hAnsi="Times New Roman" w:cs="Times New Roman"/>
                <w:b w:val="0"/>
                <w:bCs w:val="0"/>
                <w:color w:val="auto"/>
                <w:sz w:val="21"/>
                <w:szCs w:val="21"/>
                <w:highlight w:val="none"/>
                <w:u w:val="none"/>
                <w:vertAlign w:val="baseline"/>
                <w:lang w:val="en-US" w:eastAsia="zh-CN"/>
              </w:rPr>
              <w:t>%</w:t>
            </w:r>
            <w:r>
              <w:rPr>
                <w:rFonts w:hint="default" w:ascii="Times New Roman" w:hAnsi="Times New Roman" w:cs="Times New Roman"/>
                <w:b w:val="0"/>
                <w:bCs w:val="0"/>
                <w:color w:val="auto"/>
                <w:sz w:val="21"/>
                <w:szCs w:val="21"/>
                <w:highlight w:val="none"/>
                <w:u w:val="none"/>
                <w:vertAlign w:val="baseline"/>
                <w:lang w:eastAsia="zh-CN"/>
              </w:rPr>
              <w:t>）</w:t>
            </w:r>
          </w:p>
        </w:tc>
        <w:tc>
          <w:tcPr>
            <w:tcW w:w="3525" w:type="pct"/>
            <w:gridSpan w:val="2"/>
            <w:tcBorders>
              <w:tl2br w:val="nil"/>
              <w:tr2bl w:val="nil"/>
            </w:tcBorders>
            <w:noWrap w:val="0"/>
            <w:vAlign w:val="center"/>
          </w:tcPr>
          <w:p w14:paraId="47B83346">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cs="Times New Roman"/>
                <w:b w:val="0"/>
                <w:bCs w:val="0"/>
                <w:color w:val="auto"/>
                <w:sz w:val="21"/>
                <w:szCs w:val="21"/>
                <w:highlight w:val="none"/>
                <w:u w:val="single"/>
                <w:vertAlign w:val="baseline"/>
                <w:lang w:val="en-US" w:eastAsia="zh-CN"/>
              </w:rPr>
              <w:t>0.75</w:t>
            </w:r>
          </w:p>
        </w:tc>
      </w:tr>
    </w:tbl>
    <w:p w14:paraId="24990E92">
      <w:pPr>
        <w:pStyle w:val="410"/>
        <w:rPr>
          <w:rFonts w:hint="default" w:ascii="Times New Roman" w:hAnsi="Times New Roman" w:cs="Times New Roman"/>
          <w:color w:val="auto"/>
          <w:highlight w:val="none"/>
        </w:rPr>
      </w:pPr>
    </w:p>
    <w:p w14:paraId="0A861251">
      <w:pPr>
        <w:pStyle w:val="410"/>
        <w:rPr>
          <w:rFonts w:hint="default" w:ascii="Times New Roman" w:hAnsi="Times New Roman" w:cs="Times New Roman"/>
          <w:color w:val="auto"/>
          <w:highlight w:val="none"/>
        </w:rPr>
        <w:sectPr>
          <w:headerReference r:id="rId13" w:type="default"/>
          <w:pgSz w:w="11906" w:h="16838"/>
          <w:pgMar w:top="1418" w:right="1514" w:bottom="1418" w:left="1780" w:header="1134" w:footer="992" w:gutter="0"/>
          <w:cols w:space="720" w:num="1"/>
          <w:docGrid w:type="linesAndChars" w:linePitch="466" w:charSpace="-3928"/>
        </w:sectPr>
      </w:pPr>
    </w:p>
    <w:p w14:paraId="5205C4BA">
      <w:pPr>
        <w:pStyle w:val="3"/>
        <w:numPr>
          <w:ilvl w:val="0"/>
          <w:numId w:val="40"/>
        </w:numPr>
        <w:bidi w:val="0"/>
        <w:ind w:left="425" w:leftChars="0" w:hanging="425" w:firstLineChars="0"/>
        <w:rPr>
          <w:rFonts w:hint="default"/>
          <w:color w:val="auto"/>
          <w:highlight w:val="none"/>
        </w:rPr>
      </w:pPr>
      <w:bookmarkStart w:id="133" w:name="_Toc203274247"/>
      <w:bookmarkStart w:id="134" w:name="_Toc30875"/>
      <w:bookmarkStart w:id="135" w:name="_Toc186205328"/>
      <w:bookmarkStart w:id="136" w:name="_Toc174800645"/>
      <w:bookmarkStart w:id="137" w:name="_Toc195236177"/>
      <w:r>
        <w:rPr>
          <w:rFonts w:hint="default"/>
          <w:color w:val="auto"/>
          <w:highlight w:val="none"/>
        </w:rPr>
        <w:t>环境影响经济损益分析</w:t>
      </w:r>
      <w:bookmarkEnd w:id="133"/>
      <w:bookmarkEnd w:id="134"/>
    </w:p>
    <w:p w14:paraId="440666A7">
      <w:pPr>
        <w:pStyle w:val="4"/>
        <w:numPr>
          <w:ilvl w:val="1"/>
          <w:numId w:val="40"/>
        </w:numPr>
        <w:bidi w:val="0"/>
        <w:ind w:left="678" w:leftChars="0" w:firstLine="0" w:firstLineChars="0"/>
        <w:rPr>
          <w:rFonts w:hint="default"/>
          <w:color w:val="auto"/>
          <w:highlight w:val="none"/>
        </w:rPr>
      </w:pPr>
      <w:bookmarkStart w:id="138" w:name="_Toc27422"/>
      <w:bookmarkStart w:id="139" w:name="_Toc241548642"/>
      <w:bookmarkStart w:id="140" w:name="_Toc207763583"/>
      <w:r>
        <w:rPr>
          <w:rFonts w:hint="default"/>
          <w:color w:val="auto"/>
          <w:highlight w:val="none"/>
        </w:rPr>
        <w:t>工程经济</w:t>
      </w:r>
      <w:r>
        <w:rPr>
          <w:rFonts w:hint="eastAsia"/>
          <w:color w:val="auto"/>
          <w:highlight w:val="none"/>
          <w:lang w:eastAsia="zh-CN"/>
        </w:rPr>
        <w:t>影响</w:t>
      </w:r>
      <w:r>
        <w:rPr>
          <w:rFonts w:hint="default"/>
          <w:color w:val="auto"/>
          <w:highlight w:val="none"/>
        </w:rPr>
        <w:t>评价</w:t>
      </w:r>
      <w:bookmarkEnd w:id="138"/>
    </w:p>
    <w:p w14:paraId="6A547288">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本项目的经济影响主要表现在间接的经济影响上。间接经济影响是与项目相关而在项目范围以外产生的经济效益。本项目的间接经济影响主要体现在以下几个方面：</w:t>
      </w:r>
    </w:p>
    <w:p w14:paraId="10FB4D59">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（1）改善钦州港的防洪排涝条件</w:t>
      </w:r>
    </w:p>
    <w:p w14:paraId="08E42A40">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实施后可以进一步完善中国(广西)自由贸易试验区钦州港片区和谐大街以南，大榄坪大街以北，友谊大道以东区域村庄的排水体系，进一步促进人水和谐相处，减少该区域内涝发生的概率和频率，减少区域内房屋和物资、居民财产、基础设施损坏造成的损失，以及因内涝造成的企业停产、停业，交通、电力、通讯中断等造成的直接和间接经济损失。</w:t>
      </w:r>
    </w:p>
    <w:p w14:paraId="73EC99B7">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（2）建设活动会给当地带来新的消费需求</w:t>
      </w:r>
    </w:p>
    <w:p w14:paraId="3AB5AA52">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本项目的建设活动，将会涉及一定数量的务工人员、工作人员，这会带来可观的衣食住行之类的消费需求；与此同时，</w:t>
      </w:r>
      <w:r>
        <w:rPr>
          <w:rFonts w:hint="eastAsia" w:ascii="Times New Roman" w:hAnsi="Times New Roman" w:eastAsia="宋体" w:cs="Times New Roman"/>
          <w:color w:val="auto"/>
          <w:highlight w:val="none"/>
          <w:lang w:eastAsia="zh-CN"/>
        </w:rPr>
        <w:t>施工</w:t>
      </w:r>
      <w:r>
        <w:rPr>
          <w:rFonts w:hint="default" w:ascii="Times New Roman" w:hAnsi="Times New Roman" w:eastAsia="宋体" w:cs="Times New Roman"/>
          <w:color w:val="auto"/>
          <w:highlight w:val="none"/>
        </w:rPr>
        <w:t>过程中需要消耗水、电等资源</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这些消费需求都会对当地的经济发展形成良好的推动。</w:t>
      </w:r>
    </w:p>
    <w:p w14:paraId="6830BA86">
      <w:pPr>
        <w:pStyle w:val="4"/>
        <w:numPr>
          <w:ilvl w:val="1"/>
          <w:numId w:val="40"/>
        </w:numPr>
        <w:bidi w:val="0"/>
        <w:ind w:left="678" w:leftChars="0" w:firstLine="0" w:firstLineChars="0"/>
        <w:rPr>
          <w:rFonts w:hint="default"/>
          <w:color w:val="auto"/>
          <w:highlight w:val="none"/>
        </w:rPr>
      </w:pPr>
      <w:bookmarkStart w:id="141" w:name="_Toc8449"/>
      <w:r>
        <w:rPr>
          <w:rFonts w:hint="eastAsia"/>
          <w:color w:val="auto"/>
          <w:highlight w:val="none"/>
          <w:lang w:eastAsia="zh-CN"/>
        </w:rPr>
        <w:t>社会经济效益分析</w:t>
      </w:r>
      <w:bookmarkEnd w:id="141"/>
    </w:p>
    <w:p w14:paraId="4E1230F7">
      <w:pPr>
        <w:pStyle w:val="41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本项目的建设及其运营，其社会影响主要表现在增加就业、提升当地居民收入水平、提升钦州港的城市整体环境等几个方面：</w:t>
      </w:r>
    </w:p>
    <w:p w14:paraId="15538E3A">
      <w:pPr>
        <w:pStyle w:val="41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1</w:t>
      </w:r>
      <w:r>
        <w:rPr>
          <w:rFonts w:hint="eastAsia" w:ascii="Times New Roman" w:hAnsi="Times New Roman" w:eastAsia="宋体" w:cs="Times New Roman"/>
          <w:color w:val="auto"/>
          <w:highlight w:val="none"/>
          <w:lang w:val="en-US" w:eastAsia="zh-CN"/>
        </w:rPr>
        <w:t>）项目建设将增加就业机会</w:t>
      </w:r>
    </w:p>
    <w:p w14:paraId="31F7B03C">
      <w:pPr>
        <w:pStyle w:val="41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 xml:space="preserve">项目的建设不但可以增加社会总产出、创造 </w:t>
      </w:r>
      <w:r>
        <w:rPr>
          <w:rFonts w:hint="default" w:ascii="Times New Roman" w:hAnsi="Times New Roman" w:eastAsia="宋体" w:cs="Times New Roman"/>
          <w:color w:val="auto"/>
          <w:highlight w:val="none"/>
          <w:lang w:val="en-US" w:eastAsia="zh-CN"/>
        </w:rPr>
        <w:t>GDP</w:t>
      </w:r>
      <w:r>
        <w:rPr>
          <w:rFonts w:hint="eastAsia" w:ascii="Times New Roman" w:hAnsi="Times New Roman" w:eastAsia="宋体" w:cs="Times New Roman"/>
          <w:color w:val="auto"/>
          <w:highlight w:val="none"/>
          <w:lang w:val="en-US" w:eastAsia="zh-CN"/>
        </w:rPr>
        <w:t xml:space="preserve">，还能为社会创造直接、间接的就业机会。项目建设将给当地带来的一定程度的就业带动作用。 </w:t>
      </w:r>
    </w:p>
    <w:p w14:paraId="26F0D225">
      <w:pPr>
        <w:pStyle w:val="41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lang w:val="en-US" w:eastAsia="zh-CN"/>
        </w:rPr>
        <w:t xml:space="preserve">）项目建设将增加当地居民的收入 </w:t>
      </w:r>
    </w:p>
    <w:p w14:paraId="29009BCC">
      <w:pPr>
        <w:pStyle w:val="41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 xml:space="preserve">从项目本身来看，项目的建设，将给项目直接就业人员带来收入水平的提高；从相关产业来看，项目的建设将带动当地建设材料等下游产业以及餐饮等前向服务产业的相关间接就业人员收入水平的增加。 </w:t>
      </w:r>
    </w:p>
    <w:p w14:paraId="25B72BE8">
      <w:pPr>
        <w:pStyle w:val="41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3</w:t>
      </w:r>
      <w:r>
        <w:rPr>
          <w:rFonts w:hint="eastAsia" w:ascii="Times New Roman" w:hAnsi="Times New Roman" w:eastAsia="宋体" w:cs="Times New Roman"/>
          <w:color w:val="auto"/>
          <w:highlight w:val="none"/>
          <w:lang w:val="en-US" w:eastAsia="zh-CN"/>
        </w:rPr>
        <w:t xml:space="preserve">）项目建设将改善钦州港的整体城市环境 </w:t>
      </w:r>
    </w:p>
    <w:p w14:paraId="6257A276">
      <w:pPr>
        <w:pStyle w:val="41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本项目主要是为改善钦州港的排水、排洪条件。除了项目自身建设 投入的排洪渠工程、城市基础设施配套等费用，项目区域相关项目的建 设，钦州港形成临港产业集群向心力之后的辐射带动作用，这些都会对 钦州港整体城市环境的改善形成推动作用。</w:t>
      </w:r>
    </w:p>
    <w:p w14:paraId="514F9E09">
      <w:pPr>
        <w:pStyle w:val="4"/>
        <w:numPr>
          <w:ilvl w:val="1"/>
          <w:numId w:val="40"/>
        </w:numPr>
        <w:bidi w:val="0"/>
        <w:ind w:left="678" w:leftChars="0" w:firstLine="0" w:firstLineChars="0"/>
        <w:rPr>
          <w:rFonts w:hint="default" w:cs="Times New Roman"/>
          <w:color w:val="auto"/>
          <w:highlight w:val="none"/>
        </w:rPr>
      </w:pPr>
      <w:bookmarkStart w:id="142" w:name="_Toc14530"/>
      <w:r>
        <w:rPr>
          <w:rFonts w:hint="eastAsia" w:cs="Times New Roman"/>
          <w:color w:val="auto"/>
          <w:highlight w:val="none"/>
          <w:lang w:eastAsia="zh-CN"/>
        </w:rPr>
        <w:t>环境影响经济损益分析</w:t>
      </w:r>
      <w:bookmarkEnd w:id="142"/>
    </w:p>
    <w:p w14:paraId="054FF994">
      <w:pPr>
        <w:pStyle w:val="5"/>
        <w:numPr>
          <w:ilvl w:val="2"/>
          <w:numId w:val="40"/>
        </w:numPr>
        <w:bidi w:val="0"/>
        <w:ind w:left="452" w:leftChars="0" w:firstLine="0" w:firstLineChars="0"/>
        <w:rPr>
          <w:rFonts w:hint="default"/>
          <w:color w:val="auto"/>
          <w:highlight w:val="none"/>
        </w:rPr>
      </w:pPr>
      <w:r>
        <w:rPr>
          <w:rFonts w:hint="eastAsia"/>
          <w:color w:val="auto"/>
          <w:highlight w:val="none"/>
          <w:lang w:eastAsia="zh-CN"/>
        </w:rPr>
        <w:t>环境影响经济损失分析</w:t>
      </w:r>
    </w:p>
    <w:p w14:paraId="41A7DA82">
      <w:pPr>
        <w:pStyle w:val="410"/>
        <w:rPr>
          <w:rFonts w:hint="default" w:ascii="Times New Roman" w:hAnsi="Times New Roman" w:cs="Times New Roman"/>
          <w:color w:val="auto"/>
          <w:highlight w:val="none"/>
        </w:rPr>
      </w:pPr>
      <w:r>
        <w:rPr>
          <w:rFonts w:hint="eastAsia" w:ascii="Times New Roman" w:cs="Times New Roman"/>
          <w:color w:val="auto"/>
          <w:highlight w:val="none"/>
          <w:lang w:eastAsia="zh-CN"/>
        </w:rPr>
        <w:t>本项目造成的生态环境损失主要集中在施工期，项目施工</w:t>
      </w:r>
      <w:r>
        <w:rPr>
          <w:rFonts w:hint="default" w:ascii="Times New Roman" w:hAnsi="Times New Roman" w:cs="Times New Roman"/>
          <w:color w:val="auto"/>
          <w:highlight w:val="none"/>
        </w:rPr>
        <w:t>造成的环境损失</w:t>
      </w:r>
      <w:r>
        <w:rPr>
          <w:rFonts w:hint="eastAsia" w:ascii="Times New Roman" w:cs="Times New Roman"/>
          <w:color w:val="auto"/>
          <w:highlight w:val="none"/>
          <w:lang w:eastAsia="zh-CN"/>
        </w:rPr>
        <w:t>主要</w:t>
      </w:r>
      <w:r>
        <w:rPr>
          <w:rFonts w:hint="default" w:ascii="Times New Roman" w:hAnsi="Times New Roman" w:cs="Times New Roman"/>
          <w:color w:val="auto"/>
          <w:highlight w:val="none"/>
        </w:rPr>
        <w:t>有：</w:t>
      </w:r>
    </w:p>
    <w:p w14:paraId="5CB0F0EF">
      <w:pPr>
        <w:pStyle w:val="410"/>
        <w:numPr>
          <w:ilvl w:val="0"/>
          <w:numId w:val="49"/>
        </w:numPr>
        <w:ind w:left="0" w:leftChars="0" w:firstLine="454" w:firstLineChars="0"/>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项目生态损失分析</w:t>
      </w:r>
    </w:p>
    <w:p w14:paraId="5BF06058">
      <w:pPr>
        <w:pStyle w:val="410"/>
        <w:keepNext w:val="0"/>
        <w:keepLines w:val="0"/>
        <w:pageBreakBefore w:val="0"/>
        <w:widowControl w:val="0"/>
        <w:numPr>
          <w:ilvl w:val="0"/>
          <w:numId w:val="0"/>
        </w:numPr>
        <w:kinsoku/>
        <w:wordWrap/>
        <w:overflowPunct/>
        <w:topLinePunct w:val="0"/>
        <w:autoSpaceDE/>
        <w:autoSpaceDN/>
        <w:bidi w:val="0"/>
        <w:adjustRightInd/>
        <w:snapToGrid/>
        <w:ind w:left="0" w:leftChars="0" w:firstLine="442" w:firstLineChars="200"/>
        <w:textAlignment w:val="auto"/>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项目生态效益损失难以定量，本评价中采用为维持周边生态环境稳定所采取的措施费用进行估算；即水土流失工程总投资（新增水土保持投资）费用为 107.69万元。</w:t>
      </w:r>
    </w:p>
    <w:p w14:paraId="59A0C476">
      <w:pPr>
        <w:pStyle w:val="410"/>
        <w:keepNext w:val="0"/>
        <w:keepLines w:val="0"/>
        <w:pageBreakBefore w:val="0"/>
        <w:widowControl w:val="0"/>
        <w:numPr>
          <w:ilvl w:val="0"/>
          <w:numId w:val="49"/>
        </w:numPr>
        <w:kinsoku/>
        <w:wordWrap/>
        <w:overflowPunct/>
        <w:topLinePunct w:val="0"/>
        <w:autoSpaceDE/>
        <w:autoSpaceDN/>
        <w:bidi w:val="0"/>
        <w:adjustRightInd/>
        <w:snapToGrid/>
        <w:ind w:left="0" w:leftChars="0" w:firstLine="454" w:firstLineChars="0"/>
        <w:textAlignment w:val="auto"/>
        <w:rPr>
          <w:rFonts w:hint="eastAsia" w:ascii="Times New Roman" w:cs="Times New Roman"/>
          <w:color w:val="auto"/>
          <w:highlight w:val="none"/>
          <w:lang w:val="en-US" w:eastAsia="zh-CN"/>
        </w:rPr>
      </w:pPr>
      <w:r>
        <w:rPr>
          <w:rFonts w:hint="eastAsia" w:ascii="Times New Roman" w:cs="Times New Roman"/>
          <w:color w:val="auto"/>
          <w:highlight w:val="none"/>
          <w:lang w:val="en-US" w:eastAsia="zh-CN"/>
        </w:rPr>
        <w:t>其他环境经济损失分析</w:t>
      </w:r>
    </w:p>
    <w:p w14:paraId="2A5C2A96">
      <w:pPr>
        <w:adjustRightInd w:val="0"/>
        <w:snapToGrid w:val="0"/>
        <w:spacing w:line="360" w:lineRule="auto"/>
        <w:ind w:firstLine="442"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highlight w:val="none"/>
          <w:lang w:val="en-US" w:eastAsia="zh-CN"/>
        </w:rPr>
        <w:t>为避免、恢复和补偿项目建设造成的不利环境影响，</w:t>
      </w:r>
      <w:r>
        <w:rPr>
          <w:rFonts w:hint="default" w:ascii="Times New Roman" w:hAnsi="Times New Roman" w:cs="Times New Roman"/>
          <w:color w:val="auto"/>
          <w:sz w:val="24"/>
          <w:szCs w:val="24"/>
          <w:highlight w:val="none"/>
        </w:rPr>
        <w:t>采取的环境保护措施主要包括施工期和</w:t>
      </w:r>
      <w:r>
        <w:rPr>
          <w:rFonts w:hint="default" w:ascii="Times New Roman" w:hAnsi="Times New Roman" w:cs="Times New Roman"/>
          <w:color w:val="auto"/>
          <w:sz w:val="24"/>
          <w:szCs w:val="24"/>
          <w:highlight w:val="none"/>
          <w:lang w:eastAsia="zh-CN"/>
        </w:rPr>
        <w:t>营运期</w:t>
      </w:r>
      <w:r>
        <w:rPr>
          <w:rFonts w:hint="default" w:ascii="Times New Roman" w:hAnsi="Times New Roman" w:cs="Times New Roman"/>
          <w:color w:val="auto"/>
          <w:sz w:val="24"/>
          <w:szCs w:val="24"/>
          <w:highlight w:val="none"/>
        </w:rPr>
        <w:t>水环境保护措施、环境空气保护措施、声环境保护措施、生活垃圾处理措施、生态环境保护措施等，并进行了环境保护措施费用概算。</w:t>
      </w:r>
      <w:r>
        <w:rPr>
          <w:rFonts w:hint="default" w:ascii="Times New Roman" w:hAnsi="Times New Roman" w:cs="Times New Roman"/>
          <w:color w:val="auto"/>
          <w:sz w:val="24"/>
          <w:szCs w:val="24"/>
          <w:highlight w:val="none"/>
          <w:u w:val="single"/>
        </w:rPr>
        <w:t>本工程环保投资</w:t>
      </w:r>
      <w:r>
        <w:rPr>
          <w:rFonts w:hint="eastAsia" w:ascii="Times New Roman" w:cs="Times New Roman"/>
          <w:color w:val="auto"/>
          <w:sz w:val="24"/>
          <w:szCs w:val="24"/>
          <w:highlight w:val="none"/>
          <w:u w:val="single"/>
          <w:lang w:val="en-US" w:eastAsia="zh-CN"/>
        </w:rPr>
        <w:t>67.2</w:t>
      </w:r>
      <w:r>
        <w:rPr>
          <w:rFonts w:hint="default" w:ascii="Times New Roman" w:hAnsi="Times New Roman" w:cs="Times New Roman"/>
          <w:color w:val="auto"/>
          <w:sz w:val="24"/>
          <w:szCs w:val="24"/>
          <w:highlight w:val="none"/>
          <w:u w:val="single"/>
          <w:lang w:val="en-US" w:eastAsia="zh-CN"/>
        </w:rPr>
        <w:t>万元</w:t>
      </w:r>
      <w:r>
        <w:rPr>
          <w:rFonts w:hint="default" w:ascii="Times New Roman" w:hAnsi="Times New Roman" w:cs="Times New Roman"/>
          <w:color w:val="auto"/>
          <w:sz w:val="24"/>
          <w:szCs w:val="24"/>
          <w:highlight w:val="none"/>
          <w:u w:val="single"/>
        </w:rPr>
        <w:t>（不含计入主体工程的环保投资），占工程总投资的</w:t>
      </w:r>
      <w:r>
        <w:rPr>
          <w:rFonts w:hint="eastAsia" w:ascii="Times New Roman" w:cs="Times New Roman"/>
          <w:color w:val="auto"/>
          <w:sz w:val="24"/>
          <w:szCs w:val="24"/>
          <w:highlight w:val="none"/>
          <w:u w:val="single"/>
          <w:lang w:val="en-US" w:eastAsia="zh-CN"/>
        </w:rPr>
        <w:t>0.75</w:t>
      </w:r>
      <w:r>
        <w:rPr>
          <w:rFonts w:hint="default" w:ascii="Times New Roman" w:hAnsi="Times New Roman" w:cs="Times New Roman"/>
          <w:color w:val="auto"/>
          <w:sz w:val="24"/>
          <w:szCs w:val="24"/>
          <w:highlight w:val="none"/>
          <w:u w:val="single"/>
          <w:lang w:eastAsia="zh-CN"/>
        </w:rPr>
        <w:t>%</w:t>
      </w:r>
      <w:r>
        <w:rPr>
          <w:rFonts w:hint="default" w:ascii="Times New Roman" w:hAnsi="Times New Roman" w:cs="Times New Roman"/>
          <w:color w:val="auto"/>
          <w:sz w:val="24"/>
          <w:szCs w:val="24"/>
          <w:highlight w:val="none"/>
          <w:u w:val="single"/>
        </w:rPr>
        <w:t>，</w:t>
      </w:r>
      <w:r>
        <w:rPr>
          <w:rFonts w:hint="default" w:ascii="Times New Roman" w:hAnsi="Times New Roman" w:cs="Times New Roman"/>
          <w:color w:val="auto"/>
          <w:sz w:val="24"/>
          <w:szCs w:val="24"/>
          <w:highlight w:val="none"/>
        </w:rPr>
        <w:t>环境保护措施经济可行，在采取了上述环境影响减免措施后，工程的环境损失不大。</w:t>
      </w:r>
    </w:p>
    <w:p w14:paraId="16102E66">
      <w:pPr>
        <w:pStyle w:val="5"/>
        <w:numPr>
          <w:ilvl w:val="2"/>
          <w:numId w:val="40"/>
        </w:numPr>
        <w:bidi w:val="0"/>
        <w:ind w:left="452" w:leftChars="0" w:firstLine="0" w:firstLineChars="0"/>
        <w:rPr>
          <w:rFonts w:hint="default"/>
          <w:color w:val="auto"/>
          <w:highlight w:val="none"/>
        </w:rPr>
      </w:pPr>
      <w:r>
        <w:rPr>
          <w:rFonts w:hint="eastAsia"/>
          <w:color w:val="auto"/>
          <w:highlight w:val="none"/>
          <w:lang w:eastAsia="zh-CN"/>
        </w:rPr>
        <w:t>环境影响经济效益分析</w:t>
      </w:r>
    </w:p>
    <w:p w14:paraId="4EE1B586">
      <w:pPr>
        <w:pStyle w:val="410"/>
        <w:rPr>
          <w:rFonts w:hint="default" w:ascii="Times New Roman" w:hAnsi="Times New Roman" w:cs="Times New Roman"/>
          <w:color w:val="auto"/>
          <w:highlight w:val="none"/>
        </w:rPr>
      </w:pPr>
      <w:r>
        <w:rPr>
          <w:rFonts w:hint="eastAsia" w:ascii="Times New Roman" w:cs="Times New Roman"/>
          <w:color w:val="auto"/>
          <w:highlight w:val="none"/>
          <w:lang w:eastAsia="zh-CN"/>
        </w:rPr>
        <w:t>本</w:t>
      </w:r>
      <w:r>
        <w:rPr>
          <w:rFonts w:hint="default" w:ascii="Times New Roman" w:hAnsi="Times New Roman" w:cs="Times New Roman"/>
          <w:color w:val="auto"/>
          <w:highlight w:val="none"/>
        </w:rPr>
        <w:t>项目的环境效益主要体现在：</w:t>
      </w:r>
    </w:p>
    <w:p w14:paraId="6D73B3DD">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eastAsia"/>
          <w:color w:val="auto"/>
          <w:highlight w:val="none"/>
          <w:lang w:eastAsia="zh-CN"/>
        </w:rPr>
        <w:t>项目建成后无污染物排放</w:t>
      </w:r>
      <w:r>
        <w:rPr>
          <w:rFonts w:hint="default" w:ascii="Times New Roman" w:hAnsi="Times New Roman" w:cs="Times New Roman"/>
          <w:color w:val="auto"/>
          <w:highlight w:val="none"/>
        </w:rPr>
        <w:t>，工程营运不会对附近区域水体、大气、声环境产生重大影响，从而创造了较为良好的生产生活环境。</w:t>
      </w:r>
    </w:p>
    <w:p w14:paraId="0EB495F2">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（2）本项目</w:t>
      </w:r>
      <w:r>
        <w:rPr>
          <w:rFonts w:hint="eastAsia" w:ascii="Times New Roman" w:cs="Times New Roman"/>
          <w:color w:val="auto"/>
          <w:highlight w:val="none"/>
          <w:lang w:eastAsia="zh-CN"/>
        </w:rPr>
        <w:t>建设有利于地表水环境及水生生态环境的改善，对区域环境的总体影响是有利的</w:t>
      </w:r>
      <w:r>
        <w:rPr>
          <w:rFonts w:hint="default" w:ascii="Times New Roman" w:hAnsi="Times New Roman" w:cs="Times New Roman"/>
          <w:color w:val="auto"/>
          <w:highlight w:val="none"/>
        </w:rPr>
        <w:t>。</w:t>
      </w:r>
    </w:p>
    <w:p w14:paraId="6A945A2B">
      <w:pPr>
        <w:pStyle w:val="4"/>
        <w:numPr>
          <w:ilvl w:val="1"/>
          <w:numId w:val="40"/>
        </w:numPr>
        <w:bidi w:val="0"/>
        <w:ind w:left="678" w:leftChars="0" w:firstLine="0" w:firstLineChars="0"/>
        <w:rPr>
          <w:rFonts w:hint="default" w:cs="Times New Roman"/>
          <w:color w:val="auto"/>
          <w:highlight w:val="none"/>
          <w:lang w:eastAsia="zh-CN"/>
        </w:rPr>
      </w:pPr>
      <w:bookmarkStart w:id="143" w:name="_Toc24625"/>
      <w:r>
        <w:rPr>
          <w:rFonts w:hint="default" w:cs="Times New Roman"/>
          <w:color w:val="auto"/>
          <w:highlight w:val="none"/>
          <w:lang w:eastAsia="zh-CN"/>
        </w:rPr>
        <w:t>综合效益</w:t>
      </w:r>
      <w:bookmarkEnd w:id="143"/>
    </w:p>
    <w:p w14:paraId="6EAF3094">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本工程属于社会公益性质的水利建设项目，具有巨大的经济效益和社会效益。工程建成后，使中国(广西)自由贸易试验区钦州港片区和谐大街以南，大榄坪大街以北，友谊大道以东区域防洪和除涝能力得到提高，为地区经济持续发展提供保障。工程对生态与环境的影响有利有弊，环境影响经济损失主要体现在工程占地、环境保护措施、生态保护、移民安置，环境影响经济效益主要体现在防洪、防汛、水环境改善等方面，本项目产生的社会效益为避免或减轻大洪水防汛抢险救灾给社会正常生产、生活造成的影响，提高防洪标准，改善投资环境，加快</w:t>
      </w:r>
      <w:r>
        <w:rPr>
          <w:rFonts w:hint="eastAsia" w:ascii="Times New Roman" w:cs="Times New Roman"/>
          <w:color w:val="auto"/>
          <w:highlight w:val="none"/>
          <w:lang w:eastAsia="zh-CN"/>
        </w:rPr>
        <w:t>钦州市</w:t>
      </w:r>
      <w:r>
        <w:rPr>
          <w:rFonts w:hint="default" w:ascii="Times New Roman" w:hAnsi="Times New Roman" w:cs="Times New Roman"/>
          <w:color w:val="auto"/>
          <w:highlight w:val="none"/>
        </w:rPr>
        <w:t>经济发展，为地区经济持续发展提供保障，其效益难以用货币化来定量。综上，本工程建设产生的防洪效益和社会效益远远大于环境损失，因此，本项目建设环境经济上可行。</w:t>
      </w:r>
    </w:p>
    <w:bookmarkEnd w:id="139"/>
    <w:bookmarkEnd w:id="140"/>
    <w:p w14:paraId="4962DE6F">
      <w:pPr>
        <w:pStyle w:val="3"/>
        <w:rPr>
          <w:rFonts w:hint="default" w:ascii="Times New Roman" w:hAnsi="Times New Roman" w:cs="Times New Roman"/>
          <w:color w:val="auto"/>
          <w:highlight w:val="none"/>
        </w:rPr>
        <w:sectPr>
          <w:headerReference r:id="rId14" w:type="default"/>
          <w:pgSz w:w="11906" w:h="16838"/>
          <w:pgMar w:top="1418" w:right="1514" w:bottom="1418" w:left="1780" w:header="1134" w:footer="992" w:gutter="0"/>
          <w:cols w:space="720" w:num="1"/>
          <w:docGrid w:type="linesAndChars" w:linePitch="466" w:charSpace="-3928"/>
        </w:sectPr>
      </w:pPr>
    </w:p>
    <w:p w14:paraId="2C3FFE64">
      <w:pPr>
        <w:pStyle w:val="3"/>
        <w:numPr>
          <w:ilvl w:val="0"/>
          <w:numId w:val="40"/>
        </w:numPr>
        <w:bidi w:val="0"/>
        <w:ind w:left="425" w:leftChars="0" w:hanging="425" w:firstLineChars="0"/>
        <w:rPr>
          <w:rFonts w:hint="default"/>
          <w:color w:val="auto"/>
          <w:highlight w:val="none"/>
        </w:rPr>
      </w:pPr>
      <w:bookmarkStart w:id="144" w:name="_Toc4025"/>
      <w:r>
        <w:rPr>
          <w:rFonts w:hint="default"/>
          <w:color w:val="auto"/>
          <w:highlight w:val="none"/>
        </w:rPr>
        <w:t>环境管理与监测计划</w:t>
      </w:r>
      <w:bookmarkEnd w:id="144"/>
    </w:p>
    <w:p w14:paraId="17C39937">
      <w:pPr>
        <w:pStyle w:val="410"/>
        <w:rPr>
          <w:rFonts w:hint="default" w:ascii="Times New Roman" w:hAnsi="Times New Roman" w:eastAsia="宋体" w:cs="Times New Roman"/>
          <w:color w:val="auto"/>
          <w:highlight w:val="none"/>
        </w:rPr>
      </w:pPr>
      <w:bookmarkStart w:id="145" w:name="_Toc241548644"/>
      <w:bookmarkStart w:id="146" w:name="_Toc207763585"/>
      <w:bookmarkStart w:id="147" w:name="_Toc317843976"/>
      <w:r>
        <w:rPr>
          <w:rFonts w:hint="default" w:ascii="Times New Roman" w:hAnsi="Times New Roman" w:eastAsia="宋体" w:cs="Times New Roman"/>
          <w:color w:val="auto"/>
          <w:highlight w:val="none"/>
        </w:rPr>
        <w:t>为保证建设项目的所有环保措施都能正常运行，减小项目建设所产生的环境影响，根据建设单位拟采取的环境管理和监测的措施，对照有关的标准和规范进行评述，提出环境管理和环境监测计划的建议供建设单位参考，有利于环境保护管理部门对项目的环境监督、管理。</w:t>
      </w:r>
    </w:p>
    <w:p w14:paraId="66E026DF">
      <w:pPr>
        <w:pStyle w:val="4"/>
        <w:numPr>
          <w:ilvl w:val="1"/>
          <w:numId w:val="40"/>
        </w:numPr>
        <w:bidi w:val="0"/>
        <w:ind w:left="678" w:leftChars="0" w:firstLine="0" w:firstLineChars="0"/>
        <w:rPr>
          <w:rFonts w:hint="default"/>
          <w:color w:val="auto"/>
          <w:highlight w:val="none"/>
        </w:rPr>
      </w:pPr>
      <w:bookmarkStart w:id="148" w:name="_Toc21713"/>
      <w:r>
        <w:rPr>
          <w:rFonts w:hint="default"/>
          <w:color w:val="auto"/>
          <w:highlight w:val="none"/>
        </w:rPr>
        <w:t>环境管理</w:t>
      </w:r>
      <w:bookmarkEnd w:id="145"/>
      <w:bookmarkEnd w:id="146"/>
      <w:bookmarkEnd w:id="147"/>
      <w:bookmarkEnd w:id="148"/>
    </w:p>
    <w:p w14:paraId="1C234683">
      <w:pPr>
        <w:pStyle w:val="5"/>
        <w:numPr>
          <w:ilvl w:val="2"/>
          <w:numId w:val="40"/>
        </w:numPr>
        <w:bidi w:val="0"/>
        <w:ind w:left="452" w:leftChars="0" w:firstLine="0" w:firstLineChars="0"/>
        <w:rPr>
          <w:rFonts w:hint="default"/>
          <w:color w:val="auto"/>
          <w:highlight w:val="none"/>
        </w:rPr>
      </w:pPr>
      <w:r>
        <w:rPr>
          <w:rFonts w:hint="default"/>
          <w:color w:val="auto"/>
          <w:highlight w:val="none"/>
        </w:rPr>
        <w:t>环境保护管理体系</w:t>
      </w:r>
    </w:p>
    <w:p w14:paraId="25FF6680">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通过环境管理，使本项目的建设符合国家有关环境保护设施与主体工程同时设计、同时施工、同时投产使用的</w:t>
      </w:r>
      <w:r>
        <w:rPr>
          <w:rFonts w:hint="eastAsia" w:ascii="Times New Roman" w:cs="Times New Roman"/>
          <w:color w:val="auto"/>
          <w:highlight w:val="none"/>
          <w:lang w:val="en-US" w:eastAsia="zh-CN"/>
        </w:rPr>
        <w:t>|“三同时”</w:t>
      </w:r>
      <w:r>
        <w:rPr>
          <w:rFonts w:hint="default" w:ascii="Times New Roman" w:hAnsi="Times New Roman" w:eastAsia="宋体" w:cs="Times New Roman"/>
          <w:color w:val="auto"/>
          <w:highlight w:val="none"/>
        </w:rPr>
        <w:t>制度，使环保措施得以在地方生态环境部门和水行政主管部门的监督之下实施，责任明确，措施落实，使项目建设对环境带来的不利影响减轻到最低程度，达到经济效益和环境效益的协调发展。</w:t>
      </w:r>
    </w:p>
    <w:p w14:paraId="40904869">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①保持与环境保护主管部门的密切联系，及时了解国家、地方对本项目有关环境保护的法律、法规和</w:t>
      </w:r>
      <w:r>
        <w:rPr>
          <w:rFonts w:hint="default" w:ascii="Times New Roman" w:hAnsi="Times New Roman" w:eastAsia="宋体" w:cs="Times New Roman"/>
          <w:color w:val="auto"/>
          <w:highlight w:val="none"/>
          <w:lang w:eastAsia="zh-CN"/>
        </w:rPr>
        <w:t>其他</w:t>
      </w:r>
      <w:r>
        <w:rPr>
          <w:rFonts w:hint="default" w:ascii="Times New Roman" w:hAnsi="Times New Roman" w:eastAsia="宋体" w:cs="Times New Roman"/>
          <w:color w:val="auto"/>
          <w:highlight w:val="none"/>
        </w:rPr>
        <w:t>要求，及时向环境保护主管部门反映与项目施工有关的污染因素、存在的问题、采取的污染控制对策等环境保护方面的内容，听取环境保护主管部门的批示意见。</w:t>
      </w:r>
    </w:p>
    <w:p w14:paraId="47728BA9">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②及时将国家、地方与本项目环境保护有关的</w:t>
      </w:r>
      <w:r>
        <w:rPr>
          <w:rFonts w:hint="default" w:ascii="Times New Roman" w:hAnsi="Times New Roman" w:eastAsia="宋体" w:cs="Times New Roman"/>
          <w:color w:val="auto"/>
          <w:highlight w:val="none"/>
          <w:lang w:eastAsia="zh-CN"/>
        </w:rPr>
        <w:t>法律法规</w:t>
      </w:r>
      <w:r>
        <w:rPr>
          <w:rFonts w:hint="default" w:ascii="Times New Roman" w:hAnsi="Times New Roman" w:eastAsia="宋体" w:cs="Times New Roman"/>
          <w:color w:val="auto"/>
          <w:highlight w:val="none"/>
        </w:rPr>
        <w:t>和其他要求向施工单位负责人汇报，组织施工人员进行环境保护法规和污染控制技术措施方面的培训，要求施工队按环保要求施工，提高文明施工水平。</w:t>
      </w:r>
    </w:p>
    <w:p w14:paraId="33B5DF11">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③负责制定、监督、落实有关环境保护管理规章制度，负责实施环境保护控制措施、管理污染治理设施，并</w:t>
      </w:r>
      <w:r>
        <w:rPr>
          <w:rFonts w:hint="default" w:ascii="Times New Roman" w:hAnsi="Times New Roman" w:eastAsia="宋体" w:cs="Times New Roman"/>
          <w:color w:val="auto"/>
          <w:highlight w:val="none"/>
          <w:lang w:eastAsia="zh-CN"/>
        </w:rPr>
        <w:t>进行详细的</w:t>
      </w:r>
      <w:r>
        <w:rPr>
          <w:rFonts w:hint="default" w:ascii="Times New Roman" w:hAnsi="Times New Roman" w:eastAsia="宋体" w:cs="Times New Roman"/>
          <w:color w:val="auto"/>
          <w:highlight w:val="none"/>
        </w:rPr>
        <w:t>记录，以备检查。</w:t>
      </w:r>
    </w:p>
    <w:p w14:paraId="19F1DEE1">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④按本报告提出的各项环境保护措施，编制详细施工期环境保护措施落实计划，明确各施工工序的施工场地位置、环境影响、环境保护措施、落实责任人等，并将该环境保护计划以书面形式发放给相关人员，以便于各项措施的有效落实。</w:t>
      </w:r>
    </w:p>
    <w:p w14:paraId="3A243DBA">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⑤落实施工场地内外有关施工活动的各项污染防治措施的实施，重点控制扬尘污染和噪声污染，</w:t>
      </w:r>
      <w:r>
        <w:rPr>
          <w:rFonts w:hint="default" w:ascii="Times New Roman" w:hAnsi="Times New Roman" w:eastAsia="宋体" w:cs="Times New Roman"/>
          <w:color w:val="auto"/>
          <w:highlight w:val="none"/>
          <w:lang w:eastAsia="zh-CN"/>
        </w:rPr>
        <w:t>按照</w:t>
      </w:r>
      <w:r>
        <w:rPr>
          <w:rFonts w:hint="default" w:ascii="Times New Roman" w:hAnsi="Times New Roman" w:eastAsia="宋体" w:cs="Times New Roman"/>
          <w:color w:val="auto"/>
          <w:highlight w:val="none"/>
        </w:rPr>
        <w:t>国家《噪声污染防治条例》和GB12523-2011《建筑施工场界环境噪声排放标准》的要求施工。</w:t>
      </w:r>
    </w:p>
    <w:p w14:paraId="3C5AF7C4">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⑥做好宣传工作。由于技术条件和施工环境的限制，施工时带来的环境污染仍是避免不了的。因此施工时要向附近的居民、工厂职工等做好宣传工作，取得居民、职工等有关对象的谅解。</w:t>
      </w:r>
    </w:p>
    <w:p w14:paraId="307F902F">
      <w:pPr>
        <w:pStyle w:val="5"/>
        <w:numPr>
          <w:ilvl w:val="2"/>
          <w:numId w:val="40"/>
        </w:numPr>
        <w:bidi w:val="0"/>
        <w:ind w:left="452" w:leftChars="0" w:firstLine="0" w:firstLineChars="0"/>
        <w:rPr>
          <w:rFonts w:hint="default"/>
          <w:color w:val="auto"/>
          <w:highlight w:val="none"/>
        </w:rPr>
      </w:pPr>
      <w:r>
        <w:rPr>
          <w:rFonts w:hint="default"/>
          <w:color w:val="auto"/>
          <w:highlight w:val="none"/>
        </w:rPr>
        <w:t>环境管理制度</w:t>
      </w:r>
    </w:p>
    <w:p w14:paraId="5823C191">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为了落实各项污染防治措施，加强环境保护管理工作，应根据实际特点，制定各种类型的环保制度，并以文件形式规定，形成一套公司级环境管理制度体系，如：</w:t>
      </w:r>
    </w:p>
    <w:p w14:paraId="46068BA0">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（1）环境保护职责管理条例；</w:t>
      </w:r>
    </w:p>
    <w:p w14:paraId="7C408C74">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（2）建设项目“三同时”管理制度；</w:t>
      </w:r>
    </w:p>
    <w:p w14:paraId="352472D4">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（3）各种环保装置运行操作规程；</w:t>
      </w:r>
    </w:p>
    <w:p w14:paraId="3294685C">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（4）各种污染防治对策控制工艺参数；</w:t>
      </w:r>
    </w:p>
    <w:p w14:paraId="4F1540B6">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（5）各种环保设施检查、维护、保养规定；</w:t>
      </w:r>
    </w:p>
    <w:p w14:paraId="42BFBE6D">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（6）环境保护工作实施计划；</w:t>
      </w:r>
    </w:p>
    <w:p w14:paraId="01FAD6B1">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（7）固废综合利用管理办法；</w:t>
      </w:r>
    </w:p>
    <w:p w14:paraId="7D2BACF3">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（8）污染事故应急预案；</w:t>
      </w:r>
    </w:p>
    <w:p w14:paraId="7D2DE747">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（9）绿化工作年度计划；</w:t>
      </w:r>
    </w:p>
    <w:p w14:paraId="689FCAA8">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（10）环境保护指标考核管理办法；</w:t>
      </w:r>
    </w:p>
    <w:p w14:paraId="2E5DAE55">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（11）规范化排污口建设管理规定；</w:t>
      </w:r>
    </w:p>
    <w:p w14:paraId="3C7A8718">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（12）环保宣传及教育制度。</w:t>
      </w:r>
    </w:p>
    <w:p w14:paraId="42B868A7">
      <w:pPr>
        <w:pStyle w:val="5"/>
        <w:numPr>
          <w:ilvl w:val="2"/>
          <w:numId w:val="40"/>
        </w:numPr>
        <w:bidi w:val="0"/>
        <w:ind w:left="452" w:leftChars="0" w:firstLine="0" w:firstLineChars="0"/>
        <w:rPr>
          <w:rFonts w:hint="default"/>
          <w:color w:val="auto"/>
          <w:highlight w:val="none"/>
        </w:rPr>
      </w:pPr>
      <w:r>
        <w:rPr>
          <w:rFonts w:hint="default"/>
          <w:color w:val="auto"/>
          <w:highlight w:val="none"/>
        </w:rPr>
        <w:t>施工单位环境管理</w:t>
      </w:r>
    </w:p>
    <w:p w14:paraId="1550264A">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施工单位应设立内部环境保护管理机构，由施工单位负责人以及相关专业技术人员组成。定岗定员，岗位责任制，负责各个施工工序的环境保护管理工作，保证施工环保设施的正常运行，各项环保措施的落实。管理内容主要是：</w:t>
      </w:r>
    </w:p>
    <w:p w14:paraId="76E459CA">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（1）制定、监督并落实有关环境保护管理的规章制度，实施环境保护措施，管理污染治理设施，并进行详细记录；</w:t>
      </w:r>
    </w:p>
    <w:p w14:paraId="7ACA16CA">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（2）及时向环境管理部门或单位负责人汇报与本项目有关的污染因素、存在问题、采取的污染控制措施、实施情况等，提出建议意见；</w:t>
      </w:r>
    </w:p>
    <w:p w14:paraId="356D8D64">
      <w:pPr>
        <w:pStyle w:val="41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（3）按本报告提出的各项环境保护措施编制施工期环保措施实施计划，明确各施工工序的场地位置、环境影响、环保措施、负责人员等，并将该计划以书面形式发放给相关人员。</w:t>
      </w:r>
    </w:p>
    <w:bookmarkEnd w:id="135"/>
    <w:bookmarkEnd w:id="136"/>
    <w:bookmarkEnd w:id="137"/>
    <w:p w14:paraId="423E904F">
      <w:pPr>
        <w:pStyle w:val="4"/>
        <w:numPr>
          <w:ilvl w:val="1"/>
          <w:numId w:val="40"/>
        </w:numPr>
        <w:bidi w:val="0"/>
        <w:ind w:left="678" w:leftChars="0" w:firstLine="0" w:firstLineChars="0"/>
        <w:rPr>
          <w:rFonts w:hint="default"/>
          <w:color w:val="auto"/>
          <w:highlight w:val="none"/>
        </w:rPr>
      </w:pPr>
      <w:bookmarkStart w:id="149" w:name="_Toc9119"/>
      <w:bookmarkStart w:id="150" w:name="_Toc241548646"/>
      <w:bookmarkStart w:id="151" w:name="_Toc317843978"/>
      <w:bookmarkStart w:id="152" w:name="_Toc207763587"/>
      <w:r>
        <w:rPr>
          <w:rFonts w:hint="default"/>
          <w:color w:val="auto"/>
          <w:highlight w:val="none"/>
        </w:rPr>
        <w:t>环境保护监督计划</w:t>
      </w:r>
      <w:bookmarkEnd w:id="149"/>
    </w:p>
    <w:p w14:paraId="2BF56DAE">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项目环境保护监督机构由当地有关行政主管部门负责，其职责如下：主要负责项目施工及</w:t>
      </w:r>
      <w:r>
        <w:rPr>
          <w:rFonts w:hint="eastAsia" w:ascii="Times New Roman" w:hAnsi="Times New Roman" w:eastAsia="宋体" w:cs="Times New Roman"/>
          <w:color w:val="auto"/>
          <w:highlight w:val="none"/>
          <w:lang w:eastAsia="zh-CN"/>
        </w:rPr>
        <w:t>运营期</w:t>
      </w:r>
      <w:r>
        <w:rPr>
          <w:rFonts w:hint="default" w:ascii="Times New Roman" w:hAnsi="Times New Roman" w:eastAsia="宋体" w:cs="Times New Roman"/>
          <w:color w:val="auto"/>
          <w:highlight w:val="none"/>
        </w:rPr>
        <w:t>环境管理监督工作，包括审批环境影响报告书；监督项目环境保护措施的实施；确认项目应执行的环境管理法规和标准；对项目进行全面环境监督管理。</w:t>
      </w:r>
    </w:p>
    <w:p w14:paraId="6DE91B3F">
      <w:pPr>
        <w:pStyle w:val="41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各级环境保护行政主管部门和监察机构对项目各阶段环境管理监督计划的实施内容及目的见</w:t>
      </w:r>
      <w:r>
        <w:rPr>
          <w:rFonts w:hint="default" w:ascii="Times New Roman" w:hAnsi="Times New Roman" w:eastAsia="宋体" w:cs="Times New Roman"/>
          <w:color w:val="auto"/>
          <w:spacing w:val="-5"/>
          <w:sz w:val="24"/>
          <w:szCs w:val="24"/>
          <w:highlight w:val="none"/>
        </w:rPr>
        <w:t>表</w:t>
      </w:r>
      <w:r>
        <w:rPr>
          <w:rFonts w:hint="eastAsia" w:ascii="Times New Roman" w:eastAsia="宋体" w:cs="Times New Roman"/>
          <w:color w:val="auto"/>
          <w:spacing w:val="-5"/>
          <w:sz w:val="24"/>
          <w:szCs w:val="24"/>
          <w:highlight w:val="none"/>
          <w:lang w:val="en-US" w:eastAsia="zh-CN"/>
        </w:rPr>
        <w:t>7.2-1</w:t>
      </w:r>
      <w:r>
        <w:rPr>
          <w:rFonts w:hint="default" w:ascii="Times New Roman" w:hAnsi="Times New Roman" w:eastAsia="宋体" w:cs="Times New Roman"/>
          <w:color w:val="auto"/>
          <w:spacing w:val="-5"/>
          <w:sz w:val="24"/>
          <w:szCs w:val="24"/>
          <w:highlight w:val="none"/>
        </w:rPr>
        <w:t>。</w:t>
      </w:r>
    </w:p>
    <w:p w14:paraId="4F2CCFCF">
      <w:pPr>
        <w:pStyle w:val="268"/>
        <w:keepNext w:val="0"/>
        <w:keepLines w:val="0"/>
        <w:pageBreakBefore w:val="0"/>
        <w:widowControl w:val="0"/>
        <w:numPr>
          <w:ilvl w:val="4"/>
          <w:numId w:val="5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r>
        <w:rPr>
          <w:rFonts w:hint="default"/>
          <w:color w:val="auto"/>
          <w:highlight w:val="none"/>
        </w:rPr>
        <w:t>项目环境保护监督计划</w:t>
      </w:r>
    </w:p>
    <w:tbl>
      <w:tblPr>
        <w:tblStyle w:val="8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555"/>
        <w:gridCol w:w="3425"/>
        <w:gridCol w:w="2844"/>
      </w:tblGrid>
      <w:tr w14:paraId="474A1C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4" w:type="dxa"/>
            <w:noWrap w:val="0"/>
            <w:tcMar>
              <w:left w:w="28" w:type="dxa"/>
              <w:right w:w="28" w:type="dxa"/>
            </w:tcMar>
            <w:vAlign w:val="center"/>
          </w:tcPr>
          <w:p w14:paraId="1EAD39F7">
            <w:pPr>
              <w:pStyle w:val="698"/>
              <w:jc w:val="center"/>
              <w:rPr>
                <w:rFonts w:hint="default" w:ascii="Times New Roman" w:hAnsi="Times New Roman" w:eastAsia="宋体" w:cs="Times New Roman"/>
                <w:color w:val="auto"/>
                <w:spacing w:val="-1"/>
                <w:highlight w:val="none"/>
              </w:rPr>
            </w:pPr>
            <w:bookmarkStart w:id="153" w:name="_Hlk92724639"/>
            <w:r>
              <w:rPr>
                <w:rFonts w:hint="default" w:ascii="Times New Roman" w:hAnsi="Times New Roman" w:eastAsia="宋体" w:cs="Times New Roman"/>
                <w:color w:val="auto"/>
                <w:spacing w:val="-1"/>
                <w:highlight w:val="none"/>
              </w:rPr>
              <w:t>阶段</w:t>
            </w:r>
          </w:p>
        </w:tc>
        <w:tc>
          <w:tcPr>
            <w:tcW w:w="1555" w:type="dxa"/>
            <w:noWrap w:val="0"/>
            <w:tcMar>
              <w:left w:w="28" w:type="dxa"/>
              <w:right w:w="28" w:type="dxa"/>
            </w:tcMar>
            <w:vAlign w:val="center"/>
          </w:tcPr>
          <w:p w14:paraId="795B6CEB">
            <w:pPr>
              <w:pStyle w:val="698"/>
              <w:jc w:val="center"/>
              <w:rPr>
                <w:rFonts w:hint="default" w:ascii="Times New Roman" w:hAnsi="Times New Roman" w:eastAsia="宋体" w:cs="Times New Roman"/>
                <w:color w:val="auto"/>
                <w:spacing w:val="-1"/>
                <w:highlight w:val="none"/>
              </w:rPr>
            </w:pPr>
            <w:r>
              <w:rPr>
                <w:rFonts w:hint="default" w:ascii="Times New Roman" w:hAnsi="Times New Roman" w:eastAsia="宋体" w:cs="Times New Roman"/>
                <w:color w:val="auto"/>
                <w:spacing w:val="-1"/>
                <w:highlight w:val="none"/>
              </w:rPr>
              <w:t>机构</w:t>
            </w:r>
          </w:p>
        </w:tc>
        <w:tc>
          <w:tcPr>
            <w:tcW w:w="3425" w:type="dxa"/>
            <w:noWrap w:val="0"/>
            <w:tcMar>
              <w:left w:w="28" w:type="dxa"/>
              <w:right w:w="28" w:type="dxa"/>
            </w:tcMar>
            <w:vAlign w:val="center"/>
          </w:tcPr>
          <w:p w14:paraId="1F511904">
            <w:pPr>
              <w:pStyle w:val="698"/>
              <w:jc w:val="center"/>
              <w:rPr>
                <w:rFonts w:hint="default" w:ascii="Times New Roman" w:hAnsi="Times New Roman" w:eastAsia="宋体" w:cs="Times New Roman"/>
                <w:color w:val="auto"/>
                <w:spacing w:val="-1"/>
                <w:highlight w:val="none"/>
              </w:rPr>
            </w:pPr>
            <w:r>
              <w:rPr>
                <w:rFonts w:hint="default" w:ascii="Times New Roman" w:hAnsi="Times New Roman" w:eastAsia="宋体" w:cs="Times New Roman"/>
                <w:color w:val="auto"/>
                <w:spacing w:val="-1"/>
                <w:highlight w:val="none"/>
              </w:rPr>
              <w:t>监督监察内容</w:t>
            </w:r>
          </w:p>
        </w:tc>
        <w:tc>
          <w:tcPr>
            <w:tcW w:w="2844" w:type="dxa"/>
            <w:noWrap w:val="0"/>
            <w:tcMar>
              <w:left w:w="28" w:type="dxa"/>
              <w:right w:w="28" w:type="dxa"/>
            </w:tcMar>
            <w:vAlign w:val="center"/>
          </w:tcPr>
          <w:p w14:paraId="69B77157">
            <w:pPr>
              <w:pStyle w:val="698"/>
              <w:jc w:val="center"/>
              <w:rPr>
                <w:rFonts w:hint="default" w:ascii="Times New Roman" w:hAnsi="Times New Roman" w:eastAsia="宋体" w:cs="Times New Roman"/>
                <w:color w:val="auto"/>
                <w:spacing w:val="-1"/>
                <w:highlight w:val="none"/>
              </w:rPr>
            </w:pPr>
            <w:r>
              <w:rPr>
                <w:rFonts w:hint="default" w:ascii="Times New Roman" w:hAnsi="Times New Roman" w:eastAsia="宋体" w:cs="Times New Roman"/>
                <w:color w:val="auto"/>
                <w:spacing w:val="-1"/>
                <w:highlight w:val="none"/>
              </w:rPr>
              <w:t>监督目的</w:t>
            </w:r>
          </w:p>
        </w:tc>
      </w:tr>
      <w:tr w14:paraId="2858DB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4" w:type="dxa"/>
            <w:tcBorders>
              <w:bottom w:val="single" w:color="auto" w:sz="4" w:space="0"/>
            </w:tcBorders>
            <w:noWrap w:val="0"/>
            <w:tcMar>
              <w:left w:w="28" w:type="dxa"/>
              <w:right w:w="28" w:type="dxa"/>
            </w:tcMar>
            <w:vAlign w:val="center"/>
          </w:tcPr>
          <w:p w14:paraId="2BC082A4">
            <w:pPr>
              <w:pStyle w:val="698"/>
              <w:jc w:val="center"/>
              <w:rPr>
                <w:rFonts w:hint="default" w:ascii="Times New Roman" w:hAnsi="Times New Roman" w:eastAsia="宋体" w:cs="Times New Roman"/>
                <w:color w:val="auto"/>
                <w:spacing w:val="-1"/>
                <w:highlight w:val="none"/>
              </w:rPr>
            </w:pPr>
            <w:r>
              <w:rPr>
                <w:rFonts w:hint="default" w:ascii="Times New Roman" w:hAnsi="Times New Roman" w:eastAsia="宋体" w:cs="Times New Roman"/>
                <w:color w:val="auto"/>
                <w:spacing w:val="-1"/>
                <w:highlight w:val="none"/>
                <w:lang w:eastAsia="zh-CN"/>
              </w:rPr>
              <w:t>“三同时”</w:t>
            </w:r>
            <w:r>
              <w:rPr>
                <w:rFonts w:hint="default" w:ascii="Times New Roman" w:hAnsi="Times New Roman" w:eastAsia="宋体" w:cs="Times New Roman"/>
                <w:color w:val="auto"/>
                <w:spacing w:val="-1"/>
                <w:highlight w:val="none"/>
              </w:rPr>
              <w:t>管理阶段</w:t>
            </w:r>
          </w:p>
        </w:tc>
        <w:tc>
          <w:tcPr>
            <w:tcW w:w="1555" w:type="dxa"/>
            <w:tcBorders>
              <w:bottom w:val="single" w:color="auto" w:sz="4" w:space="0"/>
            </w:tcBorders>
            <w:noWrap w:val="0"/>
            <w:tcMar>
              <w:left w:w="28" w:type="dxa"/>
              <w:right w:w="28" w:type="dxa"/>
            </w:tcMar>
            <w:vAlign w:val="center"/>
          </w:tcPr>
          <w:p w14:paraId="2A202B7D">
            <w:pPr>
              <w:pStyle w:val="698"/>
              <w:jc w:val="center"/>
              <w:rPr>
                <w:rFonts w:hint="default" w:ascii="Times New Roman" w:hAnsi="Times New Roman" w:eastAsia="宋体" w:cs="Times New Roman"/>
                <w:color w:val="auto"/>
                <w:spacing w:val="-1"/>
                <w:highlight w:val="none"/>
              </w:rPr>
            </w:pPr>
            <w:r>
              <w:rPr>
                <w:rFonts w:hint="eastAsia"/>
                <w:color w:val="auto"/>
                <w:highlight w:val="none"/>
                <w:lang w:val="en-US" w:eastAsia="zh-CN"/>
              </w:rPr>
              <w:t>钦州市钦州港经济技术开发区生态环境局</w:t>
            </w:r>
            <w:r>
              <w:rPr>
                <w:rFonts w:hint="default" w:ascii="Times New Roman" w:hAnsi="Times New Roman" w:eastAsia="宋体" w:cs="Times New Roman"/>
                <w:color w:val="auto"/>
                <w:spacing w:val="-1"/>
                <w:highlight w:val="none"/>
              </w:rPr>
              <w:t>、钦</w:t>
            </w:r>
            <w:r>
              <w:rPr>
                <w:rFonts w:hint="eastAsia" w:ascii="Times New Roman" w:cs="Times New Roman"/>
                <w:color w:val="auto"/>
                <w:spacing w:val="-1"/>
                <w:highlight w:val="none"/>
                <w:lang w:eastAsia="zh-CN"/>
              </w:rPr>
              <w:t>州市</w:t>
            </w:r>
            <w:r>
              <w:rPr>
                <w:rFonts w:hint="default" w:ascii="Times New Roman" w:hAnsi="Times New Roman" w:eastAsia="宋体" w:cs="Times New Roman"/>
                <w:color w:val="auto"/>
                <w:spacing w:val="-1"/>
                <w:highlight w:val="none"/>
              </w:rPr>
              <w:t>环境监察支队</w:t>
            </w:r>
          </w:p>
        </w:tc>
        <w:tc>
          <w:tcPr>
            <w:tcW w:w="3425" w:type="dxa"/>
            <w:tcBorders>
              <w:bottom w:val="single" w:color="auto" w:sz="4" w:space="0"/>
            </w:tcBorders>
            <w:noWrap w:val="0"/>
            <w:tcMar>
              <w:left w:w="28" w:type="dxa"/>
              <w:right w:w="28" w:type="dxa"/>
            </w:tcMar>
            <w:vAlign w:val="center"/>
          </w:tcPr>
          <w:p w14:paraId="3A901384">
            <w:pPr>
              <w:pStyle w:val="698"/>
              <w:jc w:val="center"/>
              <w:rPr>
                <w:rFonts w:hint="default" w:ascii="Times New Roman" w:hAnsi="Times New Roman" w:eastAsia="宋体" w:cs="Times New Roman"/>
                <w:color w:val="auto"/>
                <w:spacing w:val="-1"/>
                <w:highlight w:val="none"/>
              </w:rPr>
            </w:pPr>
            <w:r>
              <w:rPr>
                <w:rFonts w:hint="default" w:ascii="Times New Roman" w:hAnsi="Times New Roman" w:eastAsia="宋体" w:cs="Times New Roman"/>
                <w:color w:val="auto"/>
                <w:spacing w:val="-1"/>
                <w:highlight w:val="none"/>
              </w:rPr>
              <w:t>①按随机抽查制度要求，对―三同时”执行情况开展现场核查，对建设项目运营期环保要求落实情况进行监督检查，对发现的环境违法行为依法处罚。</w:t>
            </w:r>
          </w:p>
          <w:p w14:paraId="0E3140BC">
            <w:pPr>
              <w:pStyle w:val="698"/>
              <w:jc w:val="center"/>
              <w:rPr>
                <w:rFonts w:hint="default" w:ascii="Times New Roman" w:hAnsi="Times New Roman" w:eastAsia="宋体" w:cs="Times New Roman"/>
                <w:color w:val="auto"/>
                <w:spacing w:val="-1"/>
                <w:highlight w:val="none"/>
              </w:rPr>
            </w:pPr>
            <w:r>
              <w:rPr>
                <w:rFonts w:hint="default" w:ascii="Times New Roman" w:hAnsi="Times New Roman" w:eastAsia="宋体" w:cs="Times New Roman"/>
                <w:color w:val="auto"/>
                <w:spacing w:val="-1"/>
                <w:highlight w:val="none"/>
              </w:rPr>
              <w:t>②办理排污申报手续。</w:t>
            </w:r>
          </w:p>
        </w:tc>
        <w:tc>
          <w:tcPr>
            <w:tcW w:w="2844" w:type="dxa"/>
            <w:tcBorders>
              <w:bottom w:val="single" w:color="auto" w:sz="4" w:space="0"/>
            </w:tcBorders>
            <w:noWrap w:val="0"/>
            <w:tcMar>
              <w:left w:w="28" w:type="dxa"/>
              <w:right w:w="28" w:type="dxa"/>
            </w:tcMar>
            <w:vAlign w:val="center"/>
          </w:tcPr>
          <w:p w14:paraId="35C51D0F">
            <w:pPr>
              <w:pStyle w:val="698"/>
              <w:jc w:val="center"/>
              <w:rPr>
                <w:rFonts w:hint="default" w:ascii="Times New Roman" w:hAnsi="Times New Roman" w:eastAsia="宋体" w:cs="Times New Roman"/>
                <w:color w:val="auto"/>
                <w:spacing w:val="-1"/>
                <w:highlight w:val="none"/>
              </w:rPr>
            </w:pPr>
            <w:r>
              <w:rPr>
                <w:rFonts w:hint="default" w:ascii="Times New Roman" w:hAnsi="Times New Roman" w:eastAsia="宋体" w:cs="Times New Roman"/>
                <w:color w:val="auto"/>
                <w:spacing w:val="-1"/>
                <w:highlight w:val="none"/>
              </w:rPr>
              <w:t>①确认环保设施正常运转并达到设计要求；②保证污染物排放达到排放标准和排放总量控制指标范围。</w:t>
            </w:r>
          </w:p>
        </w:tc>
      </w:tr>
      <w:tr w14:paraId="7B4F16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4" w:type="dxa"/>
            <w:tcBorders>
              <w:bottom w:val="single" w:color="auto" w:sz="4" w:space="0"/>
            </w:tcBorders>
            <w:noWrap w:val="0"/>
            <w:tcMar>
              <w:left w:w="28" w:type="dxa"/>
              <w:right w:w="28" w:type="dxa"/>
            </w:tcMar>
            <w:vAlign w:val="center"/>
          </w:tcPr>
          <w:p w14:paraId="71442A53">
            <w:pPr>
              <w:pStyle w:val="698"/>
              <w:jc w:val="center"/>
              <w:rPr>
                <w:rFonts w:hint="default" w:ascii="Times New Roman" w:hAnsi="Times New Roman" w:eastAsia="宋体" w:cs="Times New Roman"/>
                <w:color w:val="auto"/>
                <w:spacing w:val="-1"/>
                <w:highlight w:val="none"/>
              </w:rPr>
            </w:pPr>
            <w:r>
              <w:rPr>
                <w:rFonts w:hint="default" w:ascii="Times New Roman" w:hAnsi="Times New Roman" w:eastAsia="宋体" w:cs="Times New Roman"/>
                <w:color w:val="auto"/>
                <w:spacing w:val="-1"/>
                <w:highlight w:val="none"/>
              </w:rPr>
              <w:t>营运阶段</w:t>
            </w:r>
          </w:p>
        </w:tc>
        <w:tc>
          <w:tcPr>
            <w:tcW w:w="1555" w:type="dxa"/>
            <w:tcBorders>
              <w:bottom w:val="single" w:color="auto" w:sz="4" w:space="0"/>
            </w:tcBorders>
            <w:noWrap w:val="0"/>
            <w:tcMar>
              <w:left w:w="28" w:type="dxa"/>
              <w:right w:w="28" w:type="dxa"/>
            </w:tcMar>
            <w:vAlign w:val="center"/>
          </w:tcPr>
          <w:p w14:paraId="1650014C">
            <w:pPr>
              <w:pStyle w:val="698"/>
              <w:jc w:val="center"/>
              <w:rPr>
                <w:rFonts w:hint="default" w:ascii="Times New Roman" w:hAnsi="Times New Roman" w:eastAsia="宋体" w:cs="Times New Roman"/>
                <w:color w:val="auto"/>
                <w:spacing w:val="-1"/>
                <w:highlight w:val="none"/>
                <w:lang w:val="en-US" w:eastAsia="zh-CN"/>
              </w:rPr>
            </w:pPr>
            <w:r>
              <w:rPr>
                <w:rFonts w:hint="eastAsia" w:ascii="Times New Roman" w:cs="Times New Roman"/>
                <w:color w:val="auto"/>
                <w:spacing w:val="-1"/>
                <w:highlight w:val="none"/>
                <w:lang w:val="en-US" w:eastAsia="zh-CN"/>
              </w:rPr>
              <w:t>/</w:t>
            </w:r>
          </w:p>
        </w:tc>
        <w:tc>
          <w:tcPr>
            <w:tcW w:w="3425" w:type="dxa"/>
            <w:tcBorders>
              <w:bottom w:val="single" w:color="auto" w:sz="4" w:space="0"/>
            </w:tcBorders>
            <w:noWrap w:val="0"/>
            <w:tcMar>
              <w:left w:w="28" w:type="dxa"/>
              <w:right w:w="28" w:type="dxa"/>
            </w:tcMar>
            <w:vAlign w:val="center"/>
          </w:tcPr>
          <w:p w14:paraId="433CF91F">
            <w:pPr>
              <w:pStyle w:val="698"/>
              <w:jc w:val="center"/>
              <w:rPr>
                <w:rFonts w:hint="default" w:ascii="Times New Roman" w:hAnsi="Times New Roman" w:eastAsia="宋体" w:cs="Times New Roman"/>
                <w:color w:val="auto"/>
                <w:spacing w:val="-1"/>
                <w:highlight w:val="none"/>
              </w:rPr>
            </w:pPr>
            <w:r>
              <w:rPr>
                <w:rFonts w:hint="eastAsia" w:ascii="Times New Roman" w:cs="Times New Roman"/>
                <w:color w:val="auto"/>
                <w:spacing w:val="-1"/>
                <w:highlight w:val="none"/>
                <w:lang w:val="en-US" w:eastAsia="zh-CN"/>
              </w:rPr>
              <w:t>/</w:t>
            </w:r>
          </w:p>
        </w:tc>
        <w:tc>
          <w:tcPr>
            <w:tcW w:w="2844" w:type="dxa"/>
            <w:tcBorders>
              <w:bottom w:val="single" w:color="auto" w:sz="4" w:space="0"/>
            </w:tcBorders>
            <w:noWrap w:val="0"/>
            <w:tcMar>
              <w:left w:w="28" w:type="dxa"/>
              <w:right w:w="28" w:type="dxa"/>
            </w:tcMar>
            <w:vAlign w:val="center"/>
          </w:tcPr>
          <w:p w14:paraId="2A338316">
            <w:pPr>
              <w:pStyle w:val="698"/>
              <w:jc w:val="center"/>
              <w:rPr>
                <w:rFonts w:hint="default" w:ascii="Times New Roman" w:hAnsi="Times New Roman" w:eastAsia="宋体" w:cs="Times New Roman"/>
                <w:color w:val="auto"/>
                <w:spacing w:val="-1"/>
                <w:highlight w:val="none"/>
              </w:rPr>
            </w:pPr>
            <w:r>
              <w:rPr>
                <w:rFonts w:hint="eastAsia" w:ascii="Times New Roman" w:cs="Times New Roman"/>
                <w:color w:val="auto"/>
                <w:spacing w:val="-1"/>
                <w:highlight w:val="none"/>
                <w:lang w:val="en-US" w:eastAsia="zh-CN"/>
              </w:rPr>
              <w:t>/</w:t>
            </w:r>
          </w:p>
        </w:tc>
      </w:tr>
      <w:bookmarkEnd w:id="153"/>
    </w:tbl>
    <w:p w14:paraId="0409AFD4">
      <w:pPr>
        <w:pStyle w:val="4"/>
        <w:numPr>
          <w:ilvl w:val="1"/>
          <w:numId w:val="50"/>
        </w:numPr>
        <w:bidi w:val="0"/>
        <w:ind w:left="678" w:leftChars="0" w:firstLine="0" w:firstLineChars="0"/>
        <w:rPr>
          <w:rFonts w:hint="default"/>
          <w:color w:val="auto"/>
          <w:highlight w:val="none"/>
        </w:rPr>
      </w:pPr>
      <w:bookmarkStart w:id="154" w:name="_Toc2853"/>
      <w:r>
        <w:rPr>
          <w:rFonts w:hint="default"/>
          <w:color w:val="auto"/>
          <w:highlight w:val="none"/>
        </w:rPr>
        <w:t>环境监测</w:t>
      </w:r>
      <w:bookmarkEnd w:id="154"/>
    </w:p>
    <w:p w14:paraId="5F4A5E76">
      <w:pPr>
        <w:pStyle w:val="5"/>
        <w:numPr>
          <w:ilvl w:val="2"/>
          <w:numId w:val="50"/>
        </w:numPr>
        <w:bidi w:val="0"/>
        <w:ind w:left="452" w:leftChars="0" w:firstLine="0" w:firstLineChars="0"/>
        <w:rPr>
          <w:rFonts w:hint="default"/>
          <w:color w:val="auto"/>
          <w:highlight w:val="none"/>
        </w:rPr>
      </w:pPr>
      <w:r>
        <w:rPr>
          <w:rFonts w:hint="default"/>
          <w:color w:val="auto"/>
          <w:highlight w:val="none"/>
        </w:rPr>
        <w:t>施工期环境监测计划</w:t>
      </w:r>
    </w:p>
    <w:p w14:paraId="4B380A7E">
      <w:pPr>
        <w:pStyle w:val="41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工程属于非污染性生态建设项目，项目主要环境影响在于施工期对大气、地表水和声环境影响，本项目施工期采用围堰施工，施工期对水生生态影响相对有限，因此，施工期主要针对大气、地表水和声环境影响进行监测。</w:t>
      </w:r>
    </w:p>
    <w:p w14:paraId="1D632BA9">
      <w:pPr>
        <w:pStyle w:val="21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（1）污染源监测</w:t>
      </w:r>
    </w:p>
    <w:p w14:paraId="29A3B182">
      <w:pPr>
        <w:pStyle w:val="21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本项目施工期环境监测地点、项目和因子、频率见</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_Ref96266996 \r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表7.3-1</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w:t>
      </w:r>
    </w:p>
    <w:p w14:paraId="3E55165F">
      <w:pPr>
        <w:pStyle w:val="268"/>
        <w:keepNext w:val="0"/>
        <w:keepLines w:val="0"/>
        <w:pageBreakBefore w:val="0"/>
        <w:widowControl w:val="0"/>
        <w:numPr>
          <w:ilvl w:val="4"/>
          <w:numId w:val="5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bookmarkStart w:id="155" w:name="_Ref96266996"/>
      <w:r>
        <w:rPr>
          <w:rFonts w:hint="default"/>
          <w:color w:val="auto"/>
          <w:highlight w:val="none"/>
        </w:rPr>
        <w:t>施工期污染源监测计划</w:t>
      </w:r>
      <w:bookmarkEnd w:id="155"/>
    </w:p>
    <w:tbl>
      <w:tblPr>
        <w:tblStyle w:val="87"/>
        <w:tblW w:w="864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863"/>
        <w:gridCol w:w="1547"/>
        <w:gridCol w:w="1408"/>
        <w:gridCol w:w="1744"/>
        <w:gridCol w:w="2533"/>
        <w:gridCol w:w="547"/>
      </w:tblGrid>
      <w:tr w14:paraId="52FF0F3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863" w:type="dxa"/>
            <w:noWrap w:val="0"/>
            <w:vAlign w:val="center"/>
          </w:tcPr>
          <w:p w14:paraId="26CBE504">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类别</w:t>
            </w:r>
          </w:p>
        </w:tc>
        <w:tc>
          <w:tcPr>
            <w:tcW w:w="1547" w:type="dxa"/>
            <w:noWrap w:val="0"/>
            <w:vAlign w:val="center"/>
          </w:tcPr>
          <w:p w14:paraId="4E3D9920">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监测地点</w:t>
            </w:r>
          </w:p>
        </w:tc>
        <w:tc>
          <w:tcPr>
            <w:tcW w:w="1408" w:type="dxa"/>
            <w:noWrap w:val="0"/>
            <w:vAlign w:val="center"/>
          </w:tcPr>
          <w:p w14:paraId="74ECC310">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监测因子</w:t>
            </w:r>
          </w:p>
        </w:tc>
        <w:tc>
          <w:tcPr>
            <w:tcW w:w="1744" w:type="dxa"/>
            <w:noWrap w:val="0"/>
            <w:vAlign w:val="center"/>
          </w:tcPr>
          <w:p w14:paraId="3C84A0FC">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监测频率</w:t>
            </w:r>
          </w:p>
        </w:tc>
        <w:tc>
          <w:tcPr>
            <w:tcW w:w="2533" w:type="dxa"/>
            <w:noWrap w:val="0"/>
            <w:vAlign w:val="center"/>
          </w:tcPr>
          <w:p w14:paraId="54DEC986">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采样方法</w:t>
            </w:r>
          </w:p>
        </w:tc>
        <w:tc>
          <w:tcPr>
            <w:tcW w:w="547" w:type="dxa"/>
            <w:noWrap w:val="0"/>
            <w:vAlign w:val="center"/>
          </w:tcPr>
          <w:p w14:paraId="38212307">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负责机构</w:t>
            </w:r>
          </w:p>
        </w:tc>
      </w:tr>
      <w:tr w14:paraId="3B9FD53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863" w:type="dxa"/>
            <w:noWrap w:val="0"/>
            <w:vAlign w:val="center"/>
          </w:tcPr>
          <w:p w14:paraId="3258FC93">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大气污染源</w:t>
            </w:r>
          </w:p>
        </w:tc>
        <w:tc>
          <w:tcPr>
            <w:tcW w:w="1547" w:type="dxa"/>
            <w:noWrap w:val="0"/>
            <w:vAlign w:val="center"/>
          </w:tcPr>
          <w:p w14:paraId="1F0B826B">
            <w:pPr>
              <w:pStyle w:val="698"/>
              <w:jc w:val="both"/>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施工厂界（上风向一个对照点、下风向三个监测点位）</w:t>
            </w:r>
          </w:p>
        </w:tc>
        <w:tc>
          <w:tcPr>
            <w:tcW w:w="1408" w:type="dxa"/>
            <w:noWrap w:val="0"/>
            <w:vAlign w:val="center"/>
          </w:tcPr>
          <w:p w14:paraId="65760F4F">
            <w:pPr>
              <w:pStyle w:val="698"/>
              <w:rPr>
                <w:rFonts w:hint="default" w:ascii="Times New Roman" w:hAnsi="Times New Roman" w:cs="Times New Roman"/>
                <w:color w:val="auto"/>
                <w:highlight w:val="none"/>
              </w:rPr>
            </w:pPr>
            <w:r>
              <w:rPr>
                <w:rFonts w:hint="default" w:ascii="Times New Roman" w:hAnsi="Times New Roman" w:cs="Times New Roman"/>
                <w:color w:val="auto"/>
                <w:spacing w:val="1"/>
                <w:szCs w:val="22"/>
                <w:highlight w:val="none"/>
              </w:rPr>
              <w:t>TSP</w:t>
            </w:r>
          </w:p>
        </w:tc>
        <w:tc>
          <w:tcPr>
            <w:tcW w:w="1744" w:type="dxa"/>
            <w:noWrap w:val="0"/>
            <w:vAlign w:val="center"/>
          </w:tcPr>
          <w:p w14:paraId="58839F87">
            <w:pPr>
              <w:pStyle w:val="698"/>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施工期1次，每次</w:t>
            </w:r>
            <w:r>
              <w:rPr>
                <w:rFonts w:hint="default" w:ascii="Times New Roman" w:hAnsi="Times New Roman" w:cs="Times New Roman"/>
                <w:color w:val="auto"/>
                <w:highlight w:val="none"/>
              </w:rPr>
              <w:t>2</w:t>
            </w:r>
            <w:r>
              <w:rPr>
                <w:rFonts w:hint="default" w:ascii="Times New Roman" w:hAnsi="Times New Roman" w:cs="Times New Roman"/>
                <w:color w:val="auto"/>
                <w:spacing w:val="-3"/>
                <w:highlight w:val="none"/>
              </w:rPr>
              <w:t>天每</w:t>
            </w:r>
            <w:r>
              <w:rPr>
                <w:rFonts w:hint="default" w:ascii="Times New Roman" w:hAnsi="Times New Roman" w:cs="Times New Roman"/>
                <w:color w:val="auto"/>
                <w:highlight w:val="none"/>
              </w:rPr>
              <w:t>天3</w:t>
            </w:r>
            <w:r>
              <w:rPr>
                <w:rFonts w:hint="default" w:ascii="Times New Roman" w:hAnsi="Times New Roman" w:cs="Times New Roman"/>
                <w:color w:val="auto"/>
                <w:spacing w:val="-2"/>
                <w:highlight w:val="none"/>
              </w:rPr>
              <w:t>次，高峰期期间监</w:t>
            </w:r>
            <w:r>
              <w:rPr>
                <w:rFonts w:hint="default" w:ascii="Times New Roman" w:hAnsi="Times New Roman" w:cs="Times New Roman"/>
                <w:color w:val="auto"/>
                <w:spacing w:val="-1"/>
                <w:highlight w:val="none"/>
              </w:rPr>
              <w:t>测，每次监测</w:t>
            </w:r>
            <w:r>
              <w:rPr>
                <w:rFonts w:hint="default" w:ascii="Times New Roman" w:hAnsi="Times New Roman" w:cs="Times New Roman"/>
                <w:color w:val="auto"/>
                <w:highlight w:val="none"/>
              </w:rPr>
              <w:t>1h</w:t>
            </w:r>
          </w:p>
        </w:tc>
        <w:tc>
          <w:tcPr>
            <w:tcW w:w="2533" w:type="dxa"/>
            <w:noWrap w:val="0"/>
            <w:vAlign w:val="center"/>
          </w:tcPr>
          <w:p w14:paraId="4129C61B">
            <w:pPr>
              <w:pStyle w:val="698"/>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《大气污染物无组织排放监测技术导则》（HJT55-2000）</w:t>
            </w:r>
          </w:p>
        </w:tc>
        <w:tc>
          <w:tcPr>
            <w:tcW w:w="547" w:type="dxa"/>
            <w:vMerge w:val="restart"/>
            <w:noWrap w:val="0"/>
            <w:vAlign w:val="center"/>
          </w:tcPr>
          <w:p w14:paraId="642EC343">
            <w:pPr>
              <w:pStyle w:val="698"/>
              <w:rPr>
                <w:rFonts w:hint="default" w:ascii="Times New Roman" w:hAnsi="Times New Roman" w:cs="Times New Roman"/>
                <w:color w:val="auto"/>
                <w:spacing w:val="-1"/>
                <w:highlight w:val="none"/>
              </w:rPr>
            </w:pPr>
            <w:r>
              <w:rPr>
                <w:rFonts w:hint="default" w:ascii="Times New Roman" w:hAnsi="Times New Roman" w:cs="Times New Roman"/>
                <w:color w:val="auto"/>
                <w:spacing w:val="-1"/>
                <w:highlight w:val="none"/>
              </w:rPr>
              <w:t>建设单位</w:t>
            </w:r>
          </w:p>
        </w:tc>
      </w:tr>
      <w:tr w14:paraId="5DE311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863" w:type="dxa"/>
            <w:noWrap w:val="0"/>
            <w:vAlign w:val="center"/>
          </w:tcPr>
          <w:p w14:paraId="1EE6BA4C">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噪声</w:t>
            </w:r>
          </w:p>
        </w:tc>
        <w:tc>
          <w:tcPr>
            <w:tcW w:w="1547" w:type="dxa"/>
            <w:noWrap w:val="0"/>
            <w:vAlign w:val="center"/>
          </w:tcPr>
          <w:p w14:paraId="4FBDFF6F">
            <w:pPr>
              <w:pStyle w:val="698"/>
              <w:rPr>
                <w:rFonts w:hint="eastAsia" w:ascii="Times New Roman" w:hAnsi="Times New Roman" w:eastAsia="宋体" w:cs="Times New Roman"/>
                <w:color w:val="auto"/>
                <w:spacing w:val="-1"/>
                <w:highlight w:val="none"/>
                <w:lang w:eastAsia="zh-CN"/>
              </w:rPr>
            </w:pPr>
            <w:r>
              <w:rPr>
                <w:rFonts w:hint="default" w:ascii="Times New Roman" w:hAnsi="Times New Roman" w:cs="Times New Roman"/>
                <w:color w:val="auto"/>
                <w:highlight w:val="none"/>
              </w:rPr>
              <w:t>施工区域</w:t>
            </w:r>
            <w:r>
              <w:rPr>
                <w:rFonts w:hint="default" w:ascii="Times New Roman" w:hAnsi="Times New Roman" w:cs="Times New Roman"/>
                <w:color w:val="auto"/>
                <w:spacing w:val="-1"/>
                <w:highlight w:val="none"/>
              </w:rPr>
              <w:t>场界</w:t>
            </w:r>
            <w:r>
              <w:rPr>
                <w:rFonts w:hint="eastAsia"/>
                <w:color w:val="auto"/>
                <w:highlight w:val="none"/>
                <w:lang w:eastAsia="zh-CN"/>
              </w:rPr>
              <w:t>、声环境保护目标</w:t>
            </w:r>
          </w:p>
        </w:tc>
        <w:tc>
          <w:tcPr>
            <w:tcW w:w="1408" w:type="dxa"/>
            <w:noWrap w:val="0"/>
            <w:vAlign w:val="center"/>
          </w:tcPr>
          <w:p w14:paraId="4C5F00E1">
            <w:pPr>
              <w:pStyle w:val="698"/>
              <w:rPr>
                <w:rFonts w:hint="default" w:ascii="Times New Roman" w:hAnsi="Times New Roman" w:cs="Times New Roman"/>
                <w:color w:val="auto"/>
                <w:spacing w:val="1"/>
                <w:szCs w:val="22"/>
                <w:highlight w:val="none"/>
              </w:rPr>
            </w:pPr>
            <w:r>
              <w:rPr>
                <w:rFonts w:hint="default" w:ascii="Times New Roman" w:hAnsi="Times New Roman" w:eastAsia="Times New Roman" w:cs="Times New Roman"/>
                <w:color w:val="auto"/>
                <w:spacing w:val="-1"/>
                <w:highlight w:val="none"/>
              </w:rPr>
              <w:t>Leq</w:t>
            </w:r>
            <w:r>
              <w:rPr>
                <w:rFonts w:hint="default" w:ascii="Times New Roman" w:hAnsi="Times New Roman" w:cs="Times New Roman"/>
                <w:color w:val="auto"/>
                <w:spacing w:val="-1"/>
                <w:highlight w:val="none"/>
              </w:rPr>
              <w:t>（</w:t>
            </w:r>
            <w:r>
              <w:rPr>
                <w:rFonts w:hint="default" w:ascii="Times New Roman" w:hAnsi="Times New Roman" w:eastAsia="Times New Roman" w:cs="Times New Roman"/>
                <w:color w:val="auto"/>
                <w:spacing w:val="-1"/>
                <w:highlight w:val="none"/>
              </w:rPr>
              <w:t>A</w:t>
            </w:r>
            <w:r>
              <w:rPr>
                <w:rFonts w:hint="default" w:ascii="Times New Roman" w:hAnsi="Times New Roman" w:cs="Times New Roman"/>
                <w:color w:val="auto"/>
                <w:spacing w:val="-1"/>
                <w:highlight w:val="none"/>
              </w:rPr>
              <w:t>）</w:t>
            </w:r>
          </w:p>
        </w:tc>
        <w:tc>
          <w:tcPr>
            <w:tcW w:w="1744" w:type="dxa"/>
            <w:noWrap w:val="0"/>
            <w:vAlign w:val="center"/>
          </w:tcPr>
          <w:p w14:paraId="62A257BF">
            <w:pPr>
              <w:pStyle w:val="698"/>
              <w:rPr>
                <w:rFonts w:hint="default" w:ascii="Times New Roman" w:hAnsi="Times New Roman" w:cs="Times New Roman"/>
                <w:color w:val="auto"/>
                <w:spacing w:val="-1"/>
                <w:highlight w:val="none"/>
              </w:rPr>
            </w:pPr>
            <w:r>
              <w:rPr>
                <w:rFonts w:hint="default" w:ascii="Times New Roman" w:hAnsi="Times New Roman" w:cs="Times New Roman"/>
                <w:color w:val="auto"/>
                <w:spacing w:val="-1"/>
                <w:highlight w:val="none"/>
              </w:rPr>
              <w:t>施工期1次，昼夜间施工各1次/天（高峰期）</w:t>
            </w:r>
          </w:p>
        </w:tc>
        <w:tc>
          <w:tcPr>
            <w:tcW w:w="2533" w:type="dxa"/>
            <w:noWrap w:val="0"/>
            <w:vAlign w:val="center"/>
          </w:tcPr>
          <w:p w14:paraId="7F886FBB">
            <w:pPr>
              <w:pStyle w:val="698"/>
              <w:rPr>
                <w:rFonts w:hint="default" w:ascii="Times New Roman" w:hAnsi="Times New Roman" w:cs="Times New Roman"/>
                <w:color w:val="auto"/>
                <w:spacing w:val="-1"/>
                <w:highlight w:val="none"/>
              </w:rPr>
            </w:pPr>
            <w:r>
              <w:rPr>
                <w:rFonts w:hint="default" w:ascii="Times New Roman" w:hAnsi="Times New Roman" w:cs="Times New Roman"/>
                <w:color w:val="auto"/>
                <w:spacing w:val="-1"/>
                <w:highlight w:val="none"/>
              </w:rPr>
              <w:t>/</w:t>
            </w:r>
          </w:p>
        </w:tc>
        <w:tc>
          <w:tcPr>
            <w:tcW w:w="547" w:type="dxa"/>
            <w:vMerge w:val="continue"/>
            <w:noWrap w:val="0"/>
            <w:vAlign w:val="center"/>
          </w:tcPr>
          <w:p w14:paraId="44749812">
            <w:pPr>
              <w:pStyle w:val="698"/>
              <w:rPr>
                <w:rFonts w:hint="default" w:ascii="Times New Roman" w:hAnsi="Times New Roman" w:cs="Times New Roman"/>
                <w:color w:val="auto"/>
                <w:spacing w:val="-1"/>
                <w:highlight w:val="none"/>
              </w:rPr>
            </w:pPr>
          </w:p>
        </w:tc>
      </w:tr>
      <w:tr w14:paraId="5811F58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863" w:type="dxa"/>
            <w:noWrap w:val="0"/>
            <w:vAlign w:val="center"/>
          </w:tcPr>
          <w:p w14:paraId="35761398">
            <w:pPr>
              <w:pStyle w:val="698"/>
              <w:rPr>
                <w:rFonts w:hint="default" w:ascii="Times New Roman" w:hAnsi="Times New Roman" w:cs="Times New Roman"/>
                <w:color w:val="auto"/>
                <w:highlight w:val="none"/>
              </w:rPr>
            </w:pPr>
            <w:r>
              <w:rPr>
                <w:rFonts w:hint="default" w:ascii="Times New Roman" w:hAnsi="Times New Roman" w:cs="Times New Roman"/>
                <w:color w:val="auto"/>
                <w:highlight w:val="none"/>
              </w:rPr>
              <w:t>地表水</w:t>
            </w:r>
          </w:p>
        </w:tc>
        <w:tc>
          <w:tcPr>
            <w:tcW w:w="1547" w:type="dxa"/>
            <w:noWrap w:val="0"/>
            <w:vAlign w:val="center"/>
          </w:tcPr>
          <w:p w14:paraId="1DF6B7E9">
            <w:pPr>
              <w:pStyle w:val="698"/>
              <w:rPr>
                <w:rFonts w:hint="default" w:ascii="Times New Roman" w:cs="Times New Roman"/>
                <w:color w:val="auto"/>
                <w:highlight w:val="none"/>
                <w:lang w:val="en-US" w:eastAsia="zh-CN"/>
              </w:rPr>
            </w:pPr>
            <w:r>
              <w:rPr>
                <w:rFonts w:hint="eastAsia" w:ascii="Times New Roman" w:cs="Times New Roman"/>
                <w:color w:val="auto"/>
                <w:highlight w:val="none"/>
                <w:lang w:val="en-US" w:eastAsia="zh-CN"/>
              </w:rPr>
              <w:t>施工区上游500m</w:t>
            </w:r>
          </w:p>
        </w:tc>
        <w:tc>
          <w:tcPr>
            <w:tcW w:w="1408" w:type="dxa"/>
            <w:noWrap w:val="0"/>
            <w:vAlign w:val="center"/>
          </w:tcPr>
          <w:p w14:paraId="46D0CB12">
            <w:pPr>
              <w:pStyle w:val="698"/>
              <w:rPr>
                <w:rFonts w:hint="default" w:ascii="Times New Roman" w:hAnsi="Times New Roman" w:eastAsia="等线" w:cs="Times New Roman"/>
                <w:color w:val="auto"/>
                <w:spacing w:val="-1"/>
                <w:highlight w:val="none"/>
                <w:lang w:val="en-US" w:eastAsia="zh-CN"/>
              </w:rPr>
            </w:pPr>
            <w:r>
              <w:rPr>
                <w:rFonts w:hint="default" w:ascii="Times New Roman" w:hAnsi="Times New Roman" w:eastAsia="等线" w:cs="Times New Roman"/>
                <w:color w:val="auto"/>
                <w:spacing w:val="-1"/>
                <w:highlight w:val="none"/>
              </w:rPr>
              <w:t>SS</w:t>
            </w:r>
            <w:r>
              <w:rPr>
                <w:rFonts w:hint="eastAsia" w:ascii="Times New Roman" w:eastAsia="等线" w:cs="Times New Roman"/>
                <w:color w:val="auto"/>
                <w:spacing w:val="-1"/>
                <w:highlight w:val="none"/>
                <w:lang w:eastAsia="zh-CN"/>
              </w:rPr>
              <w:t>、</w:t>
            </w:r>
            <w:r>
              <w:rPr>
                <w:rFonts w:hint="eastAsia" w:ascii="Times New Roman" w:eastAsia="等线" w:cs="Times New Roman"/>
                <w:color w:val="auto"/>
                <w:spacing w:val="-1"/>
                <w:highlight w:val="none"/>
                <w:u w:val="single"/>
                <w:lang w:val="en-US" w:eastAsia="zh-CN"/>
              </w:rPr>
              <w:t>石油类</w:t>
            </w:r>
          </w:p>
        </w:tc>
        <w:tc>
          <w:tcPr>
            <w:tcW w:w="1744" w:type="dxa"/>
            <w:noWrap w:val="0"/>
            <w:vAlign w:val="center"/>
          </w:tcPr>
          <w:p w14:paraId="4F91DB70">
            <w:pPr>
              <w:pStyle w:val="698"/>
              <w:rPr>
                <w:rFonts w:hint="eastAsia" w:ascii="Times New Roman" w:hAnsi="Times New Roman" w:eastAsia="宋体" w:cs="Times New Roman"/>
                <w:color w:val="auto"/>
                <w:spacing w:val="-1"/>
                <w:highlight w:val="none"/>
                <w:lang w:eastAsia="zh-CN"/>
              </w:rPr>
            </w:pPr>
            <w:r>
              <w:rPr>
                <w:rFonts w:hint="default" w:ascii="Times New Roman" w:hAnsi="Times New Roman" w:cs="Times New Roman"/>
                <w:color w:val="auto"/>
                <w:spacing w:val="-1"/>
                <w:highlight w:val="none"/>
              </w:rPr>
              <w:t>1次/</w:t>
            </w:r>
            <w:r>
              <w:rPr>
                <w:rFonts w:hint="eastAsia" w:ascii="Times New Roman" w:cs="Times New Roman"/>
                <w:color w:val="auto"/>
                <w:spacing w:val="-1"/>
                <w:highlight w:val="none"/>
                <w:lang w:eastAsia="zh-CN"/>
              </w:rPr>
              <w:t>枯水期</w:t>
            </w:r>
          </w:p>
        </w:tc>
        <w:tc>
          <w:tcPr>
            <w:tcW w:w="2533" w:type="dxa"/>
            <w:noWrap w:val="0"/>
            <w:vAlign w:val="center"/>
          </w:tcPr>
          <w:p w14:paraId="6210B184">
            <w:pPr>
              <w:pStyle w:val="698"/>
              <w:rPr>
                <w:rFonts w:hint="default" w:ascii="Times New Roman" w:hAnsi="Times New Roman" w:eastAsia="宋体" w:cs="Times New Roman"/>
                <w:color w:val="auto"/>
                <w:spacing w:val="-1"/>
                <w:highlight w:val="none"/>
                <w:u w:val="none"/>
                <w:lang w:eastAsia="zh-CN"/>
              </w:rPr>
            </w:pPr>
            <w:r>
              <w:rPr>
                <w:rFonts w:hint="default" w:ascii="Times New Roman" w:hAnsi="Times New Roman" w:cs="Times New Roman"/>
                <w:color w:val="auto"/>
                <w:highlight w:val="none"/>
                <w:u w:val="none"/>
              </w:rPr>
              <w:t>《地表水环境质量监测技术规范》HJ91.2-2022</w:t>
            </w:r>
          </w:p>
        </w:tc>
        <w:tc>
          <w:tcPr>
            <w:tcW w:w="547" w:type="dxa"/>
            <w:vMerge w:val="continue"/>
            <w:noWrap w:val="0"/>
            <w:vAlign w:val="center"/>
          </w:tcPr>
          <w:p w14:paraId="3E1A6F47">
            <w:pPr>
              <w:pStyle w:val="698"/>
              <w:rPr>
                <w:rFonts w:hint="default" w:ascii="Times New Roman" w:hAnsi="Times New Roman" w:cs="Times New Roman"/>
                <w:color w:val="auto"/>
                <w:spacing w:val="-1"/>
                <w:highlight w:val="none"/>
              </w:rPr>
            </w:pPr>
          </w:p>
        </w:tc>
      </w:tr>
    </w:tbl>
    <w:p w14:paraId="65FC4F8E">
      <w:pPr>
        <w:pStyle w:val="5"/>
        <w:numPr>
          <w:ilvl w:val="2"/>
          <w:numId w:val="50"/>
        </w:numPr>
        <w:bidi w:val="0"/>
        <w:ind w:left="452" w:leftChars="0" w:firstLine="0" w:firstLineChars="0"/>
        <w:rPr>
          <w:rFonts w:hint="default"/>
          <w:color w:val="auto"/>
          <w:highlight w:val="none"/>
        </w:rPr>
      </w:pPr>
      <w:r>
        <w:rPr>
          <w:rFonts w:hint="eastAsia"/>
          <w:color w:val="auto"/>
          <w:highlight w:val="none"/>
          <w:lang w:eastAsia="zh-CN"/>
        </w:rPr>
        <w:t>运营期</w:t>
      </w:r>
      <w:r>
        <w:rPr>
          <w:rFonts w:hint="default"/>
          <w:color w:val="auto"/>
          <w:highlight w:val="none"/>
        </w:rPr>
        <w:t>环境监测计划</w:t>
      </w:r>
    </w:p>
    <w:p w14:paraId="3C7D2F75">
      <w:pPr>
        <w:pStyle w:val="214"/>
        <w:ind w:firstLine="44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本工程属于非污染性生态建设项目，为防洪堤排涝工程，无工艺生产废水、废气等排放。</w:t>
      </w:r>
    </w:p>
    <w:p w14:paraId="033B6B80">
      <w:pPr>
        <w:pStyle w:val="4"/>
        <w:numPr>
          <w:ilvl w:val="1"/>
          <w:numId w:val="50"/>
        </w:numPr>
        <w:bidi w:val="0"/>
        <w:ind w:left="678" w:leftChars="0" w:firstLine="0" w:firstLineChars="0"/>
        <w:rPr>
          <w:rFonts w:hint="default"/>
          <w:color w:val="auto"/>
          <w:highlight w:val="none"/>
        </w:rPr>
      </w:pPr>
      <w:bookmarkStart w:id="156" w:name="_Toc3639"/>
      <w:r>
        <w:rPr>
          <w:rFonts w:hint="default"/>
          <w:color w:val="auto"/>
          <w:highlight w:val="none"/>
        </w:rPr>
        <w:t>环境监理</w:t>
      </w:r>
      <w:bookmarkEnd w:id="156"/>
    </w:p>
    <w:p w14:paraId="2F88BCC8">
      <w:pPr>
        <w:pStyle w:val="21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环境监理是工程监理的一个重要组成部分，是建设项目全过程的环境保护管理不可缺少的重要环节。工程施工实行监理制度，建设单位应依据环境影响报告书、水土保持方案、工程设计等有关文件的要求，制定施工期工程环境监理计划，按工程质量和环保要求对本项目进行全面质量管理。在施工招标文件、施工合同、工程监理招标文件和监理合同中明确施工单位和工程监理单位的环境保护</w:t>
      </w:r>
      <w:r>
        <w:rPr>
          <w:rFonts w:hint="default" w:ascii="Times New Roman" w:hAnsi="Times New Roman" w:cs="Times New Roman"/>
          <w:color w:val="auto"/>
          <w:highlight w:val="none"/>
          <w:lang w:eastAsia="zh-CN"/>
        </w:rPr>
        <w:t>责任</w:t>
      </w:r>
      <w:r>
        <w:rPr>
          <w:rFonts w:hint="default" w:ascii="Times New Roman" w:hAnsi="Times New Roman" w:cs="Times New Roman"/>
          <w:color w:val="auto"/>
          <w:highlight w:val="none"/>
        </w:rPr>
        <w:t>和目标任务，并作为评标和考核的内容。</w:t>
      </w:r>
    </w:p>
    <w:p w14:paraId="35755921">
      <w:pPr>
        <w:pStyle w:val="5"/>
        <w:numPr>
          <w:ilvl w:val="2"/>
          <w:numId w:val="50"/>
        </w:numPr>
        <w:bidi w:val="0"/>
        <w:ind w:left="452" w:leftChars="0" w:firstLine="0" w:firstLineChars="0"/>
        <w:rPr>
          <w:rFonts w:hint="default"/>
          <w:color w:val="auto"/>
          <w:highlight w:val="none"/>
        </w:rPr>
      </w:pPr>
      <w:r>
        <w:rPr>
          <w:rFonts w:hint="default"/>
          <w:color w:val="auto"/>
          <w:highlight w:val="none"/>
        </w:rPr>
        <w:t>环境监理依据</w:t>
      </w:r>
    </w:p>
    <w:p w14:paraId="6194CD0B">
      <w:pPr>
        <w:pStyle w:val="21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建设项目施工单位进行环境监理的主要依据有国家和地方有关环境保护的法律法规和文件、环境影响报告书或项目的环境行动计划、有关的技术规范及设计文件、工程和环境质量标准等。</w:t>
      </w:r>
    </w:p>
    <w:p w14:paraId="181001EA">
      <w:pPr>
        <w:pStyle w:val="5"/>
        <w:numPr>
          <w:ilvl w:val="2"/>
          <w:numId w:val="50"/>
        </w:numPr>
        <w:bidi w:val="0"/>
        <w:ind w:left="452" w:leftChars="0" w:firstLine="0" w:firstLineChars="0"/>
        <w:rPr>
          <w:rFonts w:hint="default"/>
          <w:color w:val="auto"/>
          <w:highlight w:val="none"/>
        </w:rPr>
      </w:pPr>
      <w:r>
        <w:rPr>
          <w:rFonts w:hint="default"/>
          <w:color w:val="auto"/>
          <w:highlight w:val="none"/>
        </w:rPr>
        <w:t>环境监理机构</w:t>
      </w:r>
    </w:p>
    <w:p w14:paraId="78502D29">
      <w:pPr>
        <w:pStyle w:val="21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施工环境监理由该项目工程总监办负责对工程和环境实施统一监理工作。一般可在总监办设置1名工程环境监理的兼职或专职的副总监，重点负责工程的环境监理工作。驻地办可任命一定数量的工程环境监理工程师（工程监理工程师兼任），具体落实各项工程的环境保护工作。</w:t>
      </w:r>
    </w:p>
    <w:p w14:paraId="20DC7963">
      <w:pPr>
        <w:pStyle w:val="21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（1）工程监理单位应有专门的从事环境监理的环境保护技术人员，从事工程环境监理工作的人员都应持证上岗。</w:t>
      </w:r>
    </w:p>
    <w:p w14:paraId="7E5E8EDB">
      <w:pPr>
        <w:pStyle w:val="21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（2）工程监理单位应根据本项目有关的环保规范和标准、工程设计图纸、设计说明</w:t>
      </w:r>
      <w:r>
        <w:rPr>
          <w:rFonts w:hint="default" w:ascii="Times New Roman" w:hAnsi="Times New Roman" w:cs="Times New Roman"/>
          <w:color w:val="auto"/>
          <w:highlight w:val="none"/>
          <w:lang w:eastAsia="zh-CN"/>
        </w:rPr>
        <w:t>及其他</w:t>
      </w:r>
      <w:r>
        <w:rPr>
          <w:rFonts w:hint="default" w:ascii="Times New Roman" w:hAnsi="Times New Roman" w:cs="Times New Roman"/>
          <w:color w:val="auto"/>
          <w:highlight w:val="none"/>
        </w:rPr>
        <w:t>设计文件、工程施工合同及招投标文件、环境影响报告书（含提出的环保措施、环境监测）、工程环境监理合同及招标文件等编制环境监理方案，并严格按照环境监理方案执行监理工作。</w:t>
      </w:r>
    </w:p>
    <w:p w14:paraId="73F6DED7">
      <w:pPr>
        <w:pStyle w:val="21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（3）环境监理对象是施工活动中可能产生环境污染所有行为，环境监理应以施工期的环境保护、施工后期的生态恢复和污染防治措施的落实情况为重点。</w:t>
      </w:r>
    </w:p>
    <w:p w14:paraId="700D55B5">
      <w:pPr>
        <w:pStyle w:val="5"/>
        <w:numPr>
          <w:ilvl w:val="2"/>
          <w:numId w:val="50"/>
        </w:numPr>
        <w:bidi w:val="0"/>
        <w:ind w:left="452" w:leftChars="0" w:firstLine="0" w:firstLineChars="0"/>
        <w:rPr>
          <w:rFonts w:hint="default"/>
          <w:color w:val="auto"/>
          <w:highlight w:val="none"/>
        </w:rPr>
      </w:pPr>
      <w:r>
        <w:rPr>
          <w:rFonts w:hint="default"/>
          <w:color w:val="auto"/>
          <w:highlight w:val="none"/>
        </w:rPr>
        <w:t>环境监理工作内容</w:t>
      </w:r>
    </w:p>
    <w:p w14:paraId="24D469A5">
      <w:pPr>
        <w:pStyle w:val="21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工程环境监理包括生态保护、水土保持、地质灾害防治、绿化、污染物防治等环境保护工作的各个方面，可以分为环保达标监理和环保工程监理。环保达标监理是主体工程的施工是否符合环境保护的要求，如噪声、废气、污水等排放应符合相关标准要求。环保工程监理包括生态环境保护、环境敏感区等环境保护目标，还包括污水处理设施、排水工程、废气治理设施、绿化等环保设施建设的监理。</w:t>
      </w:r>
    </w:p>
    <w:p w14:paraId="6DB51083">
      <w:pPr>
        <w:pStyle w:val="6"/>
        <w:numPr>
          <w:ilvl w:val="3"/>
          <w:numId w:val="50"/>
        </w:numPr>
        <w:bidi w:val="0"/>
        <w:ind w:left="0" w:leftChars="0" w:firstLine="0" w:firstLineChars="0"/>
        <w:rPr>
          <w:rFonts w:hint="default"/>
          <w:color w:val="auto"/>
          <w:highlight w:val="none"/>
        </w:rPr>
      </w:pPr>
      <w:r>
        <w:rPr>
          <w:rFonts w:hint="default"/>
          <w:color w:val="auto"/>
          <w:highlight w:val="none"/>
        </w:rPr>
        <w:t>施工前期环境监理</w:t>
      </w:r>
    </w:p>
    <w:p w14:paraId="26349768">
      <w:pPr>
        <w:pStyle w:val="21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（1）污染防治方案的审核</w:t>
      </w:r>
    </w:p>
    <w:p w14:paraId="2D623C8C">
      <w:pPr>
        <w:pStyle w:val="21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环境监理根据具体项目的工艺设计，审核施工工艺中“三废”排放环节，排放的主要污染物及设计中采用的治理技术是否先进，治理措施是否可行。污染物的最终处置方法和去向，应在工程前期按有关文件规定和处理要求，做好计划，审核整个工艺是否具有清洁生产的特点，并提出合理建议。</w:t>
      </w:r>
    </w:p>
    <w:p w14:paraId="228AC2D7">
      <w:pPr>
        <w:pStyle w:val="21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（2）审核施工承包合同中环境保护专项条款</w:t>
      </w:r>
    </w:p>
    <w:p w14:paraId="2A241B10">
      <w:pPr>
        <w:pStyle w:val="21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承包单位必须遵循的环境保护有关要求应以专项条款的方式在施工承包合同中体现，并在施工过程中据此加强监督管理、检查、监测，减少施工期对环境的污染影响，同时应对施工单位的职业素质及施工环境管理</w:t>
      </w:r>
      <w:r>
        <w:rPr>
          <w:rFonts w:hint="default" w:ascii="Times New Roman" w:hAnsi="Times New Roman" w:cs="Times New Roman"/>
          <w:color w:val="auto"/>
          <w:highlight w:val="none"/>
          <w:lang w:eastAsia="zh-CN"/>
        </w:rPr>
        <w:t>水平</w:t>
      </w:r>
      <w:r>
        <w:rPr>
          <w:rFonts w:hint="default" w:ascii="Times New Roman" w:hAnsi="Times New Roman" w:cs="Times New Roman"/>
          <w:color w:val="auto"/>
          <w:highlight w:val="none"/>
        </w:rPr>
        <w:t>进行审核。</w:t>
      </w:r>
    </w:p>
    <w:p w14:paraId="67C412C5">
      <w:pPr>
        <w:pStyle w:val="6"/>
        <w:numPr>
          <w:ilvl w:val="3"/>
          <w:numId w:val="50"/>
        </w:numPr>
        <w:bidi w:val="0"/>
        <w:ind w:left="0" w:leftChars="0" w:firstLine="0" w:firstLineChars="0"/>
        <w:rPr>
          <w:rFonts w:hint="default"/>
          <w:color w:val="auto"/>
          <w:highlight w:val="none"/>
        </w:rPr>
      </w:pPr>
      <w:r>
        <w:rPr>
          <w:rFonts w:hint="default"/>
          <w:color w:val="auto"/>
          <w:highlight w:val="none"/>
        </w:rPr>
        <w:t>施工期环境监理</w:t>
      </w:r>
    </w:p>
    <w:p w14:paraId="568F3B7E">
      <w:pPr>
        <w:pStyle w:val="21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（1）水污染源监理</w:t>
      </w:r>
    </w:p>
    <w:p w14:paraId="482FF771">
      <w:pPr>
        <w:pStyle w:val="21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本工程的环境监理重点是水环境质量监理。对生产和生活污水的来源、排放量、水质指标、处理设施的建设和处理效果等进行监理。监督检查施工现场道路是否畅通，排水系统是否处于良好的排水状态，施工现场是否积水；对水上施工进行监理；对施工人员生活污水的收集与排放情况进行监测评价，如超标，环境监理人员要及时通知建设承包方，要求其采取必要的防治措施，以保证污水的排放对受纳水体不会造成较大的污染影响。</w:t>
      </w:r>
    </w:p>
    <w:p w14:paraId="67AD1DFB">
      <w:pPr>
        <w:pStyle w:val="21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（2）噪声污染源监理</w:t>
      </w:r>
    </w:p>
    <w:p w14:paraId="336E6A12">
      <w:pPr>
        <w:pStyle w:val="21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为防止噪声危害，对产生强烈噪声或振动的污染源，应按设计要求进行防治，保证施工机械噪声对周围声环境质量不会产生明显的影响。环境监理人员应熟悉施工活动中施工机械作业场所、施工时间、运输车辆噪声、</w:t>
      </w:r>
      <w:r>
        <w:rPr>
          <w:rFonts w:hint="eastAsia" w:ascii="Times New Roman" w:cs="Times New Roman"/>
          <w:color w:val="auto"/>
          <w:highlight w:val="none"/>
          <w:lang w:val="en-US" w:eastAsia="zh-CN"/>
        </w:rPr>
        <w:t>施工机械噪声</w:t>
      </w:r>
      <w:r>
        <w:rPr>
          <w:rFonts w:hint="default" w:ascii="Times New Roman" w:hAnsi="Times New Roman" w:cs="Times New Roman"/>
          <w:color w:val="auto"/>
          <w:highlight w:val="none"/>
        </w:rPr>
        <w:t>等各种噪声污染源，监督检查施工过程中各类机械设备是否按照有关法规控制噪声污染。</w:t>
      </w:r>
    </w:p>
    <w:p w14:paraId="5FF10647">
      <w:pPr>
        <w:pStyle w:val="21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（3）环境空气污染源监理</w:t>
      </w:r>
    </w:p>
    <w:p w14:paraId="1690BA9F">
      <w:pPr>
        <w:pStyle w:val="21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施工区域的大气污染主要来源于施工过程中产生的废气和粉尘。对大气污染源要求达标排放，对施工区域及其影响区域应达到环境质量标准要求。环境监理工程师应熟悉车辆</w:t>
      </w:r>
      <w:r>
        <w:rPr>
          <w:rFonts w:hint="eastAsia" w:ascii="Times New Roman" w:cs="Times New Roman"/>
          <w:color w:val="auto"/>
          <w:highlight w:val="none"/>
          <w:lang w:val="en-US" w:eastAsia="zh-CN"/>
        </w:rPr>
        <w:t>及施工机械</w:t>
      </w:r>
      <w:r>
        <w:rPr>
          <w:rFonts w:hint="default" w:ascii="Times New Roman" w:hAnsi="Times New Roman" w:cs="Times New Roman"/>
          <w:color w:val="auto"/>
          <w:highlight w:val="none"/>
        </w:rPr>
        <w:t>、粉尘的排放情况。如超标，环境监理工程师应及时通知建设承包方必须采取有效措施，保证环境空气质量符合功能区要求。</w:t>
      </w:r>
    </w:p>
    <w:p w14:paraId="62598A4C">
      <w:pPr>
        <w:pStyle w:val="21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（4）固体废物的监理</w:t>
      </w:r>
    </w:p>
    <w:p w14:paraId="5B7BE862">
      <w:pPr>
        <w:pStyle w:val="21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监督检查施工工地的生活垃圾是否按规定进行妥善处理处置，生产废渣是否及时清运处理。</w:t>
      </w:r>
    </w:p>
    <w:p w14:paraId="12C09B3C">
      <w:pPr>
        <w:pStyle w:val="6"/>
        <w:numPr>
          <w:ilvl w:val="3"/>
          <w:numId w:val="50"/>
        </w:numPr>
        <w:bidi w:val="0"/>
        <w:ind w:left="0" w:leftChars="0" w:firstLine="0" w:firstLineChars="0"/>
        <w:rPr>
          <w:rFonts w:hint="default"/>
          <w:color w:val="auto"/>
          <w:highlight w:val="none"/>
        </w:rPr>
      </w:pPr>
      <w:r>
        <w:rPr>
          <w:rFonts w:hint="default"/>
          <w:color w:val="auto"/>
          <w:highlight w:val="none"/>
        </w:rPr>
        <w:t>施工后期环境监理</w:t>
      </w:r>
    </w:p>
    <w:p w14:paraId="16E5DA44">
      <w:pPr>
        <w:pStyle w:val="214"/>
        <w:ind w:firstLine="442"/>
        <w:rPr>
          <w:rFonts w:hint="eastAsia" w:eastAsia="宋体"/>
          <w:color w:val="auto"/>
          <w:highlight w:val="none"/>
          <w:lang w:eastAsia="zh-CN"/>
        </w:rPr>
      </w:pPr>
      <w:r>
        <w:rPr>
          <w:rFonts w:hint="default" w:ascii="Times New Roman" w:hAnsi="Times New Roman" w:cs="Times New Roman"/>
          <w:color w:val="auto"/>
          <w:highlight w:val="none"/>
        </w:rPr>
        <w:t>监督检查生态环境恢复的落实情况，参加项目竣工的环保验收活动，协助建设单位组织人员进行环境保护培训，整理项目工程的环境监理工作记录，并提交环境监理工作总结。</w:t>
      </w:r>
    </w:p>
    <w:p w14:paraId="0D3595A4">
      <w:pPr>
        <w:pStyle w:val="4"/>
        <w:numPr>
          <w:ilvl w:val="1"/>
          <w:numId w:val="50"/>
        </w:numPr>
        <w:bidi w:val="0"/>
        <w:ind w:left="678" w:leftChars="0" w:firstLine="0" w:firstLineChars="0"/>
        <w:rPr>
          <w:rFonts w:hint="default"/>
          <w:color w:val="auto"/>
          <w:highlight w:val="none"/>
        </w:rPr>
      </w:pPr>
      <w:bookmarkStart w:id="157" w:name="_Toc30659"/>
      <w:r>
        <w:rPr>
          <w:rFonts w:hint="default"/>
          <w:color w:val="auto"/>
          <w:highlight w:val="none"/>
        </w:rPr>
        <w:t>环保设施“三同时验收”</w:t>
      </w:r>
      <w:bookmarkEnd w:id="157"/>
    </w:p>
    <w:p w14:paraId="50FFFFCC">
      <w:pPr>
        <w:pStyle w:val="26"/>
        <w:keepNext w:val="0"/>
        <w:keepLines w:val="0"/>
        <w:pageBreakBefore w:val="0"/>
        <w:widowControl w:val="0"/>
        <w:kinsoku/>
        <w:wordWrap/>
        <w:overflowPunct/>
        <w:topLinePunct w:val="0"/>
        <w:autoSpaceDE/>
        <w:autoSpaceDN/>
        <w:bidi w:val="0"/>
        <w:adjustRightInd/>
        <w:snapToGrid/>
        <w:ind w:firstLine="442"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根据《建设项目环境保护管理条例》（国务院令第253号）和</w:t>
      </w:r>
      <w:r>
        <w:rPr>
          <w:color w:val="auto"/>
          <w:sz w:val="24"/>
          <w:szCs w:val="24"/>
          <w:highlight w:val="none"/>
        </w:rPr>
        <w:t>《建设项目竣工环境保护验收技术规范</w:t>
      </w:r>
      <w:r>
        <w:rPr>
          <w:rFonts w:hint="eastAsia"/>
          <w:color w:val="auto"/>
          <w:sz w:val="24"/>
          <w:szCs w:val="24"/>
          <w:highlight w:val="none"/>
          <w:lang w:val="en-US" w:eastAsia="zh-CN"/>
        </w:rPr>
        <w:t xml:space="preserve"> </w:t>
      </w:r>
      <w:r>
        <w:rPr>
          <w:color w:val="auto"/>
          <w:sz w:val="24"/>
          <w:szCs w:val="24"/>
          <w:highlight w:val="none"/>
        </w:rPr>
        <w:t>水利水电》</w:t>
      </w:r>
      <w:r>
        <w:rPr>
          <w:rFonts w:hint="default" w:ascii="Times New Roman" w:hAnsi="Times New Roman" w:cs="Times New Roman"/>
          <w:color w:val="auto"/>
          <w:highlight w:val="none"/>
        </w:rPr>
        <w:t>的规定，认真落实</w:t>
      </w:r>
      <w:r>
        <w:rPr>
          <w:rFonts w:hint="eastAsia" w:ascii="Times New Roman" w:cs="Times New Roman"/>
          <w:color w:val="auto"/>
          <w:highlight w:val="none"/>
          <w:lang w:eastAsia="zh-CN"/>
        </w:rPr>
        <w:t>环保部</w:t>
      </w:r>
      <w:r>
        <w:rPr>
          <w:rFonts w:hint="default" w:ascii="Times New Roman" w:hAnsi="Times New Roman" w:cs="Times New Roman"/>
          <w:color w:val="auto"/>
          <w:highlight w:val="none"/>
        </w:rPr>
        <w:t>关于建设项目环境保护设施竣工验收管理规定及竣工验收监测的要求；根据生态环境行政主管部门的计划安排，建设单位自行组织验收或委托具有资质的单位对项目环保“三同时”验收监测和实地调查工作。</w:t>
      </w:r>
    </w:p>
    <w:p w14:paraId="569F4FC4">
      <w:pPr>
        <w:pStyle w:val="214"/>
        <w:ind w:firstLine="442"/>
        <w:rPr>
          <w:rFonts w:hint="default" w:ascii="Times New Roman" w:hAnsi="Times New Roman" w:cs="Times New Roman"/>
          <w:color w:val="auto"/>
          <w:highlight w:val="none"/>
        </w:rPr>
      </w:pPr>
      <w:r>
        <w:rPr>
          <w:rFonts w:hint="default" w:ascii="Times New Roman" w:hAnsi="Times New Roman" w:cs="Times New Roman"/>
          <w:color w:val="auto"/>
          <w:highlight w:val="none"/>
        </w:rPr>
        <w:t>项目环保设施“三同时”实施步骤和内容见</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_Ref96267011 \r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b/>
          <w:bCs/>
          <w:color w:val="auto"/>
          <w:highlight w:val="none"/>
        </w:rPr>
        <w:t>表7.5-1</w:t>
      </w:r>
      <w:r>
        <w:rPr>
          <w:rFonts w:hint="default" w:ascii="Times New Roman" w:hAnsi="Times New Roman" w:cs="Times New Roman"/>
          <w:color w:val="auto"/>
          <w:highlight w:val="none"/>
        </w:rPr>
        <w:fldChar w:fldCharType="end"/>
      </w:r>
    </w:p>
    <w:bookmarkEnd w:id="150"/>
    <w:bookmarkEnd w:id="151"/>
    <w:bookmarkEnd w:id="152"/>
    <w:p w14:paraId="5E49781E">
      <w:pPr>
        <w:pStyle w:val="268"/>
        <w:keepNext w:val="0"/>
        <w:keepLines w:val="0"/>
        <w:pageBreakBefore w:val="0"/>
        <w:widowControl w:val="0"/>
        <w:numPr>
          <w:ilvl w:val="4"/>
          <w:numId w:val="50"/>
        </w:numPr>
        <w:tabs>
          <w:tab w:val="clear" w:pos="0"/>
          <w:tab w:val="clear" w:pos="2127"/>
        </w:tabs>
        <w:kinsoku/>
        <w:wordWrap/>
        <w:overflowPunct/>
        <w:topLinePunct w:val="0"/>
        <w:autoSpaceDE/>
        <w:autoSpaceDN/>
        <w:bidi w:val="0"/>
        <w:adjustRightInd/>
        <w:snapToGrid/>
        <w:ind w:left="0" w:leftChars="0" w:firstLine="0" w:firstLineChars="0"/>
        <w:textAlignment w:val="auto"/>
        <w:rPr>
          <w:rFonts w:hint="default"/>
          <w:color w:val="auto"/>
          <w:highlight w:val="none"/>
        </w:rPr>
      </w:pPr>
      <w:bookmarkStart w:id="158" w:name="_Ref96267011"/>
      <w:r>
        <w:rPr>
          <w:rFonts w:hint="default"/>
          <w:color w:val="auto"/>
          <w:highlight w:val="none"/>
        </w:rPr>
        <w:t>项目“三同时”验收一览表</w:t>
      </w:r>
      <w:bookmarkEnd w:id="158"/>
    </w:p>
    <w:tbl>
      <w:tblPr>
        <w:tblStyle w:val="1679"/>
        <w:tblW w:w="8668" w:type="dxa"/>
        <w:tblInd w:w="0" w:type="dxa"/>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0" w:type="dxa"/>
          <w:bottom w:w="0" w:type="dxa"/>
          <w:right w:w="0" w:type="dxa"/>
        </w:tblCellMar>
      </w:tblPr>
      <w:tblGrid>
        <w:gridCol w:w="562"/>
        <w:gridCol w:w="1347"/>
        <w:gridCol w:w="3643"/>
        <w:gridCol w:w="3116"/>
      </w:tblGrid>
      <w:tr w14:paraId="20B8196F">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562" w:type="dxa"/>
            <w:vMerge w:val="restart"/>
            <w:tcBorders>
              <w:bottom w:val="single" w:color="auto" w:sz="4" w:space="0"/>
            </w:tcBorders>
            <w:noWrap w:val="0"/>
            <w:vAlign w:val="center"/>
          </w:tcPr>
          <w:p w14:paraId="2461B652">
            <w:pPr>
              <w:pStyle w:val="1647"/>
              <w:keepNext w:val="0"/>
              <w:keepLines w:val="0"/>
              <w:pageBreakBefore w:val="0"/>
              <w:widowControl w:val="0"/>
              <w:kinsoku/>
              <w:wordWrap/>
              <w:overflowPunct/>
              <w:topLinePunct w:val="0"/>
              <w:autoSpaceDE/>
              <w:autoSpaceDN/>
              <w:bidi w:val="0"/>
              <w:adjustRightInd/>
              <w:snapToGrid/>
              <w:spacing w:before="69" w:line="221" w:lineRule="auto"/>
              <w:ind w:left="0"/>
              <w:jc w:val="center"/>
              <w:textAlignment w:val="auto"/>
              <w:rPr>
                <w:rFonts w:hint="eastAsia" w:ascii="Times New Roman" w:hAnsi="Times New Roman" w:eastAsia="宋体" w:cs="Times New Roman"/>
                <w:color w:val="auto"/>
                <w:highlight w:val="none"/>
                <w:lang w:eastAsia="zh-CN"/>
              </w:rPr>
            </w:pPr>
            <w:r>
              <w:rPr>
                <w:rFonts w:hint="eastAsia" w:ascii="Times New Roman" w:hAnsi="Times New Roman" w:cs="Times New Roman"/>
                <w:color w:val="auto"/>
                <w:spacing w:val="-4"/>
                <w:highlight w:val="none"/>
                <w:lang w:eastAsia="zh-CN"/>
              </w:rPr>
              <w:t>运营期</w:t>
            </w:r>
          </w:p>
        </w:tc>
        <w:tc>
          <w:tcPr>
            <w:tcW w:w="1347" w:type="dxa"/>
            <w:noWrap w:val="0"/>
            <w:vAlign w:val="center"/>
          </w:tcPr>
          <w:p w14:paraId="4D475D06">
            <w:pPr>
              <w:pStyle w:val="1647"/>
              <w:keepNext w:val="0"/>
              <w:keepLines w:val="0"/>
              <w:pageBreakBefore w:val="0"/>
              <w:widowControl w:val="0"/>
              <w:kinsoku/>
              <w:wordWrap/>
              <w:overflowPunct/>
              <w:topLinePunct w:val="0"/>
              <w:autoSpaceDE/>
              <w:autoSpaceDN/>
              <w:bidi w:val="0"/>
              <w:adjustRightInd/>
              <w:snapToGrid/>
              <w:spacing w:before="169" w:line="221" w:lineRule="auto"/>
              <w:ind w:left="0"/>
              <w:jc w:val="center"/>
              <w:textAlignment w:val="auto"/>
              <w:outlineLvl w:val="2"/>
              <w:rPr>
                <w:rFonts w:hint="default" w:ascii="Times New Roman" w:hAnsi="Times New Roman" w:cs="Times New Roman"/>
                <w:color w:val="auto"/>
                <w:highlight w:val="none"/>
              </w:rPr>
            </w:pPr>
            <w:bookmarkStart w:id="159" w:name="bookmark298"/>
            <w:bookmarkEnd w:id="159"/>
            <w:r>
              <w:rPr>
                <w:rFonts w:hint="default" w:ascii="Times New Roman" w:hAnsi="Times New Roman" w:cs="Times New Roman"/>
                <w:color w:val="auto"/>
                <w:spacing w:val="-2"/>
                <w:highlight w:val="none"/>
              </w:rPr>
              <w:t>水环境</w:t>
            </w:r>
          </w:p>
        </w:tc>
        <w:tc>
          <w:tcPr>
            <w:tcW w:w="3643" w:type="dxa"/>
            <w:noWrap w:val="0"/>
            <w:vAlign w:val="center"/>
          </w:tcPr>
          <w:p w14:paraId="4B136261">
            <w:pPr>
              <w:pStyle w:val="1647"/>
              <w:keepNext w:val="0"/>
              <w:keepLines w:val="0"/>
              <w:pageBreakBefore w:val="0"/>
              <w:widowControl w:val="0"/>
              <w:kinsoku/>
              <w:wordWrap/>
              <w:overflowPunct/>
              <w:topLinePunct w:val="0"/>
              <w:autoSpaceDE/>
              <w:autoSpaceDN/>
              <w:bidi w:val="0"/>
              <w:adjustRightInd/>
              <w:snapToGrid/>
              <w:spacing w:before="34" w:line="221" w:lineRule="auto"/>
              <w:ind w:left="0" w:right="103" w:firstLine="0" w:firstLineChars="0"/>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pacing w:val="-1"/>
                <w:highlight w:val="none"/>
                <w:lang w:val="en-US" w:eastAsia="zh-CN"/>
              </w:rPr>
              <w:t>/</w:t>
            </w:r>
          </w:p>
        </w:tc>
        <w:tc>
          <w:tcPr>
            <w:tcW w:w="3116" w:type="dxa"/>
            <w:noWrap w:val="0"/>
            <w:vAlign w:val="center"/>
          </w:tcPr>
          <w:p w14:paraId="73B5B25E">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cs="Times New Roman"/>
                <w:color w:val="auto"/>
                <w:sz w:val="21"/>
                <w:szCs w:val="22"/>
                <w:highlight w:val="none"/>
              </w:rPr>
            </w:pPr>
          </w:p>
        </w:tc>
      </w:tr>
      <w:tr w14:paraId="7F82B7F7">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562" w:type="dxa"/>
            <w:vMerge w:val="continue"/>
            <w:tcBorders>
              <w:top w:val="single" w:color="auto" w:sz="4" w:space="0"/>
              <w:bottom w:val="single" w:color="auto" w:sz="4" w:space="0"/>
            </w:tcBorders>
            <w:noWrap w:val="0"/>
            <w:vAlign w:val="center"/>
          </w:tcPr>
          <w:p w14:paraId="645DA997">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color w:val="auto"/>
                <w:sz w:val="21"/>
                <w:szCs w:val="22"/>
                <w:highlight w:val="none"/>
              </w:rPr>
            </w:pPr>
          </w:p>
        </w:tc>
        <w:tc>
          <w:tcPr>
            <w:tcW w:w="1347" w:type="dxa"/>
            <w:noWrap w:val="0"/>
            <w:vAlign w:val="center"/>
          </w:tcPr>
          <w:p w14:paraId="35283821">
            <w:pPr>
              <w:pStyle w:val="1647"/>
              <w:keepNext w:val="0"/>
              <w:keepLines w:val="0"/>
              <w:pageBreakBefore w:val="0"/>
              <w:widowControl w:val="0"/>
              <w:kinsoku/>
              <w:wordWrap/>
              <w:overflowPunct/>
              <w:topLinePunct w:val="0"/>
              <w:autoSpaceDE/>
              <w:autoSpaceDN/>
              <w:bidi w:val="0"/>
              <w:adjustRightInd/>
              <w:snapToGrid/>
              <w:spacing w:before="173" w:line="221" w:lineRule="auto"/>
              <w:ind w:left="0"/>
              <w:jc w:val="center"/>
              <w:textAlignment w:val="auto"/>
              <w:outlineLvl w:val="2"/>
              <w:rPr>
                <w:rFonts w:hint="default" w:ascii="Times New Roman" w:hAnsi="Times New Roman" w:cs="Times New Roman"/>
                <w:color w:val="auto"/>
                <w:highlight w:val="none"/>
              </w:rPr>
            </w:pPr>
            <w:bookmarkStart w:id="160" w:name="bookmark299"/>
            <w:bookmarkEnd w:id="160"/>
            <w:r>
              <w:rPr>
                <w:rFonts w:hint="default" w:ascii="Times New Roman" w:hAnsi="Times New Roman" w:cs="Times New Roman"/>
                <w:color w:val="auto"/>
                <w:spacing w:val="-2"/>
                <w:highlight w:val="none"/>
              </w:rPr>
              <w:t>声环境</w:t>
            </w:r>
          </w:p>
        </w:tc>
        <w:tc>
          <w:tcPr>
            <w:tcW w:w="3643" w:type="dxa"/>
            <w:noWrap w:val="0"/>
            <w:vAlign w:val="center"/>
          </w:tcPr>
          <w:p w14:paraId="64E0586F">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firstLine="0" w:firstLineChars="0"/>
              <w:jc w:val="center"/>
              <w:textAlignment w:val="auto"/>
              <w:outlineLvl w:val="2"/>
              <w:rPr>
                <w:rFonts w:hint="default" w:ascii="Times New Roman" w:hAnsi="Times New Roman" w:cs="Times New Roman"/>
                <w:b w:val="0"/>
                <w:bCs/>
                <w:color w:val="auto"/>
                <w:szCs w:val="22"/>
                <w:highlight w:val="none"/>
              </w:rPr>
            </w:pPr>
            <w:r>
              <w:rPr>
                <w:rFonts w:hint="default" w:ascii="Times New Roman" w:hAnsi="Times New Roman" w:cs="Times New Roman"/>
                <w:color w:val="auto"/>
                <w:spacing w:val="-1"/>
                <w:szCs w:val="22"/>
                <w:highlight w:val="none"/>
                <w:lang w:val="en-US" w:eastAsia="zh-CN"/>
              </w:rPr>
              <w:t>/</w:t>
            </w:r>
          </w:p>
        </w:tc>
        <w:tc>
          <w:tcPr>
            <w:tcW w:w="3116" w:type="dxa"/>
            <w:noWrap w:val="0"/>
            <w:vAlign w:val="center"/>
          </w:tcPr>
          <w:p w14:paraId="64F5A59F">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right="224" w:firstLine="0" w:firstLineChars="0"/>
              <w:jc w:val="center"/>
              <w:textAlignment w:val="auto"/>
              <w:outlineLvl w:val="2"/>
              <w:rPr>
                <w:rFonts w:hint="default" w:ascii="Times New Roman" w:hAnsi="Times New Roman" w:cs="Times New Roman"/>
                <w:b w:val="0"/>
                <w:bCs/>
                <w:color w:val="auto"/>
                <w:szCs w:val="22"/>
                <w:highlight w:val="none"/>
              </w:rPr>
            </w:pPr>
            <w:r>
              <w:rPr>
                <w:rFonts w:hint="default" w:ascii="Times New Roman" w:hAnsi="Times New Roman" w:cs="Times New Roman"/>
                <w:color w:val="auto"/>
                <w:spacing w:val="-1"/>
                <w:szCs w:val="22"/>
                <w:highlight w:val="none"/>
                <w:lang w:val="en-US" w:eastAsia="zh-CN"/>
              </w:rPr>
              <w:t>/</w:t>
            </w:r>
          </w:p>
        </w:tc>
      </w:tr>
      <w:tr w14:paraId="2DDA4D77">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562" w:type="dxa"/>
            <w:vMerge w:val="continue"/>
            <w:tcBorders>
              <w:top w:val="single" w:color="auto" w:sz="4" w:space="0"/>
              <w:bottom w:val="single" w:color="auto" w:sz="4" w:space="0"/>
            </w:tcBorders>
            <w:noWrap w:val="0"/>
            <w:vAlign w:val="center"/>
          </w:tcPr>
          <w:p w14:paraId="518083FE">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color w:val="auto"/>
                <w:sz w:val="21"/>
                <w:szCs w:val="22"/>
                <w:highlight w:val="none"/>
              </w:rPr>
            </w:pPr>
          </w:p>
        </w:tc>
        <w:tc>
          <w:tcPr>
            <w:tcW w:w="1347" w:type="dxa"/>
            <w:noWrap w:val="0"/>
            <w:vAlign w:val="center"/>
          </w:tcPr>
          <w:p w14:paraId="5E90B109">
            <w:pPr>
              <w:pStyle w:val="1647"/>
              <w:keepNext w:val="0"/>
              <w:keepLines w:val="0"/>
              <w:pageBreakBefore w:val="0"/>
              <w:widowControl w:val="0"/>
              <w:kinsoku/>
              <w:wordWrap/>
              <w:overflowPunct/>
              <w:topLinePunct w:val="0"/>
              <w:autoSpaceDE/>
              <w:autoSpaceDN/>
              <w:bidi w:val="0"/>
              <w:adjustRightInd/>
              <w:snapToGrid/>
              <w:spacing w:before="87" w:line="221" w:lineRule="auto"/>
              <w:ind w:left="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pacing w:val="-7"/>
                <w:highlight w:val="none"/>
              </w:rPr>
              <w:t>固废</w:t>
            </w:r>
          </w:p>
        </w:tc>
        <w:tc>
          <w:tcPr>
            <w:tcW w:w="3643" w:type="dxa"/>
            <w:noWrap w:val="0"/>
            <w:vAlign w:val="center"/>
          </w:tcPr>
          <w:p w14:paraId="75755A6F">
            <w:pPr>
              <w:pStyle w:val="1647"/>
              <w:keepNext w:val="0"/>
              <w:keepLines w:val="0"/>
              <w:pageBreakBefore w:val="0"/>
              <w:widowControl w:val="0"/>
              <w:kinsoku/>
              <w:wordWrap/>
              <w:overflowPunct/>
              <w:topLinePunct w:val="0"/>
              <w:autoSpaceDE/>
              <w:autoSpaceDN/>
              <w:bidi w:val="0"/>
              <w:adjustRightInd/>
              <w:snapToGrid/>
              <w:spacing w:before="86" w:line="221" w:lineRule="auto"/>
              <w:ind w:left="0" w:firstLine="0" w:firstLineChars="0"/>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pacing w:val="-1"/>
                <w:highlight w:val="none"/>
                <w:lang w:val="en-US" w:eastAsia="zh-CN"/>
              </w:rPr>
              <w:t>/</w:t>
            </w:r>
          </w:p>
        </w:tc>
        <w:tc>
          <w:tcPr>
            <w:tcW w:w="3116" w:type="dxa"/>
            <w:noWrap w:val="0"/>
            <w:vAlign w:val="center"/>
          </w:tcPr>
          <w:p w14:paraId="005A6340">
            <w:pPr>
              <w:pStyle w:val="1647"/>
              <w:keepNext w:val="0"/>
              <w:keepLines w:val="0"/>
              <w:pageBreakBefore w:val="0"/>
              <w:widowControl w:val="0"/>
              <w:kinsoku/>
              <w:wordWrap/>
              <w:overflowPunct/>
              <w:topLinePunct w:val="0"/>
              <w:autoSpaceDE/>
              <w:autoSpaceDN/>
              <w:bidi w:val="0"/>
              <w:adjustRightInd/>
              <w:snapToGrid/>
              <w:spacing w:before="87" w:line="221" w:lineRule="auto"/>
              <w:ind w:left="0" w:firstLine="0" w:firstLineChars="0"/>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pacing w:val="-1"/>
                <w:highlight w:val="none"/>
                <w:lang w:val="en-US" w:eastAsia="zh-CN"/>
              </w:rPr>
              <w:t>/</w:t>
            </w:r>
          </w:p>
        </w:tc>
      </w:tr>
      <w:tr w14:paraId="560DAF26">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562" w:type="dxa"/>
            <w:vMerge w:val="continue"/>
            <w:tcBorders>
              <w:top w:val="single" w:color="auto" w:sz="4" w:space="0"/>
              <w:bottom w:val="single" w:color="auto" w:sz="12" w:space="0"/>
            </w:tcBorders>
            <w:noWrap w:val="0"/>
            <w:vAlign w:val="center"/>
          </w:tcPr>
          <w:p w14:paraId="05146A65">
            <w:pPr>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cs="Times New Roman"/>
                <w:color w:val="auto"/>
                <w:sz w:val="21"/>
                <w:szCs w:val="22"/>
                <w:highlight w:val="none"/>
              </w:rPr>
            </w:pPr>
          </w:p>
        </w:tc>
        <w:tc>
          <w:tcPr>
            <w:tcW w:w="1347" w:type="dxa"/>
            <w:tcBorders>
              <w:bottom w:val="single" w:color="auto" w:sz="12" w:space="0"/>
            </w:tcBorders>
            <w:noWrap w:val="0"/>
            <w:vAlign w:val="center"/>
          </w:tcPr>
          <w:p w14:paraId="347E8B4B">
            <w:pPr>
              <w:pStyle w:val="1647"/>
              <w:keepNext w:val="0"/>
              <w:keepLines w:val="0"/>
              <w:pageBreakBefore w:val="0"/>
              <w:widowControl w:val="0"/>
              <w:kinsoku/>
              <w:wordWrap/>
              <w:overflowPunct/>
              <w:topLinePunct w:val="0"/>
              <w:autoSpaceDE/>
              <w:autoSpaceDN/>
              <w:bidi w:val="0"/>
              <w:adjustRightInd/>
              <w:snapToGrid/>
              <w:spacing w:before="89" w:line="221" w:lineRule="auto"/>
              <w:ind w:left="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环境管理</w:t>
            </w:r>
          </w:p>
        </w:tc>
        <w:tc>
          <w:tcPr>
            <w:tcW w:w="3643" w:type="dxa"/>
            <w:tcBorders>
              <w:bottom w:val="single" w:color="auto" w:sz="12" w:space="0"/>
            </w:tcBorders>
            <w:noWrap w:val="0"/>
            <w:vAlign w:val="center"/>
          </w:tcPr>
          <w:p w14:paraId="3F146451">
            <w:pPr>
              <w:pStyle w:val="1647"/>
              <w:keepNext w:val="0"/>
              <w:keepLines w:val="0"/>
              <w:pageBreakBefore w:val="0"/>
              <w:widowControl w:val="0"/>
              <w:kinsoku/>
              <w:wordWrap/>
              <w:overflowPunct/>
              <w:topLinePunct w:val="0"/>
              <w:autoSpaceDE/>
              <w:autoSpaceDN/>
              <w:bidi w:val="0"/>
              <w:adjustRightInd/>
              <w:snapToGrid/>
              <w:spacing w:before="89" w:line="221" w:lineRule="auto"/>
              <w:ind w:left="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建立健全各项环境管理制度</w:t>
            </w:r>
          </w:p>
        </w:tc>
        <w:tc>
          <w:tcPr>
            <w:tcW w:w="3116" w:type="dxa"/>
            <w:tcBorders>
              <w:bottom w:val="single" w:color="auto" w:sz="12" w:space="0"/>
            </w:tcBorders>
            <w:noWrap w:val="0"/>
            <w:vAlign w:val="center"/>
          </w:tcPr>
          <w:p w14:paraId="0BFEDCDF">
            <w:pPr>
              <w:pStyle w:val="1647"/>
              <w:keepNext w:val="0"/>
              <w:keepLines w:val="0"/>
              <w:pageBreakBefore w:val="0"/>
              <w:widowControl w:val="0"/>
              <w:kinsoku/>
              <w:wordWrap/>
              <w:overflowPunct/>
              <w:topLinePunct w:val="0"/>
              <w:autoSpaceDE/>
              <w:autoSpaceDN/>
              <w:bidi w:val="0"/>
              <w:adjustRightInd/>
              <w:snapToGrid/>
              <w:spacing w:before="89" w:line="221" w:lineRule="auto"/>
              <w:ind w:left="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检查各项环境管理制度落实情况</w:t>
            </w:r>
          </w:p>
        </w:tc>
      </w:tr>
    </w:tbl>
    <w:p w14:paraId="4CFF7F83">
      <w:pPr>
        <w:pStyle w:val="4"/>
        <w:numPr>
          <w:ilvl w:val="1"/>
          <w:numId w:val="50"/>
        </w:numPr>
        <w:bidi w:val="0"/>
        <w:ind w:left="678" w:leftChars="0" w:firstLine="0" w:firstLineChars="0"/>
        <w:rPr>
          <w:rFonts w:hint="default"/>
          <w:color w:val="auto"/>
          <w:highlight w:val="none"/>
        </w:rPr>
      </w:pPr>
      <w:bookmarkStart w:id="161" w:name="_Toc17349"/>
      <w:r>
        <w:rPr>
          <w:rFonts w:hint="eastAsia"/>
          <w:color w:val="auto"/>
          <w:highlight w:val="none"/>
          <w:lang w:eastAsia="zh-CN"/>
        </w:rPr>
        <w:t>应向社会公开的信息内容</w:t>
      </w:r>
      <w:bookmarkEnd w:id="161"/>
    </w:p>
    <w:p w14:paraId="4ABECF7E">
      <w:pPr>
        <w:snapToGrid w:val="0"/>
        <w:spacing w:line="360" w:lineRule="auto"/>
        <w:ind w:firstLine="442" w:firstLineChars="200"/>
        <w:rPr>
          <w:color w:val="auto"/>
          <w:sz w:val="24"/>
          <w:szCs w:val="24"/>
          <w:highlight w:val="none"/>
        </w:rPr>
      </w:pPr>
      <w:r>
        <w:rPr>
          <w:color w:val="auto"/>
          <w:sz w:val="24"/>
          <w:szCs w:val="24"/>
          <w:highlight w:val="none"/>
        </w:rPr>
        <w:t>根据《建设项目环境影响评价信息公开机制方案》</w:t>
      </w:r>
      <w:r>
        <w:rPr>
          <w:rFonts w:hint="eastAsia"/>
          <w:color w:val="auto"/>
          <w:sz w:val="24"/>
          <w:szCs w:val="24"/>
          <w:highlight w:val="none"/>
        </w:rPr>
        <w:t>、</w:t>
      </w:r>
      <w:r>
        <w:rPr>
          <w:color w:val="auto"/>
          <w:sz w:val="24"/>
          <w:szCs w:val="24"/>
          <w:highlight w:val="none"/>
        </w:rPr>
        <w:t>《环境影响评价公众参与办法》（生态环境部令第4号）的要求，建设单位是建设项目环境信息公开的主体，全面规范建设单位环评信息公开范围、公开时段、公开内容、公开程度、公开方式。建设单位应分阶段向社会公开环境信息，具体</w:t>
      </w:r>
      <w:r>
        <w:rPr>
          <w:rFonts w:hint="eastAsia"/>
          <w:color w:val="auto"/>
          <w:sz w:val="24"/>
          <w:szCs w:val="24"/>
          <w:highlight w:val="none"/>
          <w:lang w:eastAsia="zh-CN"/>
        </w:rPr>
        <w:t>见</w:t>
      </w:r>
      <w:r>
        <w:rPr>
          <w:rFonts w:hint="eastAsia"/>
          <w:color w:val="auto"/>
          <w:sz w:val="24"/>
          <w:szCs w:val="24"/>
          <w:highlight w:val="none"/>
          <w:lang w:eastAsia="zh-CN"/>
        </w:rPr>
        <w:fldChar w:fldCharType="begin"/>
      </w:r>
      <w:r>
        <w:rPr>
          <w:rFonts w:hint="eastAsia"/>
          <w:color w:val="auto"/>
          <w:sz w:val="24"/>
          <w:szCs w:val="24"/>
          <w:highlight w:val="none"/>
          <w:lang w:eastAsia="zh-CN"/>
        </w:rPr>
        <w:instrText xml:space="preserve"> REF _Ref11654 \r \h </w:instrText>
      </w:r>
      <w:r>
        <w:rPr>
          <w:rFonts w:hint="eastAsia"/>
          <w:color w:val="auto"/>
          <w:sz w:val="24"/>
          <w:szCs w:val="24"/>
          <w:highlight w:val="none"/>
          <w:lang w:eastAsia="zh-CN"/>
        </w:rPr>
        <w:fldChar w:fldCharType="separate"/>
      </w:r>
      <w:r>
        <w:rPr>
          <w:rFonts w:hint="eastAsia"/>
          <w:color w:val="auto"/>
          <w:sz w:val="24"/>
          <w:szCs w:val="24"/>
          <w:highlight w:val="none"/>
          <w:lang w:eastAsia="zh-CN"/>
        </w:rPr>
        <w:t>表7.6-1</w:t>
      </w:r>
      <w:r>
        <w:rPr>
          <w:rFonts w:hint="eastAsia"/>
          <w:color w:val="auto"/>
          <w:sz w:val="24"/>
          <w:szCs w:val="24"/>
          <w:highlight w:val="none"/>
          <w:lang w:eastAsia="zh-CN"/>
        </w:rPr>
        <w:fldChar w:fldCharType="end"/>
      </w:r>
      <w:r>
        <w:rPr>
          <w:color w:val="auto"/>
          <w:sz w:val="24"/>
          <w:szCs w:val="24"/>
          <w:highlight w:val="none"/>
        </w:rPr>
        <w:t>。</w:t>
      </w:r>
    </w:p>
    <w:p w14:paraId="7080292F">
      <w:pPr>
        <w:pStyle w:val="268"/>
        <w:keepNext w:val="0"/>
        <w:keepLines w:val="0"/>
        <w:pageBreakBefore w:val="0"/>
        <w:widowControl w:val="0"/>
        <w:numPr>
          <w:ilvl w:val="4"/>
          <w:numId w:val="50"/>
        </w:numPr>
        <w:tabs>
          <w:tab w:val="clear" w:pos="0"/>
          <w:tab w:val="clear" w:pos="2127"/>
        </w:tabs>
        <w:kinsoku/>
        <w:wordWrap/>
        <w:overflowPunct/>
        <w:topLinePunct w:val="0"/>
        <w:autoSpaceDE/>
        <w:autoSpaceDN/>
        <w:bidi w:val="0"/>
        <w:adjustRightInd/>
        <w:snapToGrid/>
        <w:ind w:left="0" w:leftChars="0" w:firstLine="0" w:firstLineChars="0"/>
        <w:textAlignment w:val="auto"/>
        <w:rPr>
          <w:b/>
          <w:bCs/>
          <w:color w:val="auto"/>
          <w:sz w:val="24"/>
          <w:highlight w:val="none"/>
        </w:rPr>
      </w:pPr>
      <w:bookmarkStart w:id="162" w:name="_Ref11654"/>
      <w:r>
        <w:rPr>
          <w:b/>
          <w:bCs/>
          <w:color w:val="auto"/>
          <w:sz w:val="24"/>
          <w:highlight w:val="none"/>
        </w:rPr>
        <w:t>建设单位社会公开信息情况一览表</w:t>
      </w:r>
      <w:bookmarkEnd w:id="162"/>
    </w:p>
    <w:tbl>
      <w:tblPr>
        <w:tblStyle w:val="87"/>
        <w:tblW w:w="92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44"/>
        <w:gridCol w:w="7244"/>
      </w:tblGrid>
      <w:tr w14:paraId="3FD6DE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44" w:type="dxa"/>
            <w:tcBorders>
              <w:tl2br w:val="nil"/>
              <w:tr2bl w:val="nil"/>
            </w:tcBorders>
            <w:noWrap w:val="0"/>
            <w:vAlign w:val="center"/>
          </w:tcPr>
          <w:p w14:paraId="236933AE">
            <w:pPr>
              <w:adjustRightInd w:val="0"/>
              <w:snapToGrid w:val="0"/>
              <w:spacing w:line="360" w:lineRule="exact"/>
              <w:jc w:val="center"/>
              <w:rPr>
                <w:b/>
                <w:color w:val="auto"/>
                <w:sz w:val="21"/>
                <w:szCs w:val="21"/>
                <w:highlight w:val="none"/>
              </w:rPr>
            </w:pPr>
            <w:r>
              <w:rPr>
                <w:color w:val="auto"/>
                <w:sz w:val="21"/>
                <w:szCs w:val="21"/>
                <w:highlight w:val="none"/>
              </w:rPr>
              <w:t>公开阶段</w:t>
            </w:r>
          </w:p>
        </w:tc>
        <w:tc>
          <w:tcPr>
            <w:tcW w:w="7244" w:type="dxa"/>
            <w:tcBorders>
              <w:tl2br w:val="nil"/>
              <w:tr2bl w:val="nil"/>
            </w:tcBorders>
            <w:noWrap w:val="0"/>
            <w:vAlign w:val="center"/>
          </w:tcPr>
          <w:p w14:paraId="3B20F49B">
            <w:pPr>
              <w:adjustRightInd w:val="0"/>
              <w:snapToGrid w:val="0"/>
              <w:spacing w:line="360" w:lineRule="exact"/>
              <w:jc w:val="center"/>
              <w:rPr>
                <w:b/>
                <w:color w:val="auto"/>
                <w:sz w:val="21"/>
                <w:szCs w:val="21"/>
                <w:highlight w:val="none"/>
              </w:rPr>
            </w:pPr>
            <w:r>
              <w:rPr>
                <w:color w:val="auto"/>
                <w:sz w:val="21"/>
                <w:szCs w:val="21"/>
                <w:highlight w:val="none"/>
              </w:rPr>
              <w:t>具体公开内容</w:t>
            </w:r>
          </w:p>
        </w:tc>
      </w:tr>
      <w:tr w14:paraId="690115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44" w:type="dxa"/>
            <w:tcBorders>
              <w:tl2br w:val="nil"/>
              <w:tr2bl w:val="nil"/>
            </w:tcBorders>
            <w:noWrap w:val="0"/>
            <w:vAlign w:val="center"/>
          </w:tcPr>
          <w:p w14:paraId="0AA0B422">
            <w:pPr>
              <w:adjustRightInd w:val="0"/>
              <w:snapToGrid w:val="0"/>
              <w:spacing w:line="360" w:lineRule="exact"/>
              <w:jc w:val="center"/>
              <w:rPr>
                <w:color w:val="auto"/>
                <w:sz w:val="21"/>
                <w:szCs w:val="21"/>
                <w:highlight w:val="none"/>
              </w:rPr>
            </w:pPr>
            <w:r>
              <w:rPr>
                <w:color w:val="auto"/>
                <w:sz w:val="21"/>
                <w:szCs w:val="21"/>
                <w:highlight w:val="none"/>
              </w:rPr>
              <w:t>报告书编制过程中</w:t>
            </w:r>
          </w:p>
        </w:tc>
        <w:tc>
          <w:tcPr>
            <w:tcW w:w="7244" w:type="dxa"/>
            <w:tcBorders>
              <w:tl2br w:val="nil"/>
              <w:tr2bl w:val="nil"/>
            </w:tcBorders>
            <w:noWrap w:val="0"/>
            <w:vAlign w:val="center"/>
          </w:tcPr>
          <w:p w14:paraId="56FB5CB8">
            <w:pPr>
              <w:adjustRightInd w:val="0"/>
              <w:snapToGrid w:val="0"/>
              <w:spacing w:line="360" w:lineRule="exact"/>
              <w:jc w:val="center"/>
              <w:rPr>
                <w:color w:val="auto"/>
                <w:sz w:val="21"/>
                <w:szCs w:val="21"/>
                <w:highlight w:val="none"/>
              </w:rPr>
            </w:pPr>
            <w:r>
              <w:rPr>
                <w:color w:val="auto"/>
                <w:sz w:val="21"/>
                <w:szCs w:val="21"/>
                <w:highlight w:val="none"/>
              </w:rPr>
              <w:t>向社会公开建设项目的工程基本情况、拟定选址选线、主要环境影响情况、拟采取的主要环境保护措施、公众参与的途径、方式等。</w:t>
            </w:r>
          </w:p>
        </w:tc>
      </w:tr>
      <w:tr w14:paraId="7E6500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44" w:type="dxa"/>
            <w:tcBorders>
              <w:tl2br w:val="nil"/>
              <w:tr2bl w:val="nil"/>
            </w:tcBorders>
            <w:noWrap w:val="0"/>
            <w:vAlign w:val="center"/>
          </w:tcPr>
          <w:p w14:paraId="2A24BA6F">
            <w:pPr>
              <w:adjustRightInd w:val="0"/>
              <w:snapToGrid w:val="0"/>
              <w:spacing w:line="360" w:lineRule="exact"/>
              <w:jc w:val="center"/>
              <w:rPr>
                <w:color w:val="auto"/>
                <w:sz w:val="21"/>
                <w:szCs w:val="21"/>
                <w:highlight w:val="none"/>
              </w:rPr>
            </w:pPr>
            <w:r>
              <w:rPr>
                <w:color w:val="auto"/>
                <w:sz w:val="21"/>
                <w:szCs w:val="21"/>
                <w:highlight w:val="none"/>
              </w:rPr>
              <w:t>报告书审批前</w:t>
            </w:r>
          </w:p>
        </w:tc>
        <w:tc>
          <w:tcPr>
            <w:tcW w:w="7244" w:type="dxa"/>
            <w:tcBorders>
              <w:tl2br w:val="nil"/>
              <w:tr2bl w:val="nil"/>
            </w:tcBorders>
            <w:noWrap w:val="0"/>
            <w:vAlign w:val="center"/>
          </w:tcPr>
          <w:p w14:paraId="04450D52">
            <w:pPr>
              <w:adjustRightInd w:val="0"/>
              <w:snapToGrid w:val="0"/>
              <w:spacing w:line="360" w:lineRule="exact"/>
              <w:jc w:val="center"/>
              <w:rPr>
                <w:color w:val="auto"/>
                <w:sz w:val="21"/>
                <w:szCs w:val="21"/>
                <w:highlight w:val="none"/>
              </w:rPr>
            </w:pPr>
            <w:r>
              <w:rPr>
                <w:color w:val="auto"/>
                <w:sz w:val="21"/>
                <w:szCs w:val="21"/>
                <w:highlight w:val="none"/>
              </w:rPr>
              <w:t>建设项目环境影响报告书编制完成后，向环境保护主管部门报批前，向社会公开环境影响报告书全本，同时一并公开公众参与情况说明。</w:t>
            </w:r>
          </w:p>
        </w:tc>
      </w:tr>
      <w:tr w14:paraId="343E1A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44" w:type="dxa"/>
            <w:tcBorders>
              <w:tl2br w:val="nil"/>
              <w:tr2bl w:val="nil"/>
            </w:tcBorders>
            <w:noWrap w:val="0"/>
            <w:vAlign w:val="center"/>
          </w:tcPr>
          <w:p w14:paraId="44A05D96">
            <w:pPr>
              <w:adjustRightInd w:val="0"/>
              <w:snapToGrid w:val="0"/>
              <w:spacing w:line="360" w:lineRule="exact"/>
              <w:jc w:val="center"/>
              <w:rPr>
                <w:color w:val="auto"/>
                <w:sz w:val="21"/>
                <w:szCs w:val="21"/>
                <w:highlight w:val="none"/>
              </w:rPr>
            </w:pPr>
            <w:r>
              <w:rPr>
                <w:color w:val="auto"/>
                <w:sz w:val="21"/>
                <w:szCs w:val="21"/>
                <w:highlight w:val="none"/>
              </w:rPr>
              <w:t>建设项目开工前</w:t>
            </w:r>
          </w:p>
        </w:tc>
        <w:tc>
          <w:tcPr>
            <w:tcW w:w="7244" w:type="dxa"/>
            <w:tcBorders>
              <w:tl2br w:val="nil"/>
              <w:tr2bl w:val="nil"/>
            </w:tcBorders>
            <w:noWrap w:val="0"/>
            <w:vAlign w:val="center"/>
          </w:tcPr>
          <w:p w14:paraId="0DF58AFE">
            <w:pPr>
              <w:adjustRightInd w:val="0"/>
              <w:snapToGrid w:val="0"/>
              <w:spacing w:line="360" w:lineRule="exact"/>
              <w:jc w:val="center"/>
              <w:rPr>
                <w:color w:val="auto"/>
                <w:sz w:val="21"/>
                <w:szCs w:val="21"/>
                <w:highlight w:val="none"/>
              </w:rPr>
            </w:pPr>
            <w:r>
              <w:rPr>
                <w:color w:val="auto"/>
                <w:sz w:val="21"/>
                <w:szCs w:val="21"/>
                <w:highlight w:val="none"/>
              </w:rPr>
              <w:t>开工前，建设单位应向社会公开建设项目开工日期、设计单位、施工单位和环境监理单位、工程基本情况、实际选址选线、拟采取的环境保护措施清单和实施计划、由地方政府或相关部门负责配套的环境保护措施清单和实施计划等，并确保上述信息在整个施工期内均处于公开状态。</w:t>
            </w:r>
          </w:p>
        </w:tc>
      </w:tr>
      <w:tr w14:paraId="58127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44" w:type="dxa"/>
            <w:tcBorders>
              <w:tl2br w:val="nil"/>
              <w:tr2bl w:val="nil"/>
            </w:tcBorders>
            <w:noWrap w:val="0"/>
            <w:vAlign w:val="center"/>
          </w:tcPr>
          <w:p w14:paraId="1BDD54E0">
            <w:pPr>
              <w:adjustRightInd w:val="0"/>
              <w:snapToGrid w:val="0"/>
              <w:spacing w:line="360" w:lineRule="exact"/>
              <w:jc w:val="center"/>
              <w:rPr>
                <w:color w:val="auto"/>
                <w:sz w:val="21"/>
                <w:szCs w:val="21"/>
                <w:highlight w:val="none"/>
              </w:rPr>
            </w:pPr>
            <w:r>
              <w:rPr>
                <w:color w:val="auto"/>
                <w:sz w:val="21"/>
                <w:szCs w:val="21"/>
                <w:highlight w:val="none"/>
              </w:rPr>
              <w:t>施工过程中</w:t>
            </w:r>
          </w:p>
        </w:tc>
        <w:tc>
          <w:tcPr>
            <w:tcW w:w="7244" w:type="dxa"/>
            <w:tcBorders>
              <w:tl2br w:val="nil"/>
              <w:tr2bl w:val="nil"/>
            </w:tcBorders>
            <w:noWrap w:val="0"/>
            <w:vAlign w:val="center"/>
          </w:tcPr>
          <w:p w14:paraId="6360D838">
            <w:pPr>
              <w:adjustRightInd w:val="0"/>
              <w:snapToGrid w:val="0"/>
              <w:spacing w:line="360" w:lineRule="exact"/>
              <w:jc w:val="center"/>
              <w:rPr>
                <w:color w:val="auto"/>
                <w:sz w:val="21"/>
                <w:szCs w:val="21"/>
                <w:highlight w:val="none"/>
              </w:rPr>
            </w:pPr>
            <w:r>
              <w:rPr>
                <w:color w:val="auto"/>
                <w:sz w:val="21"/>
                <w:szCs w:val="21"/>
                <w:highlight w:val="none"/>
              </w:rPr>
              <w:t>建设单位应在施工中期向社会公开建设项目环境保护措施进展情况、施工期的环境保护措施落实情况、施工期环境监理情况、施工期环境监测结果等。</w:t>
            </w:r>
          </w:p>
        </w:tc>
      </w:tr>
      <w:tr w14:paraId="19274A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44" w:type="dxa"/>
            <w:tcBorders>
              <w:tl2br w:val="nil"/>
              <w:tr2bl w:val="nil"/>
            </w:tcBorders>
            <w:noWrap w:val="0"/>
            <w:vAlign w:val="center"/>
          </w:tcPr>
          <w:p w14:paraId="1CBE2A29">
            <w:pPr>
              <w:adjustRightInd w:val="0"/>
              <w:snapToGrid w:val="0"/>
              <w:spacing w:line="360" w:lineRule="exact"/>
              <w:jc w:val="center"/>
              <w:rPr>
                <w:color w:val="auto"/>
                <w:sz w:val="21"/>
                <w:szCs w:val="21"/>
                <w:highlight w:val="none"/>
              </w:rPr>
            </w:pPr>
            <w:r>
              <w:rPr>
                <w:color w:val="auto"/>
                <w:sz w:val="21"/>
                <w:szCs w:val="21"/>
                <w:highlight w:val="none"/>
              </w:rPr>
              <w:t>项目建成运营后</w:t>
            </w:r>
          </w:p>
        </w:tc>
        <w:tc>
          <w:tcPr>
            <w:tcW w:w="7244" w:type="dxa"/>
            <w:tcBorders>
              <w:tl2br w:val="nil"/>
              <w:tr2bl w:val="nil"/>
            </w:tcBorders>
            <w:noWrap w:val="0"/>
            <w:vAlign w:val="center"/>
          </w:tcPr>
          <w:p w14:paraId="665CC2C4">
            <w:pPr>
              <w:adjustRightInd w:val="0"/>
              <w:snapToGrid w:val="0"/>
              <w:spacing w:line="360" w:lineRule="exact"/>
              <w:jc w:val="center"/>
              <w:rPr>
                <w:color w:val="auto"/>
                <w:sz w:val="21"/>
                <w:szCs w:val="21"/>
                <w:highlight w:val="none"/>
              </w:rPr>
            </w:pPr>
            <w:r>
              <w:rPr>
                <w:color w:val="auto"/>
                <w:sz w:val="21"/>
                <w:szCs w:val="21"/>
                <w:highlight w:val="none"/>
              </w:rPr>
              <w:t>建设单位应向社会公开建设项目环境影响报告书（表）提出的各项环境保护设施和措施执行情况、竣工环境保护验收监测和调查结果。对主要因排放污染物对环境产生影响的建设项目，投入生产或使用后，应当定期向社会特别是周边社区公开主要污染物排放情况。</w:t>
            </w:r>
          </w:p>
        </w:tc>
      </w:tr>
    </w:tbl>
    <w:p w14:paraId="40DE77CF">
      <w:pPr>
        <w:pStyle w:val="86"/>
        <w:ind w:left="442"/>
        <w:rPr>
          <w:rFonts w:hint="default" w:ascii="Times New Roman" w:hAnsi="Times New Roman" w:cs="Times New Roman"/>
          <w:color w:val="auto"/>
          <w:highlight w:val="none"/>
        </w:rPr>
        <w:sectPr>
          <w:headerReference r:id="rId15" w:type="default"/>
          <w:pgSz w:w="11906" w:h="16838"/>
          <w:pgMar w:top="1560" w:right="1514" w:bottom="1418" w:left="1780" w:header="1134" w:footer="992" w:gutter="0"/>
          <w:cols w:space="720" w:num="1"/>
          <w:docGrid w:type="linesAndChars" w:linePitch="466" w:charSpace="-3928"/>
        </w:sectPr>
      </w:pPr>
    </w:p>
    <w:p w14:paraId="4BBEB954">
      <w:pPr>
        <w:pStyle w:val="3"/>
        <w:numPr>
          <w:ilvl w:val="0"/>
          <w:numId w:val="50"/>
        </w:numPr>
        <w:bidi w:val="0"/>
        <w:ind w:left="425" w:leftChars="0" w:hanging="425" w:firstLineChars="0"/>
        <w:rPr>
          <w:rFonts w:hint="default"/>
          <w:color w:val="auto"/>
          <w:highlight w:val="none"/>
        </w:rPr>
      </w:pPr>
      <w:bookmarkStart w:id="163" w:name="_Toc25343"/>
      <w:r>
        <w:rPr>
          <w:rFonts w:hint="default"/>
          <w:color w:val="auto"/>
          <w:highlight w:val="none"/>
        </w:rPr>
        <w:t>评价结论</w:t>
      </w:r>
      <w:bookmarkEnd w:id="163"/>
    </w:p>
    <w:p w14:paraId="7F9C94BD">
      <w:pPr>
        <w:pStyle w:val="4"/>
        <w:numPr>
          <w:ilvl w:val="1"/>
          <w:numId w:val="50"/>
        </w:numPr>
        <w:bidi w:val="0"/>
        <w:ind w:left="678" w:leftChars="0" w:firstLine="0" w:firstLineChars="0"/>
        <w:rPr>
          <w:rFonts w:hint="default"/>
          <w:color w:val="auto"/>
          <w:highlight w:val="none"/>
        </w:rPr>
      </w:pPr>
      <w:bookmarkStart w:id="164" w:name="_Toc149836174"/>
      <w:bookmarkStart w:id="165" w:name="_Toc25602"/>
      <w:r>
        <w:rPr>
          <w:rFonts w:hint="default"/>
          <w:color w:val="auto"/>
          <w:highlight w:val="none"/>
        </w:rPr>
        <w:t>工程基本情况</w:t>
      </w:r>
      <w:bookmarkEnd w:id="164"/>
      <w:bookmarkEnd w:id="165"/>
    </w:p>
    <w:p w14:paraId="6C22DEB4">
      <w:pPr>
        <w:pStyle w:val="684"/>
        <w:ind w:firstLine="442"/>
        <w:rPr>
          <w:rFonts w:hint="default" w:ascii="Times New Roman" w:hAnsi="Times New Roman" w:cs="Times New Roman"/>
          <w:color w:val="auto"/>
          <w:highlight w:val="none"/>
          <w:u w:val="none"/>
        </w:rPr>
      </w:pPr>
      <w:r>
        <w:rPr>
          <w:rFonts w:hint="default" w:ascii="Times New Roman" w:hAnsi="Times New Roman" w:cs="Times New Roman"/>
          <w:color w:val="auto"/>
          <w:highlight w:val="none"/>
          <w:lang w:eastAsia="zh-CN"/>
        </w:rPr>
        <w:t>广西自贸区临海融合投资建设有限公司</w:t>
      </w:r>
      <w:r>
        <w:rPr>
          <w:rFonts w:hint="default" w:ascii="Times New Roman" w:hAnsi="Times New Roman" w:cs="Times New Roman"/>
          <w:color w:val="auto"/>
          <w:highlight w:val="none"/>
        </w:rPr>
        <w:t>拟建</w:t>
      </w:r>
      <w:r>
        <w:rPr>
          <w:rFonts w:hint="default" w:ascii="Times New Roman" w:hAnsi="Times New Roman" w:cs="Times New Roman"/>
          <w:color w:val="auto"/>
          <w:highlight w:val="none"/>
          <w:lang w:eastAsia="zh-CN"/>
        </w:rPr>
        <w:t>钦州港新型城乡融合发展示范区（自贸新城）排水改造工程</w:t>
      </w:r>
      <w:r>
        <w:rPr>
          <w:rFonts w:hint="default" w:ascii="Times New Roman" w:hAnsi="Times New Roman" w:cs="Times New Roman"/>
          <w:color w:val="auto"/>
          <w:highlight w:val="none"/>
        </w:rPr>
        <w:t>位于</w:t>
      </w:r>
      <w:r>
        <w:rPr>
          <w:rFonts w:hint="eastAsia" w:ascii="Times New Roman" w:hAnsi="Times New Roman" w:cs="Times New Roman"/>
          <w:color w:val="auto"/>
          <w:highlight w:val="none"/>
          <w:lang w:eastAsia="zh-CN"/>
        </w:rPr>
        <w:t>广西壮族自治区钦州市</w:t>
      </w:r>
      <w:r>
        <w:rPr>
          <w:rFonts w:hint="default" w:ascii="Times New Roman" w:hAnsi="Times New Roman" w:cs="Times New Roman"/>
          <w:color w:val="auto"/>
          <w:highlight w:val="none"/>
        </w:rPr>
        <w:t>自贸试验区钦州港片区和谐大街以南，大榄坪大街以北，友谊大道以东区域；对钦州港新型城乡融合发展示范区（自贸新城）排水进行改造，改造内容包括排水工程，挡土墙工程，涵洞工程及土方工程等。</w:t>
      </w:r>
      <w:r>
        <w:rPr>
          <w:rFonts w:hint="eastAsia" w:ascii="Times New Roman" w:hAnsi="Times New Roman" w:cs="Times New Roman"/>
          <w:color w:val="auto"/>
          <w:highlight w:val="none"/>
          <w:lang w:eastAsia="zh-CN"/>
        </w:rPr>
        <w:t>（一）</w:t>
      </w:r>
      <w:r>
        <w:rPr>
          <w:rFonts w:hint="default" w:ascii="Times New Roman" w:hAnsi="Times New Roman" w:cs="Times New Roman"/>
          <w:b w:val="0"/>
          <w:bCs w:val="0"/>
          <w:color w:val="auto"/>
          <w:highlight w:val="none"/>
        </w:rPr>
        <w:t>锦绣大道排水改造段</w:t>
      </w:r>
      <w:r>
        <w:rPr>
          <w:rFonts w:hint="eastAsia" w:ascii="Times New Roman" w:hAnsi="Times New Roman" w:cs="Times New Roman"/>
          <w:b w:val="0"/>
          <w:bCs w:val="0"/>
          <w:color w:val="auto"/>
          <w:highlight w:val="none"/>
          <w:lang w:eastAsia="zh-CN"/>
        </w:rPr>
        <w:t>：</w:t>
      </w:r>
      <w:r>
        <w:rPr>
          <w:rFonts w:hint="default" w:ascii="Times New Roman" w:hAnsi="Times New Roman" w:cs="Times New Roman"/>
          <w:b w:val="0"/>
          <w:bCs w:val="0"/>
          <w:color w:val="auto"/>
          <w:highlight w:val="none"/>
        </w:rPr>
        <w:t>拟建内截面尺寸宽x高为0.5mx0.6m</w:t>
      </w:r>
      <w:r>
        <w:rPr>
          <w:rFonts w:hint="default" w:ascii="Times New Roman" w:hAnsi="Times New Roman" w:cs="Times New Roman"/>
          <w:b w:val="0"/>
          <w:bCs w:val="0"/>
          <w:color w:val="auto"/>
          <w:highlight w:val="none"/>
          <w:lang w:eastAsia="zh-CN"/>
        </w:rPr>
        <w:t>，</w:t>
      </w:r>
      <w:r>
        <w:rPr>
          <w:rFonts w:hint="default" w:ascii="Times New Roman" w:hAnsi="Times New Roman" w:cs="Times New Roman"/>
          <w:b w:val="0"/>
          <w:bCs w:val="0"/>
          <w:color w:val="auto"/>
          <w:highlight w:val="none"/>
        </w:rPr>
        <w:t>排水沟长127.675m</w:t>
      </w:r>
      <w:r>
        <w:rPr>
          <w:rFonts w:hint="default" w:ascii="Times New Roman" w:hAnsi="Times New Roman" w:cs="Times New Roman"/>
          <w:b w:val="0"/>
          <w:bCs w:val="0"/>
          <w:color w:val="auto"/>
          <w:highlight w:val="none"/>
          <w:lang w:eastAsia="zh-CN"/>
        </w:rPr>
        <w:t>，</w:t>
      </w:r>
      <w:r>
        <w:rPr>
          <w:rFonts w:hint="default" w:ascii="Times New Roman" w:hAnsi="Times New Roman" w:cs="Times New Roman"/>
          <w:b w:val="0"/>
          <w:bCs w:val="0"/>
          <w:color w:val="auto"/>
          <w:highlight w:val="none"/>
        </w:rPr>
        <w:t>土质明沟段长445.905m</w:t>
      </w:r>
      <w:r>
        <w:rPr>
          <w:rFonts w:hint="default" w:ascii="Times New Roman" w:hAnsi="Times New Roman" w:cs="Times New Roman"/>
          <w:b w:val="0"/>
          <w:bCs w:val="0"/>
          <w:color w:val="auto"/>
          <w:highlight w:val="none"/>
          <w:lang w:eastAsia="zh-CN"/>
        </w:rPr>
        <w:t>，</w:t>
      </w:r>
      <w:r>
        <w:rPr>
          <w:rFonts w:hint="default" w:ascii="Times New Roman" w:hAnsi="Times New Roman" w:cs="Times New Roman"/>
          <w:b w:val="0"/>
          <w:bCs w:val="0"/>
          <w:color w:val="auto"/>
          <w:highlight w:val="none"/>
        </w:rPr>
        <w:t>2-d2000m的钢筋砼管42m，1-3.0mx3.0m的箱涵长200m，d1800~d2200的钢筋砼管共493m（其中锦绣大道西侧非机动车道雨水管连接工程管线长度146m，锦绣大道（乐业大街南面）东侧、西侧非机动车道雨水管线长度347m）</w:t>
      </w:r>
      <w:r>
        <w:rPr>
          <w:rFonts w:hint="eastAsia" w:ascii="Times New Roman" w:hAnsi="Times New Roman" w:cs="Times New Roman"/>
          <w:b w:val="0"/>
          <w:bCs w:val="0"/>
          <w:color w:val="auto"/>
          <w:highlight w:val="none"/>
          <w:lang w:eastAsia="zh-CN"/>
        </w:rPr>
        <w:t>；（二）城市更新项目建设服务于金窝水库的排水水系改造段：拟建挡土墙892.16m，土堤护岸238.54m，临时排水土沟长134.45m，新建4根dn2200钢筋混凝土管共216m，2-5.5x5.0m过路箱涵71.105m，</w:t>
      </w:r>
      <w:r>
        <w:rPr>
          <w:rFonts w:hint="eastAsia" w:ascii="Times New Roman" w:cs="Times New Roman"/>
          <w:b w:val="0"/>
          <w:bCs w:val="0"/>
          <w:color w:val="auto"/>
          <w:highlight w:val="none"/>
          <w:lang w:eastAsia="zh-CN"/>
        </w:rPr>
        <w:t>曲绣路</w:t>
      </w:r>
      <w:r>
        <w:rPr>
          <w:rFonts w:hint="eastAsia" w:ascii="Times New Roman" w:hAnsi="Times New Roman" w:cs="Times New Roman"/>
          <w:b w:val="0"/>
          <w:bCs w:val="0"/>
          <w:color w:val="auto"/>
          <w:highlight w:val="none"/>
          <w:lang w:eastAsia="zh-CN"/>
        </w:rPr>
        <w:t>d800~d1200排水管道749m；（三）钦州港路排水工程：拟建排水管道d600~d800排水管道长309m，</w:t>
      </w:r>
      <w:r>
        <w:rPr>
          <w:rFonts w:hint="default" w:ascii="Times New Roman" w:hAnsi="Times New Roman" w:cs="Times New Roman"/>
          <w:color w:val="auto"/>
          <w:highlight w:val="none"/>
        </w:rPr>
        <w:t>项目施工工期拟定</w:t>
      </w:r>
      <w:r>
        <w:rPr>
          <w:rFonts w:hint="eastAsia" w:ascii="Times New Roman" w:hAnsi="Times New Roman" w:cs="Times New Roman"/>
          <w:color w:val="auto"/>
          <w:highlight w:val="none"/>
          <w:lang w:val="en-US" w:eastAsia="zh-CN"/>
        </w:rPr>
        <w:t>12</w:t>
      </w:r>
      <w:r>
        <w:rPr>
          <w:rFonts w:hint="default" w:ascii="Times New Roman" w:hAnsi="Times New Roman" w:cs="Times New Roman"/>
          <w:color w:val="auto"/>
          <w:highlight w:val="none"/>
        </w:rPr>
        <w:t>个月</w:t>
      </w:r>
      <w:r>
        <w:rPr>
          <w:rFonts w:hint="eastAsia" w:ascii="Times New Roman" w:hAnsi="Times New Roman" w:cs="Times New Roman"/>
          <w:color w:val="auto"/>
          <w:highlight w:val="none"/>
          <w:lang w:eastAsia="zh-CN"/>
        </w:rPr>
        <w:t>，</w:t>
      </w:r>
      <w:r>
        <w:rPr>
          <w:rFonts w:hint="eastAsia" w:ascii="Times New Roman" w:cs="Times New Roman"/>
          <w:color w:val="auto"/>
          <w:highlight w:val="none"/>
          <w:u w:val="single"/>
          <w:lang w:eastAsia="zh-CN"/>
        </w:rPr>
        <w:t>本项目于</w:t>
      </w:r>
      <w:r>
        <w:rPr>
          <w:rFonts w:hint="eastAsia" w:ascii="Times New Roman" w:cs="Times New Roman"/>
          <w:color w:val="auto"/>
          <w:highlight w:val="none"/>
          <w:u w:val="single"/>
          <w:lang w:val="en-US" w:eastAsia="zh-CN"/>
        </w:rPr>
        <w:t>2024年12月26正式开工，预计2025年12月完工，目前已完成锦绣大道部分雨水管铺设、</w:t>
      </w:r>
      <w:r>
        <w:rPr>
          <w:rFonts w:hint="default" w:ascii="Times New Roman" w:hAnsi="Times New Roman" w:cs="Times New Roman"/>
          <w:b w:val="0"/>
          <w:bCs w:val="0"/>
          <w:color w:val="auto"/>
          <w:highlight w:val="none"/>
          <w:u w:val="single"/>
        </w:rPr>
        <w:t>城市更新项目建设服务于金窝水库的排水水系改造段</w:t>
      </w:r>
      <w:r>
        <w:rPr>
          <w:rFonts w:hint="eastAsia" w:ascii="Times New Roman" w:cs="Times New Roman"/>
          <w:b w:val="0"/>
          <w:bCs w:val="0"/>
          <w:color w:val="auto"/>
          <w:highlight w:val="none"/>
          <w:u w:val="single"/>
          <w:lang w:eastAsia="zh-CN"/>
        </w:rPr>
        <w:t>起点处箱涵施工。</w:t>
      </w:r>
      <w:r>
        <w:rPr>
          <w:rFonts w:hint="eastAsia" w:ascii="Times New Roman" w:hAnsi="Times New Roman" w:cs="Times New Roman"/>
          <w:color w:val="auto"/>
          <w:highlight w:val="none"/>
          <w:u w:val="none"/>
          <w:lang w:eastAsia="zh-CN"/>
        </w:rPr>
        <w:t>施工高峰期施工人员为50人</w:t>
      </w:r>
      <w:r>
        <w:rPr>
          <w:rFonts w:hint="default" w:ascii="Times New Roman" w:hAnsi="Times New Roman" w:cs="Times New Roman"/>
          <w:color w:val="auto"/>
          <w:highlight w:val="none"/>
          <w:u w:val="none"/>
        </w:rPr>
        <w:t>。</w:t>
      </w:r>
    </w:p>
    <w:p w14:paraId="2A8FDD05">
      <w:pPr>
        <w:pStyle w:val="684"/>
        <w:ind w:firstLine="442"/>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本项目工程总投资为8912.20万元，</w:t>
      </w:r>
      <w:r>
        <w:rPr>
          <w:rFonts w:hint="default" w:ascii="Times New Roman" w:hAnsi="Times New Roman" w:cs="Times New Roman"/>
          <w:color w:val="auto"/>
          <w:highlight w:val="none"/>
          <w:u w:val="single"/>
        </w:rPr>
        <w:t>环保投资为</w:t>
      </w:r>
      <w:r>
        <w:rPr>
          <w:rFonts w:hint="eastAsia" w:ascii="Times New Roman" w:cs="Times New Roman"/>
          <w:color w:val="auto"/>
          <w:highlight w:val="none"/>
          <w:u w:val="single"/>
          <w:lang w:val="en-US" w:eastAsia="zh-CN"/>
        </w:rPr>
        <w:t>67.2</w:t>
      </w:r>
      <w:r>
        <w:rPr>
          <w:rFonts w:hint="default" w:ascii="Times New Roman" w:hAnsi="Times New Roman" w:cs="Times New Roman"/>
          <w:color w:val="auto"/>
          <w:highlight w:val="none"/>
          <w:u w:val="single"/>
        </w:rPr>
        <w:t>万元，环保投资占比</w:t>
      </w:r>
      <w:r>
        <w:rPr>
          <w:rFonts w:hint="eastAsia" w:ascii="Times New Roman" w:cs="Times New Roman"/>
          <w:color w:val="auto"/>
          <w:highlight w:val="none"/>
          <w:u w:val="single"/>
          <w:lang w:val="en-US" w:eastAsia="zh-CN"/>
        </w:rPr>
        <w:t>0.75</w:t>
      </w:r>
      <w:r>
        <w:rPr>
          <w:rFonts w:hint="default" w:ascii="Times New Roman" w:hAnsi="Times New Roman" w:cs="Times New Roman"/>
          <w:color w:val="auto"/>
          <w:highlight w:val="none"/>
          <w:u w:val="single"/>
        </w:rPr>
        <w:t>%。</w:t>
      </w:r>
    </w:p>
    <w:p w14:paraId="32436BF3">
      <w:pPr>
        <w:pStyle w:val="4"/>
        <w:numPr>
          <w:ilvl w:val="1"/>
          <w:numId w:val="50"/>
        </w:numPr>
        <w:bidi w:val="0"/>
        <w:ind w:left="678" w:leftChars="0" w:firstLine="0" w:firstLineChars="0"/>
        <w:rPr>
          <w:rFonts w:hint="default"/>
          <w:color w:val="auto"/>
          <w:highlight w:val="none"/>
        </w:rPr>
      </w:pPr>
      <w:bookmarkStart w:id="166" w:name="_Toc19347"/>
      <w:bookmarkStart w:id="167" w:name="_Toc149836175"/>
      <w:r>
        <w:rPr>
          <w:rFonts w:hint="default"/>
          <w:color w:val="auto"/>
          <w:highlight w:val="none"/>
        </w:rPr>
        <w:t>主要环境保护目标</w:t>
      </w:r>
      <w:bookmarkEnd w:id="166"/>
      <w:bookmarkEnd w:id="167"/>
    </w:p>
    <w:p w14:paraId="64121FDF">
      <w:pPr>
        <w:ind w:firstLine="484" w:firstLineChars="219"/>
        <w:rPr>
          <w:rFonts w:hint="default" w:ascii="Times New Roman" w:hAnsi="Times New Roman" w:cs="Times New Roman"/>
          <w:color w:val="auto"/>
          <w:highlight w:val="none"/>
        </w:rPr>
      </w:pPr>
      <w:r>
        <w:rPr>
          <w:rFonts w:hint="default" w:ascii="Times New Roman" w:hAnsi="Times New Roman" w:cs="Times New Roman"/>
          <w:color w:val="auto"/>
          <w:highlight w:val="none"/>
        </w:rPr>
        <w:t>（1）工程场址</w:t>
      </w:r>
      <w:r>
        <w:rPr>
          <w:rFonts w:hint="eastAsia" w:ascii="Times New Roman" w:hAnsi="Times New Roman" w:cs="Times New Roman"/>
          <w:color w:val="auto"/>
          <w:highlight w:val="none"/>
          <w:lang w:eastAsia="zh-CN"/>
        </w:rPr>
        <w:t>外</w:t>
      </w:r>
      <w:r>
        <w:rPr>
          <w:rFonts w:hint="eastAsia" w:ascii="Times New Roman" w:hAnsi="Times New Roman" w:cs="Times New Roman"/>
          <w:color w:val="auto"/>
          <w:highlight w:val="none"/>
          <w:lang w:val="en-US" w:eastAsia="zh-CN"/>
        </w:rPr>
        <w:t>500m</w:t>
      </w:r>
      <w:r>
        <w:rPr>
          <w:rFonts w:hint="default" w:ascii="Times New Roman" w:hAnsi="Times New Roman" w:cs="Times New Roman"/>
          <w:color w:val="auto"/>
          <w:highlight w:val="none"/>
        </w:rPr>
        <w:t>范围内分布大气环境敏感点</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rPr>
        <w:t>处，</w:t>
      </w:r>
      <w:r>
        <w:rPr>
          <w:rFonts w:hint="eastAsia" w:ascii="Times New Roman" w:hAnsi="Times New Roman" w:cs="Times New Roman"/>
          <w:color w:val="auto"/>
          <w:highlight w:val="none"/>
          <w:lang w:eastAsia="zh-CN"/>
        </w:rPr>
        <w:t>厂界外</w:t>
      </w:r>
      <w:r>
        <w:rPr>
          <w:rFonts w:hint="eastAsia" w:ascii="Times New Roman" w:hAnsi="Times New Roman" w:cs="Times New Roman"/>
          <w:color w:val="auto"/>
          <w:highlight w:val="none"/>
          <w:lang w:val="en-US" w:eastAsia="zh-CN"/>
        </w:rPr>
        <w:t>200m范围内</w:t>
      </w:r>
      <w:r>
        <w:rPr>
          <w:rFonts w:hint="default" w:ascii="Times New Roman" w:hAnsi="Times New Roman" w:cs="Times New Roman"/>
          <w:color w:val="auto"/>
          <w:highlight w:val="none"/>
        </w:rPr>
        <w:t>声环境敏感点</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处。评价范围内居民均</w:t>
      </w:r>
      <w:r>
        <w:rPr>
          <w:rFonts w:hint="default" w:ascii="Times New Roman" w:hAnsi="Times New Roman" w:cs="Times New Roman"/>
          <w:color w:val="auto"/>
          <w:highlight w:val="none"/>
          <w:lang w:eastAsia="zh-CN"/>
        </w:rPr>
        <w:t>饮用</w:t>
      </w:r>
      <w:r>
        <w:rPr>
          <w:rFonts w:hint="default" w:ascii="Times New Roman" w:hAnsi="Times New Roman" w:cs="Times New Roman"/>
          <w:color w:val="auto"/>
          <w:highlight w:val="none"/>
        </w:rPr>
        <w:t>城镇自来水。</w:t>
      </w:r>
    </w:p>
    <w:p w14:paraId="7A5C4C8C">
      <w:pPr>
        <w:ind w:firstLine="442" w:firstLineChars="200"/>
        <w:rPr>
          <w:rFonts w:hint="eastAsia"/>
          <w:color w:val="auto"/>
          <w:highlight w:val="none"/>
          <w:lang w:eastAsia="zh-CN"/>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2</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地表水环境目标为上游</w:t>
      </w:r>
      <w:r>
        <w:rPr>
          <w:rFonts w:hint="eastAsia" w:ascii="Times New Roman" w:hAnsi="Times New Roman" w:cs="Times New Roman"/>
          <w:color w:val="auto"/>
          <w:highlight w:val="none"/>
          <w:lang w:val="en-US" w:eastAsia="zh-CN"/>
        </w:rPr>
        <w:t>500</w:t>
      </w:r>
      <w:r>
        <w:rPr>
          <w:rFonts w:hint="default" w:ascii="Times New Roman" w:hAnsi="Times New Roman" w:cs="Times New Roman"/>
          <w:color w:val="auto"/>
          <w:highlight w:val="none"/>
        </w:rPr>
        <w:t>米至下游</w:t>
      </w:r>
      <w:r>
        <w:rPr>
          <w:rFonts w:hint="eastAsia" w:ascii="Times New Roman" w:hAnsi="Times New Roman" w:cs="Times New Roman"/>
          <w:color w:val="auto"/>
          <w:highlight w:val="none"/>
          <w:lang w:val="en-US" w:eastAsia="zh-CN"/>
        </w:rPr>
        <w:t>1.0</w:t>
      </w:r>
      <w:r>
        <w:rPr>
          <w:rFonts w:hint="default" w:ascii="Times New Roman" w:hAnsi="Times New Roman" w:cs="Times New Roman"/>
          <w:color w:val="auto"/>
          <w:highlight w:val="none"/>
        </w:rPr>
        <w:t>km的</w:t>
      </w:r>
      <w:r>
        <w:rPr>
          <w:rFonts w:hint="eastAsia" w:ascii="Times New Roman" w:hAnsi="Times New Roman" w:cs="Times New Roman"/>
          <w:color w:val="auto"/>
          <w:highlight w:val="none"/>
          <w:lang w:eastAsia="zh-CN"/>
        </w:rPr>
        <w:t>淡水湾江</w:t>
      </w:r>
      <w:r>
        <w:rPr>
          <w:rFonts w:hint="default" w:ascii="Times New Roman" w:hAnsi="Times New Roman" w:cs="Times New Roman"/>
          <w:color w:val="auto"/>
          <w:highlight w:val="none"/>
        </w:rPr>
        <w:t>水域，水质目标为</w:t>
      </w:r>
      <w:r>
        <w:rPr>
          <w:rFonts w:hint="eastAsia" w:ascii="Times New Roman" w:cs="Times New Roman"/>
          <w:color w:val="auto"/>
          <w:highlight w:val="none"/>
          <w:lang w:val="en-US" w:eastAsia="zh-CN"/>
        </w:rPr>
        <w:t>Ⅳ</w:t>
      </w:r>
      <w:r>
        <w:rPr>
          <w:rFonts w:hint="default" w:ascii="Times New Roman" w:hAnsi="Times New Roman" w:cs="Times New Roman"/>
          <w:color w:val="auto"/>
          <w:highlight w:val="none"/>
        </w:rPr>
        <w:t>类水质</w:t>
      </w:r>
      <w:r>
        <w:rPr>
          <w:rFonts w:hint="eastAsia" w:ascii="Times New Roman" w:hAnsi="Times New Roman" w:cs="Times New Roman"/>
          <w:color w:val="auto"/>
          <w:highlight w:val="none"/>
          <w:lang w:eastAsia="zh-CN"/>
        </w:rPr>
        <w:t>。</w:t>
      </w:r>
    </w:p>
    <w:p w14:paraId="0E327DE7">
      <w:pPr>
        <w:ind w:firstLine="442" w:firstLineChars="20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（3）调查期间评价河段内未发现保护、珍稀濒危鱼类。</w:t>
      </w:r>
    </w:p>
    <w:p w14:paraId="11A43871">
      <w:pPr>
        <w:pStyle w:val="4"/>
        <w:numPr>
          <w:ilvl w:val="1"/>
          <w:numId w:val="50"/>
        </w:numPr>
        <w:bidi w:val="0"/>
        <w:ind w:left="678" w:leftChars="0" w:firstLine="0" w:firstLineChars="0"/>
        <w:rPr>
          <w:rFonts w:hint="default"/>
          <w:color w:val="auto"/>
          <w:highlight w:val="none"/>
        </w:rPr>
      </w:pPr>
      <w:bookmarkStart w:id="168" w:name="_Toc257"/>
      <w:bookmarkStart w:id="169" w:name="_Toc149836176"/>
      <w:r>
        <w:rPr>
          <w:rFonts w:hint="default"/>
          <w:color w:val="auto"/>
          <w:highlight w:val="none"/>
        </w:rPr>
        <w:t>环境质量现状</w:t>
      </w:r>
      <w:bookmarkEnd w:id="168"/>
      <w:bookmarkEnd w:id="169"/>
    </w:p>
    <w:p w14:paraId="7B04443B">
      <w:pPr>
        <w:pStyle w:val="5"/>
        <w:numPr>
          <w:ilvl w:val="2"/>
          <w:numId w:val="50"/>
        </w:numPr>
        <w:bidi w:val="0"/>
        <w:ind w:left="452" w:leftChars="0" w:firstLine="0" w:firstLineChars="0"/>
        <w:rPr>
          <w:rFonts w:hint="default"/>
          <w:color w:val="auto"/>
          <w:highlight w:val="none"/>
        </w:rPr>
      </w:pPr>
      <w:r>
        <w:rPr>
          <w:rFonts w:hint="default"/>
          <w:color w:val="auto"/>
          <w:highlight w:val="none"/>
        </w:rPr>
        <w:t>生态环境质量现状</w:t>
      </w:r>
    </w:p>
    <w:p w14:paraId="304CF023">
      <w:pPr>
        <w:pStyle w:val="6"/>
        <w:numPr>
          <w:ilvl w:val="3"/>
          <w:numId w:val="50"/>
        </w:numPr>
        <w:bidi w:val="0"/>
        <w:ind w:left="0" w:leftChars="0" w:firstLine="0" w:firstLineChars="0"/>
        <w:rPr>
          <w:rFonts w:hint="default"/>
          <w:color w:val="auto"/>
          <w:highlight w:val="none"/>
        </w:rPr>
      </w:pPr>
      <w:r>
        <w:rPr>
          <w:rFonts w:hint="default"/>
          <w:color w:val="auto"/>
          <w:highlight w:val="none"/>
        </w:rPr>
        <w:t>陆域生态现状</w:t>
      </w:r>
    </w:p>
    <w:p w14:paraId="466DB85E">
      <w:pPr>
        <w:pStyle w:val="410"/>
        <w:rPr>
          <w:rFonts w:hint="default" w:ascii="Times New Roman" w:hAnsi="Times New Roman" w:cs="Times New Roman"/>
          <w:color w:val="auto"/>
          <w:highlight w:val="none"/>
        </w:rPr>
      </w:pPr>
      <w:r>
        <w:rPr>
          <w:rFonts w:hint="default" w:ascii="Times New Roman" w:hAnsi="Times New Roman" w:cs="Times New Roman"/>
          <w:b/>
          <w:bCs/>
          <w:color w:val="auto"/>
          <w:highlight w:val="none"/>
        </w:rPr>
        <w:t>植被：</w:t>
      </w:r>
      <w:r>
        <w:rPr>
          <w:rFonts w:hint="eastAsia" w:ascii="Times New Roman" w:hAnsi="Times New Roman" w:cs="Times New Roman"/>
          <w:b w:val="0"/>
          <w:bCs w:val="0"/>
          <w:color w:val="auto"/>
          <w:highlight w:val="none"/>
          <w:lang w:eastAsia="zh-CN"/>
        </w:rPr>
        <w:t>项目</w:t>
      </w:r>
      <w:r>
        <w:rPr>
          <w:rFonts w:hint="default" w:ascii="Times New Roman" w:hAnsi="Times New Roman" w:cs="Times New Roman"/>
          <w:b w:val="0"/>
          <w:bCs w:val="0"/>
          <w:color w:val="auto"/>
          <w:highlight w:val="none"/>
        </w:rPr>
        <w:t>所</w:t>
      </w:r>
      <w:r>
        <w:rPr>
          <w:rFonts w:hint="default" w:ascii="Times New Roman" w:hAnsi="Times New Roman" w:cs="Times New Roman"/>
          <w:color w:val="auto"/>
          <w:highlight w:val="none"/>
        </w:rPr>
        <w:t>在区域属农田生态系统，生态系统敏感程度较低，项目厂区内用地类型主要为耕地和农田，自然植被覆盖率较低，陆域评价范围内自然植被以暖性灌丛为主，主要分布在周边未利用荒地和村道路边。常见灌木物种有</w:t>
      </w:r>
      <w:r>
        <w:rPr>
          <w:rFonts w:hint="default" w:ascii="Times New Roman" w:hAnsi="Times New Roman" w:cs="Times New Roman"/>
          <w:color w:val="auto"/>
          <w:highlight w:val="none"/>
          <w:lang w:eastAsia="zh-CN"/>
        </w:rPr>
        <w:t>桃金娘</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芒萁</w:t>
      </w:r>
      <w:r>
        <w:rPr>
          <w:rFonts w:hint="default" w:ascii="Times New Roman" w:hAnsi="Times New Roman" w:cs="Times New Roman"/>
          <w:color w:val="auto"/>
          <w:highlight w:val="none"/>
        </w:rPr>
        <w:t>等，常见草本植物有</w:t>
      </w:r>
      <w:r>
        <w:rPr>
          <w:rFonts w:hint="default" w:ascii="Times New Roman" w:hAnsi="Times New Roman" w:cs="Times New Roman"/>
          <w:color w:val="auto"/>
          <w:highlight w:val="none"/>
          <w:lang w:eastAsia="zh-CN"/>
        </w:rPr>
        <w:t>鹧鸪草</w:t>
      </w:r>
      <w:r>
        <w:rPr>
          <w:rFonts w:hint="default" w:ascii="Times New Roman" w:hAnsi="Times New Roman" w:cs="Times New Roman"/>
          <w:color w:val="auto"/>
          <w:highlight w:val="none"/>
        </w:rPr>
        <w:t>等，用地范围有三叶鬼针草</w:t>
      </w:r>
      <w:r>
        <w:rPr>
          <w:rFonts w:hint="default" w:ascii="Times New Roman" w:hAnsi="Times New Roman" w:cs="Times New Roman"/>
          <w:color w:val="auto"/>
          <w:highlight w:val="none"/>
          <w:lang w:eastAsia="zh-CN"/>
        </w:rPr>
        <w:t>、马缨丹</w:t>
      </w:r>
      <w:r>
        <w:rPr>
          <w:rFonts w:hint="default" w:ascii="Times New Roman" w:hAnsi="Times New Roman" w:cs="Times New Roman"/>
          <w:color w:val="auto"/>
          <w:highlight w:val="none"/>
        </w:rPr>
        <w:t>入侵情况，入侵趋势一般。现场调查期间，在评价区没有发现珍稀濒危野生植物和古树名木。</w:t>
      </w:r>
    </w:p>
    <w:p w14:paraId="480A3B5A">
      <w:pPr>
        <w:pStyle w:val="410"/>
        <w:rPr>
          <w:rFonts w:hint="default" w:ascii="Times New Roman" w:hAnsi="Times New Roman" w:cs="Times New Roman"/>
          <w:color w:val="auto"/>
          <w:highlight w:val="none"/>
        </w:rPr>
      </w:pPr>
      <w:r>
        <w:rPr>
          <w:rFonts w:hint="default" w:ascii="Times New Roman" w:hAnsi="Times New Roman" w:cs="Times New Roman"/>
          <w:b/>
          <w:bCs/>
          <w:color w:val="auto"/>
          <w:highlight w:val="none"/>
          <w:u w:val="none"/>
        </w:rPr>
        <w:t>动物：</w:t>
      </w:r>
      <w:r>
        <w:rPr>
          <w:rFonts w:hint="default" w:ascii="Times New Roman" w:hAnsi="Times New Roman" w:cs="Times New Roman"/>
          <w:color w:val="auto"/>
          <w:highlight w:val="none"/>
          <w:u w:val="none"/>
        </w:rPr>
        <w:t>评价区处于人类活动频繁地区，陆生野生动物较少，野生动物主要为与人类活动密切的各种常见两栖类、爬行类、哺乳类等，两栖类以蛙类为主，哺乳类以啮齿类动物为主。</w:t>
      </w:r>
    </w:p>
    <w:p w14:paraId="18C41C06">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rPr>
        <w:t>调查期间未发现自治区级、国家级重点保护野生动物、濒危物种等重点保护野生动物。</w:t>
      </w:r>
    </w:p>
    <w:p w14:paraId="0DF4C8C6">
      <w:pPr>
        <w:pStyle w:val="6"/>
        <w:numPr>
          <w:ilvl w:val="3"/>
          <w:numId w:val="50"/>
        </w:numPr>
        <w:bidi w:val="0"/>
        <w:ind w:left="0" w:leftChars="0" w:firstLine="0" w:firstLineChars="0"/>
        <w:rPr>
          <w:rFonts w:hint="default"/>
          <w:color w:val="auto"/>
          <w:highlight w:val="none"/>
        </w:rPr>
      </w:pPr>
      <w:r>
        <w:rPr>
          <w:rFonts w:hint="default"/>
          <w:color w:val="auto"/>
          <w:highlight w:val="none"/>
        </w:rPr>
        <w:t>水生生态现状</w:t>
      </w:r>
    </w:p>
    <w:p w14:paraId="5D08AD45">
      <w:pPr>
        <w:pStyle w:val="410"/>
        <w:rPr>
          <w:rFonts w:hint="eastAsia" w:ascii="Times New Roman" w:cs="Times New Roman"/>
          <w:color w:val="auto"/>
          <w:highlight w:val="none"/>
          <w:lang w:eastAsia="zh-CN"/>
        </w:rPr>
      </w:pPr>
      <w:r>
        <w:rPr>
          <w:rFonts w:hint="eastAsia" w:ascii="Times New Roman" w:cs="Times New Roman"/>
          <w:color w:val="auto"/>
          <w:highlight w:val="none"/>
          <w:lang w:eastAsia="zh-CN"/>
        </w:rPr>
        <w:t>项目区域流域面积较小，受周边人类活动影响，区域水生生态浮游动物、浮游植物、底栖生物、鱼类种类较少。</w:t>
      </w:r>
    </w:p>
    <w:p w14:paraId="4EBD7E73">
      <w:pPr>
        <w:pStyle w:val="410"/>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eastAsia="zh-CN"/>
        </w:rPr>
        <w:t>根据现场勘查和历史调查资料，评价河段无有国家或广西重点保护的鱼类，无列入《中国生物多样性红色名录》名录的易危（VU）以上鱼类，无列入《中国生物多样性红色名录》特有鱼类。</w:t>
      </w:r>
    </w:p>
    <w:p w14:paraId="01600448">
      <w:pPr>
        <w:pStyle w:val="5"/>
        <w:numPr>
          <w:ilvl w:val="2"/>
          <w:numId w:val="50"/>
        </w:numPr>
        <w:bidi w:val="0"/>
        <w:ind w:left="452" w:leftChars="0" w:firstLine="0" w:firstLineChars="0"/>
        <w:rPr>
          <w:rFonts w:hint="default"/>
          <w:color w:val="auto"/>
          <w:highlight w:val="none"/>
        </w:rPr>
      </w:pPr>
      <w:r>
        <w:rPr>
          <w:rFonts w:hint="default"/>
          <w:color w:val="auto"/>
          <w:highlight w:val="none"/>
        </w:rPr>
        <w:t>大气环境质量现状</w:t>
      </w:r>
    </w:p>
    <w:p w14:paraId="025A3FCD">
      <w:pPr>
        <w:pStyle w:val="41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根据广西壮族自治区生态环境厅</w:t>
      </w:r>
      <w:r>
        <w:rPr>
          <w:rFonts w:hint="default" w:ascii="Times New Roman" w:hAnsi="Times New Roman" w:eastAsia="宋体" w:cs="Times New Roman"/>
          <w:color w:val="auto"/>
          <w:highlight w:val="none"/>
          <w:u w:val="single"/>
          <w:lang w:val="en-US" w:eastAsia="zh-CN"/>
        </w:rPr>
        <w:t>《自治区生态环境厅关于通报</w:t>
      </w:r>
      <w:r>
        <w:rPr>
          <w:rFonts w:hint="eastAsia" w:ascii="Times New Roman" w:cs="Times New Roman"/>
          <w:color w:val="auto"/>
          <w:highlight w:val="none"/>
          <w:u w:val="single"/>
          <w:lang w:val="en-US" w:eastAsia="zh-CN"/>
        </w:rPr>
        <w:t>2024</w:t>
      </w:r>
      <w:r>
        <w:rPr>
          <w:rFonts w:hint="default" w:ascii="Times New Roman" w:hAnsi="Times New Roman" w:eastAsia="宋体" w:cs="Times New Roman"/>
          <w:color w:val="auto"/>
          <w:highlight w:val="none"/>
          <w:u w:val="single"/>
          <w:lang w:val="en-US" w:eastAsia="zh-CN"/>
        </w:rPr>
        <w:t>年设区城市及各县（市、区）环境空气质量的函》（桂环函〔</w:t>
      </w:r>
      <w:r>
        <w:rPr>
          <w:rFonts w:hint="eastAsia" w:ascii="Times New Roman" w:cs="Times New Roman"/>
          <w:color w:val="auto"/>
          <w:highlight w:val="none"/>
          <w:u w:val="single"/>
          <w:lang w:val="en-US" w:eastAsia="zh-CN"/>
        </w:rPr>
        <w:t>2025</w:t>
      </w:r>
      <w:r>
        <w:rPr>
          <w:rFonts w:hint="default" w:ascii="Times New Roman" w:hAnsi="Times New Roman" w:eastAsia="宋体" w:cs="Times New Roman"/>
          <w:color w:val="auto"/>
          <w:highlight w:val="none"/>
          <w:u w:val="single"/>
          <w:lang w:val="en-US" w:eastAsia="zh-CN"/>
        </w:rPr>
        <w:t>〕</w:t>
      </w:r>
      <w:r>
        <w:rPr>
          <w:rFonts w:hint="eastAsia" w:ascii="Times New Roman" w:cs="Times New Roman"/>
          <w:color w:val="auto"/>
          <w:highlight w:val="none"/>
          <w:u w:val="single"/>
          <w:lang w:val="en-US" w:eastAsia="zh-CN"/>
        </w:rPr>
        <w:t>66</w:t>
      </w:r>
      <w:r>
        <w:rPr>
          <w:rFonts w:hint="default" w:ascii="Times New Roman" w:hAnsi="Times New Roman" w:eastAsia="宋体" w:cs="Times New Roman"/>
          <w:color w:val="auto"/>
          <w:highlight w:val="none"/>
          <w:u w:val="single"/>
          <w:lang w:val="en-US" w:eastAsia="zh-CN"/>
        </w:rPr>
        <w:t>号）</w:t>
      </w:r>
      <w:r>
        <w:rPr>
          <w:rFonts w:hint="default" w:ascii="Times New Roman" w:hAnsi="Times New Roman" w:eastAsia="宋体" w:cs="Times New Roman"/>
          <w:color w:val="auto"/>
          <w:highlight w:val="none"/>
          <w:lang w:val="en-US" w:eastAsia="zh-CN"/>
        </w:rPr>
        <w:t>，项目所在区域钦州市SO</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、NO</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、PM</w:t>
      </w:r>
      <w:r>
        <w:rPr>
          <w:rFonts w:hint="default" w:ascii="Times New Roman" w:hAnsi="Times New Roman" w:eastAsia="宋体" w:cs="Times New Roman"/>
          <w:color w:val="auto"/>
          <w:highlight w:val="none"/>
          <w:vertAlign w:val="subscript"/>
          <w:lang w:val="en-US" w:eastAsia="zh-CN"/>
        </w:rPr>
        <w:t>10</w:t>
      </w:r>
      <w:r>
        <w:rPr>
          <w:rFonts w:hint="default" w:ascii="Times New Roman" w:hAnsi="Times New Roman" w:eastAsia="宋体" w:cs="Times New Roman"/>
          <w:color w:val="auto"/>
          <w:highlight w:val="none"/>
          <w:lang w:val="en-US" w:eastAsia="zh-CN"/>
        </w:rPr>
        <w:t>、PM</w:t>
      </w:r>
      <w:r>
        <w:rPr>
          <w:rFonts w:hint="default" w:ascii="Times New Roman" w:hAnsi="Times New Roman" w:eastAsia="宋体" w:cs="Times New Roman"/>
          <w:color w:val="auto"/>
          <w:highlight w:val="none"/>
          <w:vertAlign w:val="subscript"/>
          <w:lang w:val="en-US" w:eastAsia="zh-CN"/>
        </w:rPr>
        <w:t>2.5</w:t>
      </w:r>
      <w:r>
        <w:rPr>
          <w:rFonts w:hint="default" w:ascii="Times New Roman" w:hAnsi="Times New Roman" w:eastAsia="宋体" w:cs="Times New Roman"/>
          <w:color w:val="auto"/>
          <w:highlight w:val="none"/>
          <w:lang w:val="en-US" w:eastAsia="zh-CN"/>
        </w:rPr>
        <w:t>、CO、O</w:t>
      </w:r>
      <w:r>
        <w:rPr>
          <w:rFonts w:hint="default" w:ascii="Times New Roman" w:hAnsi="Times New Roman" w:eastAsia="宋体" w:cs="Times New Roman"/>
          <w:color w:val="auto"/>
          <w:highlight w:val="none"/>
          <w:vertAlign w:val="subscript"/>
          <w:lang w:val="en-US" w:eastAsia="zh-CN"/>
        </w:rPr>
        <w:t>3</w:t>
      </w:r>
      <w:r>
        <w:rPr>
          <w:rFonts w:hint="default" w:ascii="Times New Roman" w:hAnsi="Times New Roman" w:eastAsia="宋体" w:cs="Times New Roman"/>
          <w:color w:val="auto"/>
          <w:highlight w:val="none"/>
          <w:lang w:val="en-US" w:eastAsia="zh-CN"/>
        </w:rPr>
        <w:t>环境质量现状均满足《环境空气质量标准》（GB3095-2012）中的二级标准，项目区域环境空气质量为达标区。</w:t>
      </w:r>
    </w:p>
    <w:p w14:paraId="47D9AB7E">
      <w:pPr>
        <w:pStyle w:val="5"/>
        <w:numPr>
          <w:ilvl w:val="2"/>
          <w:numId w:val="50"/>
        </w:numPr>
        <w:bidi w:val="0"/>
        <w:ind w:left="452" w:leftChars="0" w:firstLine="0" w:firstLineChars="0"/>
        <w:rPr>
          <w:rFonts w:hint="default"/>
          <w:color w:val="auto"/>
          <w:highlight w:val="none"/>
        </w:rPr>
      </w:pPr>
      <w:r>
        <w:rPr>
          <w:rFonts w:hint="default"/>
          <w:color w:val="auto"/>
          <w:highlight w:val="none"/>
        </w:rPr>
        <w:t>地表水环境质量现状</w:t>
      </w:r>
    </w:p>
    <w:p w14:paraId="204C8E33">
      <w:pPr>
        <w:pStyle w:val="41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highlight w:val="none"/>
          <w:lang w:val="en-US" w:eastAsia="zh-CN"/>
        </w:rPr>
        <w:t>本次评价</w:t>
      </w:r>
      <w:r>
        <w:rPr>
          <w:rFonts w:hint="eastAsia" w:ascii="Times New Roman" w:cs="Times New Roman"/>
          <w:color w:val="auto"/>
          <w:highlight w:val="none"/>
          <w:lang w:val="en-US" w:eastAsia="zh-CN"/>
        </w:rPr>
        <w:t>位于</w:t>
      </w:r>
      <w:r>
        <w:rPr>
          <w:rFonts w:hint="eastAsia" w:ascii="Times New Roman" w:hAnsi="Times New Roman" w:eastAsia="宋体" w:cs="Times New Roman"/>
          <w:color w:val="auto"/>
          <w:highlight w:val="none"/>
          <w:lang w:val="en-US" w:eastAsia="zh-CN"/>
        </w:rPr>
        <w:t>项目评价河段设置</w:t>
      </w:r>
      <w:r>
        <w:rPr>
          <w:rFonts w:hint="default" w:ascii="Times New Roman" w:hAnsi="Times New Roman" w:eastAsia="宋体" w:cs="Times New Roman"/>
          <w:color w:val="auto"/>
          <w:highlight w:val="none"/>
          <w:lang w:val="en-US" w:eastAsia="zh-CN"/>
        </w:rPr>
        <w:t>W1项目上游500m</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W2项目所在位置</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W3项目下游交汇处</w:t>
      </w:r>
      <w:r>
        <w:rPr>
          <w:rFonts w:hint="eastAsia" w:ascii="Times New Roman" w:cs="Times New Roman"/>
          <w:color w:val="auto"/>
          <w:highlight w:val="none"/>
          <w:lang w:val="en-US" w:eastAsia="zh-CN"/>
        </w:rPr>
        <w:t>，共计</w:t>
      </w:r>
      <w:r>
        <w:rPr>
          <w:rFonts w:hint="eastAsia" w:ascii="Times New Roman" w:hAnsi="Times New Roman" w:eastAsia="宋体" w:cs="Times New Roman"/>
          <w:color w:val="auto"/>
          <w:highlight w:val="none"/>
          <w:lang w:val="en-US" w:eastAsia="zh-CN"/>
        </w:rPr>
        <w:t>3个监测断面，</w:t>
      </w:r>
      <w:r>
        <w:rPr>
          <w:rFonts w:hint="eastAsia" w:ascii="Times New Roman" w:cs="Times New Roman"/>
          <w:color w:val="auto"/>
          <w:highlight w:val="none"/>
          <w:lang w:val="en-US" w:eastAsia="zh-CN"/>
        </w:rPr>
        <w:t>根据监测结果，</w:t>
      </w:r>
      <w:r>
        <w:rPr>
          <w:rFonts w:hint="eastAsia" w:ascii="Times New Roman" w:hAnsi="Times New Roman" w:eastAsia="宋体" w:cs="Times New Roman"/>
          <w:color w:val="auto"/>
          <w:sz w:val="24"/>
          <w:szCs w:val="24"/>
          <w:highlight w:val="none"/>
          <w:lang w:val="en-US" w:eastAsia="zh-CN"/>
        </w:rPr>
        <w:t>各监测</w:t>
      </w:r>
      <w:r>
        <w:rPr>
          <w:rFonts w:hint="eastAsia" w:ascii="Times New Roman" w:cs="Times New Roman"/>
          <w:color w:val="auto"/>
          <w:sz w:val="24"/>
          <w:szCs w:val="24"/>
          <w:highlight w:val="none"/>
          <w:lang w:val="en-US" w:eastAsia="zh-CN"/>
        </w:rPr>
        <w:t>断面中</w:t>
      </w:r>
      <w:r>
        <w:rPr>
          <w:rFonts w:hint="eastAsia" w:ascii="Times New Roman" w:hAnsi="Times New Roman" w:eastAsia="宋体" w:cs="Times New Roman"/>
          <w:color w:val="auto"/>
          <w:sz w:val="24"/>
          <w:szCs w:val="24"/>
          <w:highlight w:val="none"/>
          <w:lang w:val="en-US" w:eastAsia="zh-CN"/>
        </w:rPr>
        <w:t>监测因子pH值、阴离子表面活性剂、石油类、总磷均能达到</w:t>
      </w:r>
      <w:r>
        <w:rPr>
          <w:rFonts w:hint="default" w:cs="Times New Roman"/>
          <w:color w:val="auto"/>
          <w:sz w:val="24"/>
          <w:szCs w:val="24"/>
          <w:highlight w:val="none"/>
        </w:rPr>
        <w:t>《地表水环境质量标准</w:t>
      </w:r>
      <w:r>
        <w:rPr>
          <w:rFonts w:hint="default" w:ascii="Times New Roman" w:hAnsi="Times New Roman" w:eastAsia="宋体" w:cs="Times New Roman"/>
          <w:color w:val="auto"/>
          <w:highlight w:val="none"/>
          <w:lang w:val="en-US" w:eastAsia="zh-CN"/>
        </w:rPr>
        <w:t>》（GB3838-2002）III类标准</w:t>
      </w:r>
      <w:r>
        <w:rPr>
          <w:rFonts w:hint="eastAsia" w:cs="Times New Roman"/>
          <w:color w:val="auto"/>
          <w:sz w:val="24"/>
          <w:szCs w:val="24"/>
          <w:highlight w:val="none"/>
          <w:lang w:eastAsia="zh-CN"/>
        </w:rPr>
        <w:t>限值要求，</w:t>
      </w:r>
      <w:r>
        <w:rPr>
          <w:rFonts w:hint="eastAsia" w:ascii="Times New Roman" w:hAnsi="Times New Roman" w:eastAsia="宋体" w:cs="Times New Roman"/>
          <w:color w:val="auto"/>
          <w:sz w:val="24"/>
          <w:szCs w:val="24"/>
          <w:highlight w:val="none"/>
          <w:lang w:val="en-US" w:eastAsia="zh-CN"/>
        </w:rPr>
        <w:t>化学需氧量、五日生化需氧量、氨氮、总氮存在不同程度超标，地表水环境质量一般。</w:t>
      </w:r>
    </w:p>
    <w:p w14:paraId="1920EEF3">
      <w:pPr>
        <w:pStyle w:val="410"/>
        <w:jc w:val="both"/>
        <w:rPr>
          <w:rFonts w:hint="default" w:ascii="Times New Roman" w:hAnsi="Times New Roman" w:eastAsia="宋体" w:cs="Times New Roman"/>
          <w:color w:val="auto"/>
          <w:highlight w:val="none"/>
          <w:lang w:val="en-US" w:eastAsia="zh-CN"/>
        </w:rPr>
      </w:pPr>
      <w:r>
        <w:rPr>
          <w:rFonts w:hint="eastAsia" w:ascii="Times New Roman" w:cs="Times New Roman"/>
          <w:color w:val="auto"/>
          <w:sz w:val="24"/>
          <w:szCs w:val="24"/>
          <w:highlight w:val="none"/>
          <w:lang w:val="en-US" w:eastAsia="zh-CN"/>
        </w:rPr>
        <w:t>超标原因可能为</w:t>
      </w:r>
      <w:r>
        <w:rPr>
          <w:rFonts w:hint="eastAsia" w:ascii="宋体" w:hAnsi="宋体" w:eastAsia="宋体" w:cs="宋体"/>
          <w:b w:val="0"/>
          <w:bCs w:val="0"/>
          <w:color w:val="auto"/>
          <w:sz w:val="24"/>
          <w:szCs w:val="24"/>
          <w:highlight w:val="none"/>
        </w:rPr>
        <w:t>农业污染源及农村生活污染源导致，如农业生产施用的化肥进入农田、土地等，营养盐不能完全被农作物吸收，残留部分随着地表径流进入水体</w:t>
      </w:r>
      <w:r>
        <w:rPr>
          <w:rFonts w:hint="eastAsia" w:hAnsi="宋体" w:cs="宋体"/>
          <w:b w:val="0"/>
          <w:bCs w:val="0"/>
          <w:color w:val="auto"/>
          <w:sz w:val="24"/>
          <w:szCs w:val="24"/>
          <w:highlight w:val="none"/>
          <w:lang w:eastAsia="zh-CN"/>
        </w:rPr>
        <w:t>，</w:t>
      </w:r>
      <w:r>
        <w:rPr>
          <w:rFonts w:hint="eastAsia" w:hAnsi="宋体" w:cs="宋体"/>
          <w:b w:val="0"/>
          <w:bCs w:val="0"/>
          <w:color w:val="auto"/>
          <w:sz w:val="24"/>
          <w:szCs w:val="24"/>
          <w:highlight w:val="none"/>
          <w:lang w:val="en-US" w:eastAsia="zh-CN"/>
        </w:rPr>
        <w:t>周边村民养殖的鸭、鹅等畜禽活动，周边池塘养殖区养殖水流入地表水</w:t>
      </w:r>
      <w:r>
        <w:rPr>
          <w:rFonts w:hint="eastAsia" w:ascii="宋体" w:hAnsi="宋体" w:eastAsia="宋体" w:cs="宋体"/>
          <w:b w:val="0"/>
          <w:bCs w:val="0"/>
          <w:color w:val="auto"/>
          <w:sz w:val="24"/>
          <w:szCs w:val="24"/>
          <w:highlight w:val="none"/>
        </w:rPr>
        <w:t>；农村生活污染主要是生活中产生的污水、垃圾、人畜粪便排放到周围农田、沟渠，污染物经地表径流部分进入水体，导致超标。</w:t>
      </w:r>
    </w:p>
    <w:p w14:paraId="63C502FE">
      <w:pPr>
        <w:pStyle w:val="5"/>
        <w:numPr>
          <w:ilvl w:val="2"/>
          <w:numId w:val="50"/>
        </w:numPr>
        <w:bidi w:val="0"/>
        <w:ind w:left="452" w:leftChars="0" w:firstLine="0" w:firstLineChars="0"/>
        <w:rPr>
          <w:rFonts w:hint="default"/>
          <w:color w:val="auto"/>
          <w:highlight w:val="none"/>
        </w:rPr>
      </w:pPr>
      <w:r>
        <w:rPr>
          <w:rFonts w:hint="eastAsia"/>
          <w:color w:val="auto"/>
          <w:highlight w:val="none"/>
          <w:lang w:eastAsia="zh-CN"/>
        </w:rPr>
        <w:t>地下水环境质量现状</w:t>
      </w:r>
    </w:p>
    <w:p w14:paraId="6D768F87">
      <w:pPr>
        <w:pStyle w:val="410"/>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highlight w:val="none"/>
          <w:lang w:val="en-US" w:eastAsia="zh-CN"/>
        </w:rPr>
        <w:t>本次评价</w:t>
      </w:r>
      <w:r>
        <w:rPr>
          <w:rFonts w:hint="default" w:ascii="Times New Roman" w:hAnsi="Times New Roman" w:cs="Times New Roman"/>
          <w:color w:val="auto"/>
          <w:highlight w:val="none"/>
          <w:lang w:val="en-US" w:eastAsia="zh-CN"/>
        </w:rPr>
        <w:t>共布设G1</w:t>
      </w:r>
      <w:r>
        <w:rPr>
          <w:rFonts w:hint="default" w:ascii="Times New Roman" w:hAnsi="Times New Roman" w:cs="Times New Roman"/>
          <w:color w:val="auto"/>
          <w:highlight w:val="none"/>
          <w:lang w:val="en-US" w:eastAsia="zh-CN"/>
        </w:rPr>
        <w:tab/>
      </w:r>
      <w:r>
        <w:rPr>
          <w:rFonts w:hint="default" w:ascii="Times New Roman" w:hAnsi="Times New Roman" w:cs="Times New Roman"/>
          <w:color w:val="auto"/>
          <w:highlight w:val="none"/>
          <w:lang w:val="en-US" w:eastAsia="zh-CN"/>
        </w:rPr>
        <w:t>苦竹坑村、G2</w:t>
      </w:r>
      <w:r>
        <w:rPr>
          <w:rFonts w:hint="default" w:ascii="Times New Roman" w:hAnsi="Times New Roman" w:cs="Times New Roman"/>
          <w:color w:val="auto"/>
          <w:highlight w:val="none"/>
          <w:lang w:val="en-US" w:eastAsia="zh-CN"/>
        </w:rPr>
        <w:tab/>
      </w:r>
      <w:r>
        <w:rPr>
          <w:rFonts w:hint="default" w:ascii="Times New Roman" w:hAnsi="Times New Roman" w:cs="Times New Roman"/>
          <w:color w:val="auto"/>
          <w:highlight w:val="none"/>
          <w:lang w:val="en-US" w:eastAsia="zh-CN"/>
        </w:rPr>
        <w:t>大岭脚村、G3</w:t>
      </w:r>
      <w:r>
        <w:rPr>
          <w:rFonts w:hint="default" w:ascii="Times New Roman" w:hAnsi="Times New Roman" w:cs="Times New Roman"/>
          <w:color w:val="auto"/>
          <w:highlight w:val="none"/>
          <w:lang w:val="en-US" w:eastAsia="zh-CN"/>
        </w:rPr>
        <w:tab/>
      </w:r>
      <w:r>
        <w:rPr>
          <w:rFonts w:hint="default" w:ascii="Times New Roman" w:hAnsi="Times New Roman" w:cs="Times New Roman"/>
          <w:color w:val="auto"/>
          <w:highlight w:val="none"/>
          <w:lang w:val="en-US" w:eastAsia="zh-CN"/>
        </w:rPr>
        <w:t>淡水湾村、G4</w:t>
      </w:r>
      <w:r>
        <w:rPr>
          <w:rFonts w:hint="default" w:ascii="Times New Roman" w:hAnsi="Times New Roman" w:cs="Times New Roman"/>
          <w:color w:val="auto"/>
          <w:highlight w:val="none"/>
          <w:lang w:val="en-US" w:eastAsia="zh-CN"/>
        </w:rPr>
        <w:tab/>
      </w:r>
      <w:r>
        <w:rPr>
          <w:rFonts w:hint="default" w:ascii="Times New Roman" w:hAnsi="Times New Roman" w:cs="Times New Roman"/>
          <w:color w:val="auto"/>
          <w:highlight w:val="none"/>
          <w:lang w:val="en-US" w:eastAsia="zh-CN"/>
        </w:rPr>
        <w:t>松柏港村、G5</w:t>
      </w:r>
      <w:r>
        <w:rPr>
          <w:rFonts w:hint="default" w:ascii="Times New Roman" w:hAnsi="Times New Roman" w:cs="Times New Roman"/>
          <w:color w:val="auto"/>
          <w:highlight w:val="none"/>
          <w:lang w:val="en-US" w:eastAsia="zh-CN"/>
        </w:rPr>
        <w:tab/>
      </w:r>
      <w:r>
        <w:rPr>
          <w:rFonts w:hint="default" w:ascii="Times New Roman" w:hAnsi="Times New Roman" w:cs="Times New Roman"/>
          <w:color w:val="auto"/>
          <w:highlight w:val="none"/>
          <w:lang w:val="en-US" w:eastAsia="zh-CN"/>
        </w:rPr>
        <w:t>新村、G6</w:t>
      </w:r>
      <w:r>
        <w:rPr>
          <w:rFonts w:hint="default" w:ascii="Times New Roman" w:hAnsi="Times New Roman" w:cs="Times New Roman"/>
          <w:color w:val="auto"/>
          <w:highlight w:val="none"/>
          <w:lang w:val="en-US" w:eastAsia="zh-CN"/>
        </w:rPr>
        <w:tab/>
      </w:r>
      <w:r>
        <w:rPr>
          <w:rFonts w:hint="default" w:ascii="Times New Roman" w:hAnsi="Times New Roman" w:cs="Times New Roman"/>
          <w:color w:val="auto"/>
          <w:highlight w:val="none"/>
          <w:lang w:val="en-US" w:eastAsia="zh-CN"/>
        </w:rPr>
        <w:t>鸡墩头村，共计6个监测点位，G4~G6仅记录地下水井位，水深情况。根据监测结果，G1</w:t>
      </w:r>
      <w:r>
        <w:rPr>
          <w:rFonts w:hint="default" w:ascii="Times New Roman" w:hAnsi="Times New Roman" w:cs="Times New Roman"/>
          <w:color w:val="auto"/>
          <w:highlight w:val="none"/>
          <w:lang w:val="en-US" w:eastAsia="zh-CN"/>
        </w:rPr>
        <w:tab/>
      </w:r>
      <w:r>
        <w:rPr>
          <w:rFonts w:hint="default" w:ascii="Times New Roman" w:hAnsi="Times New Roman" w:cs="Times New Roman"/>
          <w:color w:val="auto"/>
          <w:highlight w:val="none"/>
          <w:lang w:val="en-US" w:eastAsia="zh-CN"/>
        </w:rPr>
        <w:t>~G3</w:t>
      </w:r>
      <w:r>
        <w:rPr>
          <w:rFonts w:hint="default" w:ascii="Times New Roman" w:hAnsi="Times New Roman" w:cs="Times New Roman"/>
          <w:color w:val="auto"/>
          <w:highlight w:val="none"/>
          <w:lang w:val="en-US" w:eastAsia="zh-CN"/>
        </w:rPr>
        <w:tab/>
      </w:r>
      <w:r>
        <w:rPr>
          <w:rFonts w:hint="default" w:ascii="Times New Roman" w:hAnsi="Times New Roman" w:cs="Times New Roman"/>
          <w:color w:val="auto"/>
          <w:highlight w:val="none"/>
          <w:lang w:val="en-US" w:eastAsia="zh-CN"/>
        </w:rPr>
        <w:t>监测点位中监测因子pH值、氨氮、硝酸盐、亚硝酸盐、挥发酚、砷、汞、六价铬、总硬度、铅、镉、铁、锰、溶解性总固体、高锰酸盐指数（以O</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lang w:val="en-US" w:eastAsia="zh-CN"/>
        </w:rPr>
        <w:t>计）、总大肠菌群均满足《地下水质量标准》（GB/T14848-2017）Ⅲ类标准，地下水环境质量良好。</w:t>
      </w:r>
    </w:p>
    <w:p w14:paraId="1EBC3F43">
      <w:pPr>
        <w:pStyle w:val="5"/>
        <w:numPr>
          <w:ilvl w:val="2"/>
          <w:numId w:val="50"/>
        </w:numPr>
        <w:bidi w:val="0"/>
        <w:ind w:left="452" w:leftChars="0" w:firstLine="0" w:firstLineChars="0"/>
        <w:rPr>
          <w:rFonts w:hint="default"/>
          <w:color w:val="auto"/>
          <w:highlight w:val="none"/>
        </w:rPr>
      </w:pPr>
      <w:r>
        <w:rPr>
          <w:rFonts w:hint="eastAsia"/>
          <w:color w:val="auto"/>
          <w:highlight w:val="none"/>
          <w:lang w:val="en-US" w:eastAsia="zh-CN"/>
        </w:rPr>
        <w:t>土壤环境质量现状</w:t>
      </w:r>
    </w:p>
    <w:p w14:paraId="4A295DCD">
      <w:pPr>
        <w:pStyle w:val="41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本次评价共布设S1</w:t>
      </w:r>
      <w:r>
        <w:rPr>
          <w:rFonts w:hint="default" w:ascii="Times New Roman" w:hAnsi="Times New Roman" w:cs="Times New Roman"/>
          <w:color w:val="auto"/>
          <w:highlight w:val="none"/>
          <w:lang w:val="en-US" w:eastAsia="zh-CN"/>
        </w:rPr>
        <w:tab/>
      </w:r>
      <w:r>
        <w:rPr>
          <w:rFonts w:hint="default" w:ascii="Times New Roman" w:hAnsi="Times New Roman" w:cs="Times New Roman"/>
          <w:color w:val="auto"/>
          <w:highlight w:val="none"/>
          <w:lang w:val="en-US" w:eastAsia="zh-CN"/>
        </w:rPr>
        <w:t>钦州港路北侧、S2</w:t>
      </w:r>
      <w:r>
        <w:rPr>
          <w:rFonts w:hint="default" w:ascii="Times New Roman" w:hAnsi="Times New Roman" w:cs="Times New Roman"/>
          <w:color w:val="auto"/>
          <w:highlight w:val="none"/>
          <w:lang w:val="en-US" w:eastAsia="zh-CN"/>
        </w:rPr>
        <w:tab/>
      </w:r>
      <w:r>
        <w:rPr>
          <w:rFonts w:hint="default" w:ascii="Times New Roman" w:hAnsi="Times New Roman" w:cs="Times New Roman"/>
          <w:color w:val="auto"/>
          <w:highlight w:val="none"/>
          <w:lang w:val="en-US" w:eastAsia="zh-CN"/>
        </w:rPr>
        <w:t>项目钦州港路和水系改造交汇处、S3</w:t>
      </w:r>
      <w:r>
        <w:rPr>
          <w:rFonts w:hint="default" w:ascii="Times New Roman" w:hAnsi="Times New Roman" w:cs="Times New Roman"/>
          <w:color w:val="auto"/>
          <w:highlight w:val="none"/>
          <w:lang w:val="en-US" w:eastAsia="zh-CN"/>
        </w:rPr>
        <w:tab/>
      </w:r>
      <w:r>
        <w:rPr>
          <w:rFonts w:hint="default" w:ascii="Times New Roman" w:hAnsi="Times New Roman" w:cs="Times New Roman"/>
          <w:color w:val="auto"/>
          <w:highlight w:val="none"/>
          <w:lang w:val="en-US" w:eastAsia="zh-CN"/>
        </w:rPr>
        <w:t>项目东北侧350米处，共计3个表样层监测点位，根据监测结果，各监测点位的监测因子pH、镉、汞、砷、铅、铬、铜、镍、锌满足《土壤环境质量 农用地土壤污染风险管控标准（试行）》（GB15618-2018）中风险筛选值的限值要求。区域环境土壤环境质量较为良好</w:t>
      </w:r>
    </w:p>
    <w:p w14:paraId="002F67CC">
      <w:pPr>
        <w:pStyle w:val="5"/>
        <w:numPr>
          <w:ilvl w:val="2"/>
          <w:numId w:val="50"/>
        </w:numPr>
        <w:bidi w:val="0"/>
        <w:ind w:left="452" w:leftChars="0" w:firstLine="0" w:firstLineChars="0"/>
        <w:rPr>
          <w:rFonts w:hint="default"/>
          <w:color w:val="auto"/>
          <w:highlight w:val="none"/>
        </w:rPr>
      </w:pPr>
      <w:r>
        <w:rPr>
          <w:rFonts w:hint="default"/>
          <w:color w:val="auto"/>
          <w:highlight w:val="none"/>
        </w:rPr>
        <w:t>声环境质量现状</w:t>
      </w:r>
    </w:p>
    <w:p w14:paraId="333F845E">
      <w:pPr>
        <w:pStyle w:val="41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本次评价设置N1大岭脚村</w:t>
      </w:r>
      <w:r>
        <w:rPr>
          <w:rFonts w:hint="eastAsia" w:ascii="Times New Roman" w:cs="Times New Roman"/>
          <w:color w:val="auto"/>
          <w:highlight w:val="none"/>
          <w:lang w:val="en-US" w:eastAsia="zh-CN"/>
        </w:rPr>
        <w:t>、</w:t>
      </w:r>
      <w:r>
        <w:rPr>
          <w:rFonts w:hint="eastAsia" w:ascii="Times New Roman" w:cs="Times New Roman"/>
          <w:color w:val="auto"/>
          <w:highlight w:val="none"/>
          <w:u w:val="single"/>
          <w:lang w:val="en-US" w:eastAsia="zh-CN"/>
        </w:rPr>
        <w:t>N2大桐口村、N3巨龙如意城</w:t>
      </w:r>
      <w:r>
        <w:rPr>
          <w:rFonts w:hint="default" w:ascii="Times New Roman" w:hAnsi="Times New Roman" w:cs="Times New Roman"/>
          <w:color w:val="auto"/>
          <w:highlight w:val="none"/>
          <w:u w:val="single"/>
          <w:lang w:val="en-US" w:eastAsia="zh-CN"/>
        </w:rPr>
        <w:t>共计</w:t>
      </w:r>
      <w:r>
        <w:rPr>
          <w:rFonts w:hint="eastAsia" w:ascii="Times New Roman" w:cs="Times New Roman"/>
          <w:color w:val="auto"/>
          <w:highlight w:val="none"/>
          <w:u w:val="single"/>
          <w:lang w:val="en-US" w:eastAsia="zh-CN"/>
        </w:rPr>
        <w:t>3</w:t>
      </w:r>
      <w:r>
        <w:rPr>
          <w:rFonts w:hint="default" w:ascii="Times New Roman" w:hAnsi="Times New Roman" w:cs="Times New Roman"/>
          <w:color w:val="auto"/>
          <w:highlight w:val="none"/>
          <w:u w:val="single"/>
          <w:lang w:val="en-US" w:eastAsia="zh-CN"/>
        </w:rPr>
        <w:t>个噪声监测点。</w:t>
      </w:r>
      <w:r>
        <w:rPr>
          <w:rFonts w:hint="default" w:ascii="Times New Roman" w:hAnsi="Times New Roman" w:cs="Times New Roman"/>
          <w:color w:val="auto"/>
          <w:highlight w:val="none"/>
          <w:lang w:val="en-US" w:eastAsia="zh-CN"/>
        </w:rPr>
        <w:t>根据现状监测结果，监测点N1大岭脚村昼间及夜间噪声监测值均能够达到《声环境质量标准》（GB3096-2008）中的4a类标准限值要求，</w:t>
      </w:r>
      <w:r>
        <w:rPr>
          <w:rFonts w:hint="default" w:ascii="Times New Roman" w:hAnsi="Times New Roman" w:cs="Times New Roman"/>
          <w:color w:val="auto"/>
          <w:highlight w:val="none"/>
          <w:u w:val="single"/>
          <w:lang w:val="en-US" w:eastAsia="zh-CN"/>
        </w:rPr>
        <w:t>监测点</w:t>
      </w:r>
      <w:r>
        <w:rPr>
          <w:rFonts w:hint="eastAsia" w:ascii="Times New Roman" w:cs="Times New Roman"/>
          <w:color w:val="auto"/>
          <w:highlight w:val="none"/>
          <w:u w:val="single"/>
          <w:lang w:val="en-US" w:eastAsia="zh-CN"/>
        </w:rPr>
        <w:t>N2大桐口村、N3巨龙如意城</w:t>
      </w:r>
      <w:r>
        <w:rPr>
          <w:rFonts w:hint="default" w:ascii="Times New Roman" w:hAnsi="Times New Roman" w:cs="Times New Roman"/>
          <w:color w:val="auto"/>
          <w:highlight w:val="none"/>
          <w:u w:val="single"/>
          <w:lang w:val="en-US" w:eastAsia="zh-CN"/>
        </w:rPr>
        <w:t>昼间及夜间噪声监测值均能够达到《声环境质量标准》（GB3096-2008）中的</w:t>
      </w:r>
      <w:r>
        <w:rPr>
          <w:rFonts w:hint="eastAsia" w:ascii="Times New Roman" w:hAnsi="Times New Roman" w:cs="Times New Roman"/>
          <w:color w:val="auto"/>
          <w:highlight w:val="none"/>
          <w:u w:val="single"/>
          <w:lang w:val="en-US" w:eastAsia="zh-CN"/>
        </w:rPr>
        <w:t>2</w:t>
      </w:r>
      <w:r>
        <w:rPr>
          <w:rFonts w:hint="default" w:ascii="Times New Roman" w:hAnsi="Times New Roman" w:cs="Times New Roman"/>
          <w:color w:val="auto"/>
          <w:highlight w:val="none"/>
          <w:u w:val="single"/>
          <w:lang w:val="en-US" w:eastAsia="zh-CN"/>
        </w:rPr>
        <w:t>类标准限值要求</w:t>
      </w:r>
      <w:r>
        <w:rPr>
          <w:rFonts w:hint="eastAsia" w:ascii="Times New Roman" w:hAnsi="Times New Roman" w:cs="Times New Roman"/>
          <w:color w:val="auto"/>
          <w:highlight w:val="none"/>
          <w:u w:val="single"/>
          <w:lang w:val="en-US" w:eastAsia="zh-CN"/>
        </w:rPr>
        <w:t>，</w:t>
      </w:r>
      <w:r>
        <w:rPr>
          <w:rFonts w:hint="default" w:ascii="Times New Roman" w:hAnsi="Times New Roman" w:cs="Times New Roman"/>
          <w:color w:val="auto"/>
          <w:highlight w:val="none"/>
          <w:lang w:val="en-US" w:eastAsia="zh-CN"/>
        </w:rPr>
        <w:t>区域声环境质量达标。</w:t>
      </w:r>
    </w:p>
    <w:p w14:paraId="7C5B341C">
      <w:pPr>
        <w:pStyle w:val="5"/>
        <w:numPr>
          <w:ilvl w:val="2"/>
          <w:numId w:val="50"/>
        </w:numPr>
        <w:bidi w:val="0"/>
        <w:ind w:left="452" w:leftChars="0" w:firstLine="0" w:firstLineChars="0"/>
        <w:rPr>
          <w:rFonts w:hint="default"/>
          <w:color w:val="auto"/>
          <w:highlight w:val="none"/>
        </w:rPr>
      </w:pPr>
      <w:r>
        <w:rPr>
          <w:rFonts w:hint="eastAsia"/>
          <w:color w:val="auto"/>
          <w:highlight w:val="none"/>
          <w:lang w:eastAsia="zh-CN"/>
        </w:rPr>
        <w:t>底泥环境质量现状</w:t>
      </w:r>
    </w:p>
    <w:p w14:paraId="356E6F27">
      <w:pPr>
        <w:pStyle w:val="410"/>
        <w:rPr>
          <w:rFonts w:hint="default"/>
          <w:color w:val="auto"/>
          <w:highlight w:val="none"/>
          <w:lang w:val="en-US" w:eastAsia="zh-CN"/>
        </w:rPr>
      </w:pPr>
      <w:r>
        <w:rPr>
          <w:rFonts w:hint="default" w:ascii="Times New Roman" w:hAnsi="Times New Roman" w:cs="Times New Roman"/>
          <w:color w:val="auto"/>
          <w:highlight w:val="none"/>
          <w:lang w:val="en-US" w:eastAsia="zh-CN"/>
        </w:rPr>
        <w:t>本次评价设置D1项目水系改造中段处共计1处底泥监测断面。根据调查结果，监测断面监测因子pH值、铅、锌、铜、镉、汞、砷、铬、镍均低于《土壤环境质量 农用地土壤污染风险管控标准（试行）》（GB15618-2018）中风险筛选值，监测断面所在河段底泥</w:t>
      </w:r>
      <w:r>
        <w:rPr>
          <w:rFonts w:hint="eastAsia"/>
          <w:color w:val="auto"/>
          <w:highlight w:val="none"/>
          <w:lang w:val="en-US" w:eastAsia="zh-CN"/>
        </w:rPr>
        <w:t>现状环境良好。</w:t>
      </w:r>
    </w:p>
    <w:p w14:paraId="21F82B43">
      <w:pPr>
        <w:pStyle w:val="4"/>
        <w:numPr>
          <w:ilvl w:val="1"/>
          <w:numId w:val="50"/>
        </w:numPr>
        <w:bidi w:val="0"/>
        <w:ind w:left="678" w:leftChars="0" w:firstLine="0" w:firstLineChars="0"/>
        <w:rPr>
          <w:rFonts w:hint="default"/>
          <w:color w:val="auto"/>
          <w:highlight w:val="none"/>
        </w:rPr>
      </w:pPr>
      <w:bookmarkStart w:id="170" w:name="_Toc149836177"/>
      <w:bookmarkStart w:id="171" w:name="_Toc22659"/>
      <w:r>
        <w:rPr>
          <w:rFonts w:hint="default"/>
          <w:color w:val="auto"/>
          <w:highlight w:val="none"/>
        </w:rPr>
        <w:t>工程环境影响评价</w:t>
      </w:r>
      <w:bookmarkEnd w:id="170"/>
      <w:bookmarkEnd w:id="171"/>
    </w:p>
    <w:p w14:paraId="46669B6D">
      <w:pPr>
        <w:pStyle w:val="5"/>
        <w:numPr>
          <w:ilvl w:val="2"/>
          <w:numId w:val="50"/>
        </w:numPr>
        <w:bidi w:val="0"/>
        <w:ind w:left="452" w:leftChars="0" w:firstLine="0" w:firstLineChars="0"/>
        <w:rPr>
          <w:rFonts w:hint="default"/>
          <w:color w:val="auto"/>
          <w:highlight w:val="none"/>
        </w:rPr>
      </w:pPr>
      <w:r>
        <w:rPr>
          <w:rFonts w:hint="default"/>
          <w:color w:val="auto"/>
          <w:highlight w:val="none"/>
        </w:rPr>
        <w:t>施工期</w:t>
      </w:r>
    </w:p>
    <w:p w14:paraId="05217793">
      <w:pPr>
        <w:pStyle w:val="6"/>
        <w:numPr>
          <w:ilvl w:val="3"/>
          <w:numId w:val="50"/>
        </w:numPr>
        <w:bidi w:val="0"/>
        <w:ind w:left="0" w:leftChars="0" w:firstLine="0" w:firstLineChars="0"/>
        <w:rPr>
          <w:rFonts w:hint="default"/>
          <w:color w:val="auto"/>
          <w:highlight w:val="none"/>
        </w:rPr>
      </w:pPr>
      <w:r>
        <w:rPr>
          <w:rFonts w:hint="default"/>
          <w:color w:val="auto"/>
          <w:highlight w:val="none"/>
        </w:rPr>
        <w:t>施工期生态环境影响</w:t>
      </w:r>
    </w:p>
    <w:p w14:paraId="7F38371C">
      <w:pPr>
        <w:ind w:firstLine="484" w:firstLineChars="219"/>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工程陆域生态影响主要表现为水土流失</w:t>
      </w:r>
      <w:r>
        <w:rPr>
          <w:rFonts w:hint="eastAsia" w:ascii="Times New Roman" w:hAnsi="Times New Roman" w:cs="Times New Roman"/>
          <w:color w:val="auto"/>
          <w:highlight w:val="none"/>
          <w:u w:val="none"/>
          <w:lang w:eastAsia="zh-CN"/>
        </w:rPr>
        <w:t>及土地占用造成的植被破坏和生境破坏。</w:t>
      </w:r>
      <w:r>
        <w:rPr>
          <w:rFonts w:hint="default" w:ascii="Times New Roman" w:hAnsi="Times New Roman" w:cs="Times New Roman"/>
          <w:color w:val="auto"/>
          <w:highlight w:val="none"/>
          <w:u w:val="none"/>
        </w:rPr>
        <w:t>在建设单位严格落实水土保持措施情况下，本项目施工期造成的水土流失是可接受的</w:t>
      </w:r>
      <w:r>
        <w:rPr>
          <w:rFonts w:hint="eastAsia" w:ascii="Times New Roman" w:hAnsi="Times New Roman" w:cs="Times New Roman"/>
          <w:color w:val="auto"/>
          <w:highlight w:val="none"/>
          <w:u w:val="none"/>
          <w:lang w:eastAsia="zh-CN"/>
        </w:rPr>
        <w:t>；施工结束后对区域临时用地进行植被恢复，区域植被生物量得到一定补偿，生境质量改善后周边野生动物回迁</w:t>
      </w:r>
      <w:r>
        <w:rPr>
          <w:rFonts w:hint="default" w:ascii="Times New Roman" w:hAnsi="Times New Roman" w:cs="Times New Roman"/>
          <w:color w:val="auto"/>
          <w:highlight w:val="none"/>
          <w:u w:val="none"/>
        </w:rPr>
        <w:t>。</w:t>
      </w:r>
    </w:p>
    <w:p w14:paraId="7BC0CC0E">
      <w:pPr>
        <w:ind w:firstLine="484" w:firstLineChars="219"/>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工程水生生态影响主要集中在施工区域且持续时间较短，</w:t>
      </w:r>
      <w:r>
        <w:rPr>
          <w:rFonts w:hint="eastAsia" w:ascii="Times New Roman" w:cs="Times New Roman"/>
          <w:color w:val="auto"/>
          <w:highlight w:val="none"/>
          <w:u w:val="none"/>
          <w:lang w:val="en-US" w:eastAsia="zh-CN"/>
        </w:rPr>
        <w:t>施工过程中</w:t>
      </w:r>
      <w:r>
        <w:rPr>
          <w:rFonts w:hint="eastAsia" w:ascii="Times New Roman" w:hAnsi="Times New Roman" w:cs="Times New Roman"/>
          <w:color w:val="auto"/>
          <w:highlight w:val="none"/>
          <w:u w:val="none"/>
          <w:lang w:eastAsia="zh-CN"/>
        </w:rPr>
        <w:t>严禁向水体倾倒弃渣、建筑垃圾等措施后</w:t>
      </w:r>
      <w:r>
        <w:rPr>
          <w:rFonts w:hint="default" w:ascii="Times New Roman" w:hAnsi="Times New Roman" w:cs="Times New Roman"/>
          <w:color w:val="auto"/>
          <w:highlight w:val="none"/>
          <w:u w:val="none"/>
        </w:rPr>
        <w:t>，对水生生态的影响是可接受的。</w:t>
      </w:r>
    </w:p>
    <w:p w14:paraId="5DEA62E1">
      <w:pPr>
        <w:pStyle w:val="6"/>
        <w:numPr>
          <w:ilvl w:val="3"/>
          <w:numId w:val="50"/>
        </w:numPr>
        <w:bidi w:val="0"/>
        <w:ind w:left="0" w:leftChars="0" w:firstLine="0" w:firstLineChars="0"/>
        <w:rPr>
          <w:rFonts w:hint="default"/>
          <w:color w:val="auto"/>
          <w:highlight w:val="none"/>
        </w:rPr>
      </w:pPr>
      <w:r>
        <w:rPr>
          <w:rFonts w:hint="default"/>
          <w:color w:val="auto"/>
          <w:highlight w:val="none"/>
        </w:rPr>
        <w:t>施工期大气环境影响</w:t>
      </w:r>
    </w:p>
    <w:p w14:paraId="43F679FA">
      <w:pPr>
        <w:ind w:firstLine="484" w:firstLineChars="219"/>
        <w:rPr>
          <w:rFonts w:hint="eastAsia" w:ascii="Times New Roman" w:hAnsi="Times New Roman" w:eastAsia="宋体" w:cs="Times New Roman"/>
          <w:color w:val="auto"/>
          <w:highlight w:val="none"/>
          <w:u w:val="none"/>
          <w:lang w:eastAsia="zh-CN"/>
        </w:rPr>
      </w:pPr>
      <w:r>
        <w:rPr>
          <w:rFonts w:hint="default" w:ascii="Times New Roman" w:hAnsi="Times New Roman" w:cs="Times New Roman"/>
          <w:color w:val="auto"/>
          <w:highlight w:val="none"/>
          <w:u w:val="none"/>
        </w:rPr>
        <w:t>工程施工期对环境空气产生影响的污染源类型有：施工作业和堆料、堆土产生的施工扬尘；车辆运输产生的道路运输扬尘；施工机械、运输车辆等产生的施工机械尾气</w:t>
      </w:r>
      <w:r>
        <w:rPr>
          <w:rFonts w:hint="eastAsia" w:ascii="Times New Roman" w:hAnsi="Times New Roman" w:cs="Times New Roman"/>
          <w:color w:val="auto"/>
          <w:highlight w:val="none"/>
          <w:u w:val="none"/>
          <w:lang w:eastAsia="zh-CN"/>
        </w:rPr>
        <w:t>；临时中转场堆土扬尘；淤泥恶臭</w:t>
      </w:r>
      <w:r>
        <w:rPr>
          <w:rFonts w:hint="eastAsia"/>
          <w:color w:val="auto"/>
          <w:highlight w:val="none"/>
          <w:lang w:eastAsia="zh-CN"/>
        </w:rPr>
        <w:t>；</w:t>
      </w:r>
    </w:p>
    <w:p w14:paraId="3FAAFC3B">
      <w:pPr>
        <w:ind w:firstLine="484" w:firstLineChars="219"/>
        <w:rPr>
          <w:rFonts w:hint="eastAsia" w:ascii="Times New Roman" w:hAnsi="Times New Roman" w:eastAsia="宋体" w:cs="Times New Roman"/>
          <w:color w:val="auto"/>
          <w:highlight w:val="none"/>
          <w:u w:val="none"/>
          <w:lang w:eastAsia="zh-CN"/>
        </w:rPr>
      </w:pPr>
      <w:r>
        <w:rPr>
          <w:rFonts w:hint="default" w:ascii="Times New Roman" w:hAnsi="Times New Roman" w:cs="Times New Roman"/>
          <w:color w:val="auto"/>
          <w:highlight w:val="none"/>
          <w:u w:val="none"/>
        </w:rPr>
        <w:t>项目施工期主要大气污染因子为总悬浮颗粒物。在未采取任何措施的情况下，施工期扬尘影响范围主要在施工场地150米范围内。本项目在洒水降尘的情况下，其影响距离可减至50米左右。工程施工期间采取洒水降尘措施后，</w:t>
      </w:r>
      <w:r>
        <w:rPr>
          <w:rFonts w:hint="eastAsia" w:ascii="Times New Roman" w:hAnsi="Times New Roman" w:cs="Times New Roman"/>
          <w:color w:val="auto"/>
          <w:highlight w:val="none"/>
          <w:u w:val="none"/>
          <w:lang w:eastAsia="zh-CN"/>
        </w:rPr>
        <w:t>周边敏感点</w:t>
      </w:r>
      <w:r>
        <w:rPr>
          <w:rFonts w:hint="default" w:ascii="Times New Roman" w:hAnsi="Times New Roman" w:cs="Times New Roman"/>
          <w:color w:val="auto"/>
          <w:highlight w:val="none"/>
          <w:u w:val="none"/>
        </w:rPr>
        <w:t>受项目施工扬尘影响不大；类比施工汽车运输扬尘监测结果，在做好路面清洁的情况下，运输车辆在自然风作用下产生的TSP浓度在下风向100m外可满足《环境空气质量标准》（GB3095-1996）中的二级标准要求，对周边环境影响不大；施工机械尾气数量较少，尾气污染物排放量不大，同时施工区域周边较为空旷，其影响范围局限于项目施工区域</w:t>
      </w:r>
      <w:r>
        <w:rPr>
          <w:rFonts w:hint="eastAsia" w:ascii="Times New Roman" w:hAnsi="Times New Roman" w:cs="Times New Roman"/>
          <w:color w:val="auto"/>
          <w:highlight w:val="none"/>
          <w:u w:val="none"/>
          <w:lang w:eastAsia="zh-CN"/>
        </w:rPr>
        <w:t>；</w:t>
      </w:r>
      <w:r>
        <w:rPr>
          <w:rFonts w:hint="eastAsia"/>
          <w:color w:val="auto"/>
          <w:highlight w:val="none"/>
          <w:lang w:eastAsia="zh-CN"/>
        </w:rPr>
        <w:t>对临时中转场内的淤泥进行洒水降尘，采取临时覆盖等措施，可有效抑制堆场扬尘的产生；对钦州港路、曲绣路回填区的进行洒水降尘，采取临时覆盖等措施，可有效抑制钦州港路、曲绣路回填区的产生；</w:t>
      </w:r>
      <w:r>
        <w:rPr>
          <w:rFonts w:hint="eastAsia" w:ascii="Times New Roman" w:hAnsi="Times New Roman" w:eastAsia="宋体" w:cs="Times New Roman"/>
          <w:color w:val="auto"/>
          <w:highlight w:val="none"/>
          <w:u w:val="none"/>
          <w:lang w:eastAsia="zh-CN"/>
        </w:rPr>
        <w:t>清淤过程中选用生物除臭剂喷洒在淤泥表面，减少清淤过程中臭气的散发</w:t>
      </w:r>
      <w:r>
        <w:rPr>
          <w:rFonts w:hint="eastAsia" w:ascii="Times New Roman" w:cs="Times New Roman"/>
          <w:color w:val="auto"/>
          <w:highlight w:val="none"/>
          <w:u w:val="none"/>
          <w:lang w:eastAsia="zh-CN"/>
        </w:rPr>
        <w:t>，</w:t>
      </w:r>
      <w:r>
        <w:rPr>
          <w:rFonts w:hint="eastAsia" w:ascii="Times New Roman" w:eastAsia="宋体" w:cs="Times New Roman"/>
          <w:color w:val="auto"/>
          <w:highlight w:val="none"/>
          <w:u w:val="none"/>
          <w:lang w:val="en-US" w:eastAsia="zh-CN"/>
        </w:rPr>
        <w:t>对周边环境影响不大</w:t>
      </w:r>
      <w:r>
        <w:rPr>
          <w:rFonts w:hint="eastAsia" w:ascii="Times New Roman" w:hAnsi="Times New Roman" w:cs="Times New Roman"/>
          <w:color w:val="auto"/>
          <w:highlight w:val="none"/>
          <w:u w:val="none"/>
          <w:lang w:eastAsia="zh-CN"/>
        </w:rPr>
        <w:t>。</w:t>
      </w:r>
    </w:p>
    <w:p w14:paraId="24F9B746">
      <w:pPr>
        <w:pStyle w:val="6"/>
        <w:numPr>
          <w:ilvl w:val="3"/>
          <w:numId w:val="50"/>
        </w:numPr>
        <w:bidi w:val="0"/>
        <w:ind w:left="0" w:leftChars="0" w:firstLine="0" w:firstLineChars="0"/>
        <w:rPr>
          <w:rFonts w:hint="default"/>
          <w:color w:val="auto"/>
          <w:highlight w:val="none"/>
        </w:rPr>
      </w:pPr>
      <w:r>
        <w:rPr>
          <w:rFonts w:hint="default"/>
          <w:color w:val="auto"/>
          <w:highlight w:val="none"/>
        </w:rPr>
        <w:t>施工期水环境影响</w:t>
      </w:r>
    </w:p>
    <w:p w14:paraId="6475A01A">
      <w:pPr>
        <w:ind w:firstLine="484" w:firstLineChars="219"/>
        <w:rPr>
          <w:rFonts w:hint="default" w:ascii="Times New Roman" w:hAnsi="Times New Roman" w:cs="Times New Roman"/>
          <w:color w:val="auto"/>
          <w:highlight w:val="none"/>
        </w:rPr>
      </w:pPr>
      <w:r>
        <w:rPr>
          <w:rFonts w:hint="default" w:ascii="Times New Roman" w:hAnsi="Times New Roman" w:cs="Times New Roman"/>
          <w:color w:val="auto"/>
          <w:highlight w:val="none"/>
        </w:rPr>
        <w:t>项目陆域施工主要的水环境影响源为</w:t>
      </w:r>
      <w:r>
        <w:rPr>
          <w:rFonts w:hint="eastAsia" w:ascii="Times New Roman" w:hAnsi="Times New Roman" w:cs="Times New Roman"/>
          <w:color w:val="auto"/>
          <w:highlight w:val="none"/>
          <w:lang w:eastAsia="zh-CN"/>
        </w:rPr>
        <w:t>混凝土养护废水</w:t>
      </w:r>
      <w:r>
        <w:rPr>
          <w:rFonts w:hint="default" w:ascii="Times New Roman" w:hAnsi="Times New Roman" w:cs="Times New Roman"/>
          <w:color w:val="auto"/>
          <w:highlight w:val="none"/>
        </w:rPr>
        <w:t>及</w:t>
      </w:r>
      <w:r>
        <w:rPr>
          <w:rFonts w:hint="eastAsia" w:ascii="Times New Roman" w:hAnsi="Times New Roman" w:cs="Times New Roman"/>
          <w:color w:val="auto"/>
          <w:highlight w:val="none"/>
          <w:lang w:eastAsia="zh-CN"/>
        </w:rPr>
        <w:t>运输车辆冲洗废水、基坑废水</w:t>
      </w:r>
      <w:r>
        <w:rPr>
          <w:rFonts w:hint="eastAsia" w:ascii="Times New Roman" w:cs="Times New Roman"/>
          <w:color w:val="auto"/>
          <w:highlight w:val="none"/>
          <w:lang w:eastAsia="zh-CN"/>
        </w:rPr>
        <w:t>、</w:t>
      </w:r>
      <w:r>
        <w:rPr>
          <w:rFonts w:hint="eastAsia" w:ascii="Times New Roman" w:cs="Times New Roman"/>
          <w:color w:val="auto"/>
          <w:highlight w:val="none"/>
          <w:lang w:val="en-US" w:eastAsia="zh-CN"/>
        </w:rPr>
        <w:t>淤泥渗滤液</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eastAsia="zh-CN"/>
        </w:rPr>
        <w:t>涉水施工主要为土石围堰</w:t>
      </w:r>
      <w:r>
        <w:rPr>
          <w:rFonts w:hint="default" w:ascii="Times New Roman" w:hAnsi="Times New Roman" w:cs="Times New Roman"/>
          <w:color w:val="auto"/>
          <w:highlight w:val="none"/>
        </w:rPr>
        <w:t>对水文情势的影响。</w:t>
      </w:r>
    </w:p>
    <w:p w14:paraId="03072B51">
      <w:pPr>
        <w:ind w:firstLine="484" w:firstLineChars="219"/>
        <w:rPr>
          <w:rFonts w:hint="eastAsia" w:ascii="Times New Roman" w:cs="Times New Roman"/>
          <w:color w:val="auto"/>
          <w:highlight w:val="none"/>
          <w:lang w:val="en-US" w:eastAsia="zh-CN"/>
        </w:rPr>
      </w:pPr>
      <w:r>
        <w:rPr>
          <w:rFonts w:hint="eastAsia" w:ascii="Times New Roman" w:hAnsi="Times New Roman" w:cs="Times New Roman"/>
          <w:color w:val="auto"/>
          <w:highlight w:val="none"/>
          <w:lang w:eastAsia="zh-CN"/>
        </w:rPr>
        <w:t>混凝土养护废水经吸收和自然蒸发，不外排。车辆冲洗废水</w:t>
      </w:r>
      <w:r>
        <w:rPr>
          <w:rFonts w:hint="default" w:ascii="Times New Roman" w:hAnsi="Times New Roman" w:cs="Times New Roman"/>
          <w:color w:val="auto"/>
          <w:highlight w:val="none"/>
        </w:rPr>
        <w:t>经隔油沉淀处理后回</w:t>
      </w:r>
      <w:r>
        <w:rPr>
          <w:rFonts w:hint="eastAsia" w:ascii="Times New Roman" w:cs="Times New Roman"/>
          <w:color w:val="auto"/>
          <w:highlight w:val="none"/>
          <w:lang w:eastAsia="zh-CN"/>
        </w:rPr>
        <w:t>用于</w:t>
      </w:r>
      <w:r>
        <w:rPr>
          <w:rFonts w:hint="default" w:ascii="Times New Roman" w:hAnsi="Times New Roman" w:cs="Times New Roman"/>
          <w:color w:val="auto"/>
          <w:highlight w:val="none"/>
        </w:rPr>
        <w:t>场区洒水抑尘</w:t>
      </w:r>
      <w:r>
        <w:rPr>
          <w:rFonts w:hint="eastAsia" w:ascii="Times New Roman" w:cs="Times New Roman"/>
          <w:color w:val="auto"/>
          <w:highlight w:val="none"/>
          <w:lang w:eastAsia="zh-CN"/>
        </w:rPr>
        <w:t>，</w:t>
      </w:r>
      <w:r>
        <w:rPr>
          <w:rFonts w:hint="default" w:ascii="Times New Roman" w:hAnsi="Times New Roman" w:cs="Times New Roman"/>
          <w:color w:val="auto"/>
          <w:highlight w:val="none"/>
        </w:rPr>
        <w:t>不外排</w:t>
      </w:r>
      <w:r>
        <w:rPr>
          <w:rFonts w:hint="eastAsia" w:ascii="Times New Roman" w:cs="Times New Roman"/>
          <w:color w:val="auto"/>
          <w:highlight w:val="none"/>
          <w:lang w:eastAsia="zh-CN"/>
        </w:rPr>
        <w:t>；</w:t>
      </w:r>
      <w:r>
        <w:rPr>
          <w:rFonts w:hint="eastAsia" w:ascii="Times New Roman" w:hAnsi="Times New Roman" w:cs="Times New Roman"/>
          <w:color w:val="auto"/>
          <w:highlight w:val="none"/>
          <w:lang w:eastAsia="zh-CN"/>
        </w:rPr>
        <w:t>基坑废水经沉淀后回用于厂区洒水抑尘，</w:t>
      </w:r>
      <w:r>
        <w:rPr>
          <w:rFonts w:hint="eastAsia" w:ascii="Times New Roman" w:cs="Times New Roman"/>
          <w:color w:val="auto"/>
          <w:highlight w:val="none"/>
          <w:lang w:val="en-US" w:eastAsia="zh-CN"/>
        </w:rPr>
        <w:t>不外排；淤泥渗滤液</w:t>
      </w:r>
      <w:r>
        <w:rPr>
          <w:rFonts w:hint="default" w:ascii="Times New Roman" w:hAnsi="Times New Roman" w:cs="Times New Roman"/>
          <w:b w:val="0"/>
          <w:bCs/>
          <w:color w:val="auto"/>
          <w:kern w:val="2"/>
          <w:sz w:val="24"/>
          <w:szCs w:val="32"/>
          <w:highlight w:val="none"/>
          <w:lang w:val="en-US" w:eastAsia="zh-CN" w:bidi="ar-SA"/>
        </w:rPr>
        <w:t>经临时中转场四周的临时</w:t>
      </w:r>
      <w:r>
        <w:rPr>
          <w:rFonts w:hint="eastAsia" w:ascii="Times New Roman" w:cs="Times New Roman"/>
          <w:b w:val="0"/>
          <w:bCs/>
          <w:color w:val="auto"/>
          <w:kern w:val="2"/>
          <w:sz w:val="24"/>
          <w:szCs w:val="32"/>
          <w:highlight w:val="none"/>
          <w:lang w:val="en-US" w:eastAsia="zh-CN" w:bidi="ar-SA"/>
        </w:rPr>
        <w:t>截</w:t>
      </w:r>
      <w:r>
        <w:rPr>
          <w:rFonts w:hint="default" w:ascii="Times New Roman" w:hAnsi="Times New Roman" w:cs="Times New Roman"/>
          <w:b w:val="0"/>
          <w:bCs/>
          <w:color w:val="auto"/>
          <w:kern w:val="2"/>
          <w:sz w:val="24"/>
          <w:szCs w:val="32"/>
          <w:highlight w:val="none"/>
          <w:lang w:val="en-US" w:eastAsia="zh-CN" w:bidi="ar-SA"/>
        </w:rPr>
        <w:t>排水沟收集至沉沙池内，废水经沉淀处理后回用于临时中转场降尘</w:t>
      </w:r>
      <w:r>
        <w:rPr>
          <w:rFonts w:hint="eastAsia" w:ascii="Times New Roman" w:cs="Times New Roman"/>
          <w:b w:val="0"/>
          <w:bCs/>
          <w:color w:val="auto"/>
          <w:kern w:val="2"/>
          <w:sz w:val="24"/>
          <w:szCs w:val="32"/>
          <w:highlight w:val="none"/>
          <w:lang w:val="en-US" w:eastAsia="zh-CN" w:bidi="ar-SA"/>
        </w:rPr>
        <w:t>，不外排</w:t>
      </w:r>
      <w:r>
        <w:rPr>
          <w:rFonts w:hint="default" w:ascii="Times New Roman" w:hAnsi="Times New Roman" w:cs="Times New Roman"/>
          <w:b w:val="0"/>
          <w:bCs/>
          <w:color w:val="auto"/>
          <w:kern w:val="2"/>
          <w:sz w:val="24"/>
          <w:szCs w:val="32"/>
          <w:highlight w:val="none"/>
          <w:lang w:val="en-US" w:eastAsia="zh-CN" w:bidi="ar-SA"/>
        </w:rPr>
        <w:t>。</w:t>
      </w:r>
      <w:r>
        <w:rPr>
          <w:rFonts w:hint="eastAsia" w:ascii="Times New Roman" w:cs="Times New Roman"/>
          <w:b w:val="0"/>
          <w:bCs/>
          <w:color w:val="auto"/>
          <w:kern w:val="2"/>
          <w:sz w:val="24"/>
          <w:szCs w:val="32"/>
          <w:highlight w:val="none"/>
          <w:lang w:val="en-US" w:eastAsia="zh-CN" w:bidi="ar-SA"/>
        </w:rPr>
        <w:t>项目施工废水均得到妥善处置，</w:t>
      </w:r>
      <w:r>
        <w:rPr>
          <w:rFonts w:hint="eastAsia" w:ascii="Times New Roman" w:cs="Times New Roman"/>
          <w:color w:val="auto"/>
          <w:highlight w:val="none"/>
          <w:lang w:val="en-US" w:eastAsia="zh-CN"/>
        </w:rPr>
        <w:t>对地表水环境影响较小。</w:t>
      </w:r>
    </w:p>
    <w:p w14:paraId="532261ED">
      <w:pPr>
        <w:ind w:firstLine="484" w:firstLineChars="219"/>
        <w:rPr>
          <w:rFonts w:hint="default" w:ascii="Times New Roman" w:hAnsi="Times New Roman" w:cs="Times New Roman"/>
          <w:color w:val="auto"/>
          <w:highlight w:val="none"/>
        </w:rPr>
      </w:pPr>
      <w:r>
        <w:rPr>
          <w:rFonts w:hint="default" w:ascii="Times New Roman" w:hAnsi="Times New Roman" w:cs="Times New Roman"/>
          <w:color w:val="auto"/>
          <w:highlight w:val="none"/>
        </w:rPr>
        <w:t>项目建设对</w:t>
      </w:r>
      <w:r>
        <w:rPr>
          <w:rFonts w:hint="eastAsia" w:ascii="Times New Roman" w:hAnsi="Times New Roman" w:cs="Times New Roman"/>
          <w:color w:val="auto"/>
          <w:highlight w:val="none"/>
          <w:lang w:eastAsia="zh-CN"/>
        </w:rPr>
        <w:t>淡水湾江</w:t>
      </w:r>
      <w:r>
        <w:rPr>
          <w:rFonts w:hint="default" w:ascii="Times New Roman" w:hAnsi="Times New Roman" w:cs="Times New Roman"/>
          <w:color w:val="auto"/>
          <w:highlight w:val="none"/>
        </w:rPr>
        <w:t>的水流流态改变不大，对水位影响较小，对</w:t>
      </w:r>
      <w:r>
        <w:rPr>
          <w:rFonts w:hint="eastAsia" w:ascii="Times New Roman" w:hAnsi="Times New Roman" w:cs="Times New Roman"/>
          <w:color w:val="auto"/>
          <w:highlight w:val="none"/>
          <w:lang w:eastAsia="zh-CN"/>
        </w:rPr>
        <w:t>区域</w:t>
      </w:r>
      <w:r>
        <w:rPr>
          <w:rFonts w:hint="default" w:ascii="Times New Roman" w:hAnsi="Times New Roman" w:cs="Times New Roman"/>
          <w:color w:val="auto"/>
          <w:highlight w:val="none"/>
        </w:rPr>
        <w:t>水文情势改变不大。</w:t>
      </w:r>
    </w:p>
    <w:p w14:paraId="136C05D3">
      <w:pPr>
        <w:ind w:firstLine="484" w:firstLineChars="219"/>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eastAsia="zh-CN"/>
        </w:rPr>
        <w:t>经对比</w:t>
      </w:r>
      <w:r>
        <w:rPr>
          <w:rFonts w:hint="eastAsia" w:ascii="Times New Roman" w:cs="Times New Roman"/>
          <w:color w:val="auto"/>
          <w:highlight w:val="none"/>
          <w:lang w:val="en-US" w:eastAsia="zh-CN"/>
        </w:rPr>
        <w:t>2008年海岸线，项目工程建设占地不涉及海洋，项目无废水排放，工程所在水域与海洋水力联系不大，施工产生的悬浮物经自由扩散和沉降后对海洋环境影响不大。</w:t>
      </w:r>
    </w:p>
    <w:p w14:paraId="219935D8">
      <w:pPr>
        <w:pStyle w:val="6"/>
        <w:numPr>
          <w:ilvl w:val="3"/>
          <w:numId w:val="50"/>
        </w:numPr>
        <w:bidi w:val="0"/>
        <w:ind w:left="0" w:leftChars="0" w:firstLine="0" w:firstLineChars="0"/>
        <w:rPr>
          <w:rFonts w:hint="default"/>
          <w:color w:val="auto"/>
          <w:highlight w:val="none"/>
        </w:rPr>
      </w:pPr>
      <w:r>
        <w:rPr>
          <w:rFonts w:hint="default"/>
          <w:color w:val="auto"/>
          <w:highlight w:val="none"/>
        </w:rPr>
        <w:t>施工期声环境影响</w:t>
      </w:r>
    </w:p>
    <w:p w14:paraId="7E7592AE">
      <w:pPr>
        <w:ind w:firstLine="484" w:firstLineChars="219"/>
        <w:rPr>
          <w:rFonts w:hint="default" w:ascii="Times New Roman" w:hAnsi="Times New Roman" w:cs="Times New Roman"/>
          <w:color w:val="auto"/>
          <w:highlight w:val="none"/>
          <w:u w:val="none"/>
        </w:rPr>
      </w:pPr>
      <w:r>
        <w:rPr>
          <w:rFonts w:hint="eastAsia" w:ascii="Times New Roman" w:cs="Times New Roman"/>
          <w:color w:val="auto"/>
          <w:highlight w:val="none"/>
          <w:u w:val="none"/>
          <w:lang w:eastAsia="zh-CN"/>
        </w:rPr>
        <w:t>根据预测结果，单台设备施工影响最大施工机械为振捣器，多台机械施工时基础开挖工程施工噪声影响最大，项目禁止午间（北京时间12：00-14：00）和夜间（22：00-次日凌晨6：00）时间施工，施工采用低噪声设备；加强设备日常维修保养；并在临近敏感点一侧的施工场界安装2.5m高度的临时实心围挡，围挡可以起到声屏障的作用，降低噪声影响 15~20dB（A）左右。采取以上措施后，确保昼间施工场界环境噪声达标。</w:t>
      </w:r>
    </w:p>
    <w:p w14:paraId="37C34AC1">
      <w:pPr>
        <w:ind w:firstLine="484" w:firstLineChars="219"/>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施工噪声对周围声环境的影响是暂时的、短期的，且随着工程的竣工而消失，在采取使用先进的施工器械、合理安排施工时间等相关措施之后，对周边声环境的影响是可接受的。</w:t>
      </w:r>
    </w:p>
    <w:p w14:paraId="0EBA42A6">
      <w:pPr>
        <w:pStyle w:val="6"/>
        <w:numPr>
          <w:ilvl w:val="3"/>
          <w:numId w:val="50"/>
        </w:numPr>
        <w:bidi w:val="0"/>
        <w:ind w:left="0" w:leftChars="0" w:firstLine="0" w:firstLineChars="0"/>
        <w:rPr>
          <w:rFonts w:hint="default"/>
          <w:color w:val="auto"/>
          <w:highlight w:val="none"/>
        </w:rPr>
      </w:pPr>
      <w:r>
        <w:rPr>
          <w:rFonts w:hint="default"/>
          <w:color w:val="auto"/>
          <w:highlight w:val="none"/>
        </w:rPr>
        <w:t>施工期固体废物影响</w:t>
      </w:r>
    </w:p>
    <w:p w14:paraId="3CA90031">
      <w:pPr>
        <w:ind w:firstLine="484" w:firstLineChars="219"/>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建筑垃圾进行分类后回收利用，不能</w:t>
      </w:r>
      <w:r>
        <w:rPr>
          <w:rFonts w:hint="eastAsia" w:ascii="Times New Roman" w:cs="Times New Roman"/>
          <w:color w:val="auto"/>
          <w:highlight w:val="none"/>
          <w:u w:val="none"/>
          <w:lang w:eastAsia="zh-CN"/>
        </w:rPr>
        <w:t>回收</w:t>
      </w:r>
      <w:r>
        <w:rPr>
          <w:rFonts w:hint="default" w:ascii="Times New Roman" w:hAnsi="Times New Roman" w:cs="Times New Roman"/>
          <w:color w:val="auto"/>
          <w:highlight w:val="none"/>
          <w:u w:val="none"/>
        </w:rPr>
        <w:t>利用的（如废渣土、混凝土碎块）由施工单位运至市政指定消纳场</w:t>
      </w:r>
      <w:r>
        <w:rPr>
          <w:rFonts w:hint="eastAsia" w:ascii="Times New Roman" w:hAnsi="Times New Roman" w:cs="Times New Roman"/>
          <w:color w:val="auto"/>
          <w:highlight w:val="none"/>
          <w:u w:val="none"/>
          <w:lang w:eastAsia="zh-CN"/>
        </w:rPr>
        <w:t>，隔油池污油委托有资质单位进行处置</w:t>
      </w:r>
      <w:r>
        <w:rPr>
          <w:rFonts w:hint="default" w:ascii="Times New Roman" w:hAnsi="Times New Roman" w:cs="Times New Roman"/>
          <w:color w:val="auto"/>
          <w:highlight w:val="none"/>
          <w:u w:val="none"/>
        </w:rPr>
        <w:t>。</w:t>
      </w:r>
    </w:p>
    <w:p w14:paraId="7D094BEC">
      <w:pPr>
        <w:ind w:firstLine="484" w:firstLineChars="219"/>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经分析，本项目施工期固体废物对周边环境影响是可以接受的。</w:t>
      </w:r>
    </w:p>
    <w:p w14:paraId="02412411">
      <w:pPr>
        <w:pStyle w:val="5"/>
        <w:numPr>
          <w:ilvl w:val="2"/>
          <w:numId w:val="50"/>
        </w:numPr>
        <w:bidi w:val="0"/>
        <w:ind w:left="452" w:leftChars="0" w:firstLine="0" w:firstLineChars="0"/>
        <w:rPr>
          <w:rFonts w:hint="default"/>
          <w:color w:val="auto"/>
          <w:highlight w:val="none"/>
        </w:rPr>
      </w:pPr>
      <w:r>
        <w:rPr>
          <w:rFonts w:hint="eastAsia"/>
          <w:color w:val="auto"/>
          <w:highlight w:val="none"/>
          <w:lang w:eastAsia="zh-CN"/>
        </w:rPr>
        <w:t>运营期</w:t>
      </w:r>
    </w:p>
    <w:p w14:paraId="2AA71196">
      <w:pPr>
        <w:pStyle w:val="6"/>
        <w:numPr>
          <w:ilvl w:val="3"/>
          <w:numId w:val="50"/>
        </w:numPr>
        <w:bidi w:val="0"/>
        <w:ind w:left="0" w:leftChars="0" w:firstLine="0" w:firstLineChars="0"/>
        <w:rPr>
          <w:rFonts w:hint="default"/>
          <w:color w:val="auto"/>
          <w:highlight w:val="none"/>
        </w:rPr>
      </w:pPr>
      <w:r>
        <w:rPr>
          <w:rFonts w:hint="eastAsia"/>
          <w:color w:val="auto"/>
          <w:highlight w:val="none"/>
          <w:lang w:eastAsia="zh-CN"/>
        </w:rPr>
        <w:t>运营期</w:t>
      </w:r>
      <w:r>
        <w:rPr>
          <w:rFonts w:hint="default"/>
          <w:color w:val="auto"/>
          <w:highlight w:val="none"/>
        </w:rPr>
        <w:t>生态环境影响</w:t>
      </w:r>
    </w:p>
    <w:p w14:paraId="6DAD0605">
      <w:pPr>
        <w:ind w:firstLine="484" w:firstLineChars="219"/>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项目建成后基本上不会对上下游生态环境及周边陆生生态环境造成影响，</w:t>
      </w:r>
      <w:r>
        <w:rPr>
          <w:rFonts w:hint="default" w:ascii="Times New Roman" w:hAnsi="Times New Roman" w:eastAsia="宋体" w:cs="Times New Roman"/>
          <w:color w:val="auto"/>
          <w:spacing w:val="-5"/>
          <w:sz w:val="24"/>
          <w:szCs w:val="24"/>
          <w:highlight w:val="none"/>
        </w:rPr>
        <w:t>项目建成后，通过对永久占地区的绿化、临时占地区的</w:t>
      </w:r>
      <w:r>
        <w:rPr>
          <w:rFonts w:hint="default" w:ascii="Times New Roman" w:hAnsi="Times New Roman" w:eastAsia="宋体" w:cs="Times New Roman"/>
          <w:color w:val="auto"/>
          <w:spacing w:val="-6"/>
          <w:sz w:val="24"/>
          <w:szCs w:val="24"/>
          <w:highlight w:val="none"/>
        </w:rPr>
        <w:t>植被恢复等措</w:t>
      </w:r>
      <w:r>
        <w:rPr>
          <w:rFonts w:hint="default" w:ascii="Times New Roman" w:hAnsi="Times New Roman" w:eastAsia="宋体" w:cs="Times New Roman"/>
          <w:color w:val="auto"/>
          <w:spacing w:val="-5"/>
          <w:sz w:val="24"/>
          <w:szCs w:val="24"/>
          <w:highlight w:val="none"/>
        </w:rPr>
        <w:t>施，可在一定程度上补偿由于项目建设导致的生态功能损失。总体而言，项目建</w:t>
      </w:r>
      <w:r>
        <w:rPr>
          <w:rFonts w:hint="default" w:ascii="Times New Roman" w:hAnsi="Times New Roman" w:eastAsia="宋体" w:cs="Times New Roman"/>
          <w:color w:val="auto"/>
          <w:spacing w:val="-6"/>
          <w:sz w:val="24"/>
          <w:szCs w:val="24"/>
          <w:highlight w:val="none"/>
        </w:rPr>
        <w:t>设不会对区域</w:t>
      </w:r>
      <w:r>
        <w:rPr>
          <w:rFonts w:hint="default" w:ascii="Times New Roman" w:hAnsi="Times New Roman" w:eastAsia="宋体" w:cs="Times New Roman"/>
          <w:color w:val="auto"/>
          <w:spacing w:val="-3"/>
          <w:sz w:val="24"/>
          <w:szCs w:val="24"/>
          <w:highlight w:val="none"/>
        </w:rPr>
        <w:t>生态服务功能造成大的影响</w:t>
      </w:r>
      <w:r>
        <w:rPr>
          <w:rFonts w:hint="default" w:ascii="Times New Roman" w:hAnsi="Times New Roman" w:cs="Times New Roman"/>
          <w:color w:val="auto"/>
          <w:highlight w:val="none"/>
        </w:rPr>
        <w:t>。</w:t>
      </w:r>
    </w:p>
    <w:p w14:paraId="1366D6E1">
      <w:pPr>
        <w:pStyle w:val="6"/>
        <w:numPr>
          <w:ilvl w:val="3"/>
          <w:numId w:val="50"/>
        </w:numPr>
        <w:bidi w:val="0"/>
        <w:ind w:left="0" w:leftChars="0" w:firstLine="0" w:firstLineChars="0"/>
        <w:rPr>
          <w:rFonts w:hint="default"/>
          <w:color w:val="auto"/>
          <w:highlight w:val="none"/>
        </w:rPr>
      </w:pPr>
      <w:r>
        <w:rPr>
          <w:rFonts w:hint="eastAsia"/>
          <w:color w:val="auto"/>
          <w:highlight w:val="none"/>
          <w:lang w:eastAsia="zh-CN"/>
        </w:rPr>
        <w:t>运营期</w:t>
      </w:r>
      <w:r>
        <w:rPr>
          <w:rFonts w:hint="default"/>
          <w:color w:val="auto"/>
          <w:highlight w:val="none"/>
        </w:rPr>
        <w:t>大气环境影响</w:t>
      </w:r>
    </w:p>
    <w:p w14:paraId="78CB8BDF">
      <w:pPr>
        <w:ind w:firstLine="453" w:firstLineChars="219"/>
        <w:rPr>
          <w:rFonts w:hint="default" w:ascii="Times New Roman" w:hAnsi="Times New Roman" w:cs="Times New Roman"/>
          <w:color w:val="auto"/>
          <w:highlight w:val="none"/>
        </w:rPr>
      </w:pPr>
      <w:r>
        <w:rPr>
          <w:rFonts w:hint="default" w:ascii="Times New Roman" w:hAnsi="Times New Roman" w:eastAsia="宋体" w:cs="Times New Roman"/>
          <w:color w:val="auto"/>
          <w:spacing w:val="-7"/>
          <w:sz w:val="24"/>
          <w:szCs w:val="24"/>
          <w:highlight w:val="none"/>
        </w:rPr>
        <w:t>本项目运营期无废气产生，无大气环境影响。</w:t>
      </w:r>
    </w:p>
    <w:p w14:paraId="3032110D">
      <w:pPr>
        <w:pStyle w:val="6"/>
        <w:numPr>
          <w:ilvl w:val="3"/>
          <w:numId w:val="50"/>
        </w:numPr>
        <w:bidi w:val="0"/>
        <w:ind w:left="0" w:leftChars="0" w:firstLine="0" w:firstLineChars="0"/>
        <w:rPr>
          <w:rFonts w:hint="default"/>
          <w:color w:val="auto"/>
          <w:highlight w:val="none"/>
        </w:rPr>
      </w:pPr>
      <w:r>
        <w:rPr>
          <w:rFonts w:hint="eastAsia"/>
          <w:color w:val="auto"/>
          <w:highlight w:val="none"/>
          <w:lang w:eastAsia="zh-CN"/>
        </w:rPr>
        <w:t>运营期</w:t>
      </w:r>
      <w:r>
        <w:rPr>
          <w:rFonts w:hint="default"/>
          <w:color w:val="auto"/>
          <w:highlight w:val="none"/>
        </w:rPr>
        <w:t>水环境影响</w:t>
      </w:r>
    </w:p>
    <w:p w14:paraId="52085FFC">
      <w:pPr>
        <w:pStyle w:val="410"/>
        <w:rPr>
          <w:rFonts w:hint="default" w:ascii="Times New Roman" w:hAnsi="Times New Roman" w:eastAsia="宋体" w:cs="Times New Roman"/>
          <w:color w:val="auto"/>
          <w:highlight w:val="none"/>
          <w:lang w:eastAsia="zh-CN"/>
        </w:rPr>
      </w:pPr>
      <w:r>
        <w:rPr>
          <w:rFonts w:hint="eastAsia" w:ascii="Times New Roman" w:cs="Times New Roman"/>
          <w:color w:val="auto"/>
          <w:highlight w:val="none"/>
          <w:lang w:eastAsia="zh-CN"/>
        </w:rPr>
        <w:t>本项目运营期无废水产生</w:t>
      </w:r>
      <w:r>
        <w:rPr>
          <w:rFonts w:hint="default" w:ascii="Times New Roman" w:hAnsi="Times New Roman" w:eastAsia="宋体" w:cs="Times New Roman"/>
          <w:color w:val="auto"/>
          <w:highlight w:val="none"/>
          <w:lang w:eastAsia="zh-CN"/>
        </w:rPr>
        <w:t>，</w:t>
      </w:r>
      <w:r>
        <w:rPr>
          <w:rFonts w:hint="eastAsia" w:ascii="Times New Roman" w:cs="Times New Roman"/>
          <w:color w:val="auto"/>
          <w:highlight w:val="none"/>
          <w:lang w:eastAsia="zh-CN"/>
        </w:rPr>
        <w:t>对地表水环境无影响</w:t>
      </w:r>
      <w:r>
        <w:rPr>
          <w:rFonts w:hint="default" w:ascii="Times New Roman" w:hAnsi="Times New Roman" w:cs="Times New Roman"/>
          <w:color w:val="auto"/>
          <w:highlight w:val="none"/>
        </w:rPr>
        <w:t>。</w:t>
      </w:r>
    </w:p>
    <w:p w14:paraId="18BEEE87">
      <w:pPr>
        <w:pStyle w:val="6"/>
        <w:numPr>
          <w:ilvl w:val="3"/>
          <w:numId w:val="50"/>
        </w:numPr>
        <w:bidi w:val="0"/>
        <w:ind w:left="0" w:leftChars="0" w:firstLine="0" w:firstLineChars="0"/>
        <w:rPr>
          <w:rFonts w:hint="default"/>
          <w:color w:val="auto"/>
          <w:highlight w:val="none"/>
        </w:rPr>
      </w:pPr>
      <w:r>
        <w:rPr>
          <w:rFonts w:hint="eastAsia"/>
          <w:color w:val="auto"/>
          <w:highlight w:val="none"/>
          <w:lang w:eastAsia="zh-CN"/>
        </w:rPr>
        <w:t>运营期</w:t>
      </w:r>
      <w:r>
        <w:rPr>
          <w:rFonts w:hint="default"/>
          <w:color w:val="auto"/>
          <w:highlight w:val="none"/>
        </w:rPr>
        <w:t>声环境影响</w:t>
      </w:r>
    </w:p>
    <w:p w14:paraId="1183295B">
      <w:pPr>
        <w:ind w:firstLine="484" w:firstLineChars="219"/>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本项目</w:t>
      </w:r>
      <w:r>
        <w:rPr>
          <w:rFonts w:hint="eastAsia" w:ascii="Times New Roman" w:hAnsi="Times New Roman" w:cs="Times New Roman"/>
          <w:color w:val="auto"/>
          <w:highlight w:val="none"/>
          <w:lang w:eastAsia="zh-CN"/>
        </w:rPr>
        <w:t>运营期</w:t>
      </w:r>
      <w:r>
        <w:rPr>
          <w:rFonts w:hint="eastAsia" w:ascii="Times New Roman" w:cs="Times New Roman"/>
          <w:color w:val="auto"/>
          <w:highlight w:val="none"/>
          <w:lang w:eastAsia="zh-CN"/>
        </w:rPr>
        <w:t>无设备噪声产生，对周边噪声影响不大</w:t>
      </w:r>
      <w:r>
        <w:rPr>
          <w:rFonts w:hint="default" w:ascii="Times New Roman" w:hAnsi="Times New Roman" w:cs="Times New Roman"/>
          <w:color w:val="auto"/>
          <w:highlight w:val="none"/>
          <w:lang w:eastAsia="zh-CN"/>
        </w:rPr>
        <w:t>。</w:t>
      </w:r>
    </w:p>
    <w:p w14:paraId="3263EA3D">
      <w:pPr>
        <w:pStyle w:val="6"/>
        <w:numPr>
          <w:ilvl w:val="3"/>
          <w:numId w:val="50"/>
        </w:numPr>
        <w:bidi w:val="0"/>
        <w:ind w:left="0" w:leftChars="0" w:firstLine="0" w:firstLineChars="0"/>
        <w:rPr>
          <w:rFonts w:hint="default"/>
          <w:color w:val="auto"/>
          <w:highlight w:val="none"/>
        </w:rPr>
      </w:pPr>
      <w:r>
        <w:rPr>
          <w:rFonts w:hint="eastAsia"/>
          <w:color w:val="auto"/>
          <w:highlight w:val="none"/>
          <w:lang w:eastAsia="zh-CN"/>
        </w:rPr>
        <w:t>运营期</w:t>
      </w:r>
      <w:r>
        <w:rPr>
          <w:rFonts w:hint="default"/>
          <w:color w:val="auto"/>
          <w:highlight w:val="none"/>
        </w:rPr>
        <w:t>固体废物影响</w:t>
      </w:r>
    </w:p>
    <w:p w14:paraId="1A89434D">
      <w:pPr>
        <w:pStyle w:val="410"/>
        <w:rPr>
          <w:rFonts w:hint="default" w:ascii="Times New Roman" w:hAnsi="Times New Roman" w:cs="Times New Roman"/>
          <w:color w:val="auto"/>
          <w:highlight w:val="none"/>
        </w:rPr>
      </w:pPr>
      <w:r>
        <w:rPr>
          <w:rFonts w:hint="eastAsia" w:ascii="Times New Roman" w:cs="Times New Roman"/>
          <w:color w:val="auto"/>
          <w:highlight w:val="none"/>
          <w:lang w:eastAsia="zh-CN"/>
        </w:rPr>
        <w:t>本项目运营期无固体废物产生</w:t>
      </w:r>
      <w:r>
        <w:rPr>
          <w:rFonts w:hint="default" w:ascii="Times New Roman" w:hAnsi="Times New Roman" w:eastAsia="宋体" w:cs="Times New Roman"/>
          <w:color w:val="auto"/>
          <w:highlight w:val="none"/>
          <w:lang w:eastAsia="zh-CN"/>
        </w:rPr>
        <w:t>，</w:t>
      </w:r>
      <w:r>
        <w:rPr>
          <w:rFonts w:hint="eastAsia" w:ascii="Times New Roman" w:cs="Times New Roman"/>
          <w:color w:val="auto"/>
          <w:highlight w:val="none"/>
          <w:lang w:eastAsia="zh-CN"/>
        </w:rPr>
        <w:t>对地表水环境无影响</w:t>
      </w:r>
      <w:r>
        <w:rPr>
          <w:rFonts w:hint="default" w:ascii="Times New Roman" w:hAnsi="Times New Roman" w:cs="Times New Roman"/>
          <w:color w:val="auto"/>
          <w:highlight w:val="none"/>
        </w:rPr>
        <w:t>。</w:t>
      </w:r>
    </w:p>
    <w:p w14:paraId="03E4DD54">
      <w:pPr>
        <w:pStyle w:val="4"/>
        <w:numPr>
          <w:ilvl w:val="1"/>
          <w:numId w:val="50"/>
        </w:numPr>
        <w:bidi w:val="0"/>
        <w:ind w:left="678" w:leftChars="0" w:firstLine="0" w:firstLineChars="0"/>
        <w:rPr>
          <w:rFonts w:hint="default"/>
          <w:color w:val="auto"/>
          <w:highlight w:val="none"/>
        </w:rPr>
      </w:pPr>
      <w:bookmarkStart w:id="172" w:name="_Toc30216"/>
      <w:r>
        <w:rPr>
          <w:rFonts w:hint="default"/>
          <w:color w:val="auto"/>
          <w:highlight w:val="none"/>
        </w:rPr>
        <w:t>环境风险</w:t>
      </w:r>
      <w:bookmarkEnd w:id="172"/>
    </w:p>
    <w:p w14:paraId="17BFE32D">
      <w:pPr>
        <w:ind w:firstLine="484" w:firstLineChars="219"/>
        <w:rPr>
          <w:rFonts w:hint="default" w:ascii="Times New Roman" w:hAnsi="Times New Roman" w:cs="Times New Roman"/>
          <w:color w:val="auto"/>
          <w:highlight w:val="none"/>
        </w:rPr>
      </w:pPr>
      <w:r>
        <w:rPr>
          <w:rFonts w:hint="default" w:ascii="Times New Roman" w:hAnsi="Times New Roman" w:cs="Times New Roman"/>
          <w:color w:val="auto"/>
          <w:highlight w:val="none"/>
        </w:rPr>
        <w:t>本工程属于防洪工程项目，可能发生的事故风险主要为遭受极端天气或施工问题造成的堤防不稳固风险；以及施工期基坑排水、洗车废水事故外排排放、燃油油料泄漏的环境风险。在采取本报告提出的风险防范措施，并采取有效的综合管理措施的前提下，所产生的环境风险可以控制在可接受风险水平之内。</w:t>
      </w:r>
    </w:p>
    <w:p w14:paraId="648F12EB">
      <w:pPr>
        <w:pStyle w:val="4"/>
        <w:numPr>
          <w:ilvl w:val="1"/>
          <w:numId w:val="50"/>
        </w:numPr>
        <w:bidi w:val="0"/>
        <w:ind w:left="678" w:leftChars="0" w:firstLine="0" w:firstLineChars="0"/>
        <w:rPr>
          <w:rFonts w:hint="default"/>
          <w:color w:val="auto"/>
          <w:highlight w:val="none"/>
        </w:rPr>
      </w:pPr>
      <w:bookmarkStart w:id="173" w:name="_Toc20231"/>
      <w:bookmarkStart w:id="174" w:name="_Toc149836178"/>
      <w:r>
        <w:rPr>
          <w:rFonts w:hint="default"/>
          <w:color w:val="auto"/>
          <w:highlight w:val="none"/>
        </w:rPr>
        <w:t>环保措施</w:t>
      </w:r>
      <w:bookmarkEnd w:id="173"/>
      <w:bookmarkEnd w:id="174"/>
    </w:p>
    <w:p w14:paraId="5B41E11F">
      <w:pPr>
        <w:pStyle w:val="5"/>
        <w:numPr>
          <w:ilvl w:val="2"/>
          <w:numId w:val="50"/>
        </w:numPr>
        <w:bidi w:val="0"/>
        <w:ind w:left="452" w:leftChars="0" w:firstLine="0" w:firstLineChars="0"/>
        <w:rPr>
          <w:rFonts w:hint="default"/>
          <w:color w:val="auto"/>
          <w:highlight w:val="none"/>
        </w:rPr>
      </w:pPr>
      <w:r>
        <w:rPr>
          <w:rFonts w:hint="default"/>
          <w:color w:val="auto"/>
          <w:highlight w:val="none"/>
        </w:rPr>
        <w:t>施工期</w:t>
      </w:r>
    </w:p>
    <w:p w14:paraId="110AA497">
      <w:pPr>
        <w:pStyle w:val="6"/>
        <w:numPr>
          <w:ilvl w:val="3"/>
          <w:numId w:val="50"/>
        </w:numPr>
        <w:bidi w:val="0"/>
        <w:ind w:left="0" w:leftChars="0" w:firstLine="0" w:firstLineChars="0"/>
        <w:rPr>
          <w:rFonts w:hint="default"/>
          <w:color w:val="auto"/>
          <w:highlight w:val="none"/>
        </w:rPr>
      </w:pPr>
      <w:r>
        <w:rPr>
          <w:rFonts w:hint="default"/>
          <w:color w:val="auto"/>
          <w:highlight w:val="none"/>
        </w:rPr>
        <w:t>施工期生态保护措施</w:t>
      </w:r>
    </w:p>
    <w:p w14:paraId="135F22FC">
      <w:pPr>
        <w:ind w:firstLine="484" w:firstLineChars="219"/>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加强施工期环境保护管理，严格控制施工场地的范围，减少占用，施工作业严格控制在征地范围内，尽可能减少对土壤和周边林地的破坏；教育、约束施工人员严格保护施工区周围的绿地植被，禁止捕猎野生动物；不能随意砍伐施工场界内、外的树木，施工和生活所需的木料、燃料等尽量从钦州市周边市场购买运入，严禁在当地砍伐；在各施工区，工程完工后应及时恢复植被。所有临时用地使用后，应尽快进行生态恢复。绿化及水土保持草种、树种应采用当地种，尽量不用或少用外来种</w:t>
      </w:r>
      <w:r>
        <w:rPr>
          <w:rFonts w:hint="default" w:ascii="Times New Roman" w:hAnsi="Times New Roman" w:cs="Times New Roman"/>
          <w:color w:val="auto"/>
          <w:highlight w:val="none"/>
        </w:rPr>
        <w:t>。</w:t>
      </w:r>
    </w:p>
    <w:p w14:paraId="384B7053">
      <w:pPr>
        <w:pStyle w:val="6"/>
        <w:numPr>
          <w:ilvl w:val="3"/>
          <w:numId w:val="50"/>
        </w:numPr>
        <w:bidi w:val="0"/>
        <w:ind w:left="0" w:leftChars="0" w:firstLine="0" w:firstLineChars="0"/>
        <w:rPr>
          <w:rFonts w:hint="default"/>
          <w:color w:val="auto"/>
          <w:highlight w:val="none"/>
        </w:rPr>
      </w:pPr>
      <w:r>
        <w:rPr>
          <w:rFonts w:hint="default"/>
          <w:color w:val="auto"/>
          <w:highlight w:val="none"/>
        </w:rPr>
        <w:t>施工期大气污染防治措施</w:t>
      </w:r>
    </w:p>
    <w:p w14:paraId="796BA8D7">
      <w:pPr>
        <w:ind w:firstLine="484" w:firstLineChars="219"/>
        <w:rPr>
          <w:rFonts w:hint="eastAsia" w:ascii="Times New Roman" w:hAnsi="Times New Roman" w:eastAsia="宋体" w:cs="Times New Roman"/>
          <w:color w:val="auto"/>
          <w:highlight w:val="none"/>
          <w:u w:val="none"/>
          <w:lang w:eastAsia="zh-CN"/>
        </w:rPr>
      </w:pPr>
      <w:r>
        <w:rPr>
          <w:rFonts w:hint="default" w:ascii="Times New Roman" w:hAnsi="Times New Roman" w:cs="Times New Roman"/>
          <w:color w:val="auto"/>
          <w:highlight w:val="none"/>
          <w:u w:val="none"/>
        </w:rPr>
        <w:t>本项目通过采取购买</w:t>
      </w:r>
      <w:r>
        <w:rPr>
          <w:rFonts w:hint="eastAsia" w:ascii="Times New Roman" w:cs="Times New Roman"/>
          <w:color w:val="auto"/>
          <w:highlight w:val="none"/>
          <w:u w:val="none"/>
          <w:lang w:eastAsia="zh-CN"/>
        </w:rPr>
        <w:t>商品</w:t>
      </w:r>
      <w:r>
        <w:rPr>
          <w:rFonts w:hint="default" w:ascii="Times New Roman" w:hAnsi="Times New Roman" w:cs="Times New Roman"/>
          <w:color w:val="auto"/>
          <w:highlight w:val="none"/>
          <w:u w:val="none"/>
        </w:rPr>
        <w:t>混凝土，对施工洒水降低施工扬尘；针对</w:t>
      </w:r>
      <w:r>
        <w:rPr>
          <w:rFonts w:hint="eastAsia" w:ascii="Times New Roman" w:cs="Times New Roman"/>
          <w:color w:val="auto"/>
          <w:highlight w:val="none"/>
          <w:u w:val="none"/>
          <w:lang w:eastAsia="zh-CN"/>
        </w:rPr>
        <w:t>临时中转场及规划道路回填区</w:t>
      </w:r>
      <w:r>
        <w:rPr>
          <w:rFonts w:hint="default" w:ascii="Times New Roman" w:hAnsi="Times New Roman" w:cs="Times New Roman"/>
          <w:color w:val="auto"/>
          <w:highlight w:val="none"/>
          <w:u w:val="none"/>
        </w:rPr>
        <w:t>扬尘，本项目采取覆盖措施</w:t>
      </w:r>
      <w:r>
        <w:rPr>
          <w:rFonts w:hint="eastAsia" w:ascii="Times New Roman" w:cs="Times New Roman"/>
          <w:color w:val="auto"/>
          <w:highlight w:val="none"/>
          <w:u w:val="none"/>
          <w:lang w:eastAsia="zh-CN"/>
        </w:rPr>
        <w:t>，并根据天气情况加强洒水次数</w:t>
      </w:r>
      <w:r>
        <w:rPr>
          <w:rFonts w:hint="default" w:ascii="Times New Roman" w:hAnsi="Times New Roman" w:cs="Times New Roman"/>
          <w:color w:val="auto"/>
          <w:highlight w:val="none"/>
          <w:u w:val="none"/>
        </w:rPr>
        <w:t>；本项目通过做好地面清洁，运输车辆及时清洗，运输时采用篷布遮盖等措施，降低道路运输扬尘；通过加强对施工机械、车辆的维修保养，禁止以柴油料的施工机械超负荷工作，减少尾气排放</w:t>
      </w:r>
      <w:r>
        <w:rPr>
          <w:rFonts w:hint="eastAsia" w:ascii="Times New Roman" w:cs="Times New Roman"/>
          <w:color w:val="auto"/>
          <w:highlight w:val="none"/>
          <w:u w:val="none"/>
          <w:lang w:eastAsia="zh-CN"/>
        </w:rPr>
        <w:t>；在临时堆土场淤泥表面喷洒生物除臭剂。</w:t>
      </w:r>
    </w:p>
    <w:p w14:paraId="33EF8855">
      <w:pPr>
        <w:pStyle w:val="6"/>
        <w:numPr>
          <w:ilvl w:val="3"/>
          <w:numId w:val="50"/>
        </w:numPr>
        <w:bidi w:val="0"/>
        <w:ind w:left="0" w:leftChars="0" w:firstLine="0" w:firstLineChars="0"/>
        <w:rPr>
          <w:rFonts w:hint="default"/>
          <w:color w:val="auto"/>
          <w:highlight w:val="none"/>
        </w:rPr>
      </w:pPr>
      <w:r>
        <w:rPr>
          <w:rFonts w:hint="default"/>
          <w:color w:val="auto"/>
          <w:highlight w:val="none"/>
        </w:rPr>
        <w:t>施工期水污染防治措施</w:t>
      </w:r>
    </w:p>
    <w:p w14:paraId="64C6D152">
      <w:pPr>
        <w:ind w:firstLine="484" w:firstLineChars="219"/>
        <w:rPr>
          <w:rFonts w:hint="default" w:ascii="Times New Roman" w:hAnsi="Times New Roman" w:cs="Times New Roman"/>
          <w:color w:val="auto"/>
          <w:highlight w:val="none"/>
        </w:rPr>
      </w:pPr>
      <w:r>
        <w:rPr>
          <w:rFonts w:hint="default" w:ascii="Times New Roman" w:hAnsi="Times New Roman" w:cs="Times New Roman"/>
          <w:color w:val="auto"/>
          <w:highlight w:val="none"/>
        </w:rPr>
        <w:t>混凝土养护废水</w:t>
      </w:r>
      <w:r>
        <w:rPr>
          <w:rFonts w:hint="default" w:ascii="Times New Roman" w:hAnsi="Times New Roman" w:cs="Times New Roman"/>
          <w:color w:val="auto"/>
          <w:highlight w:val="none"/>
          <w:lang w:eastAsia="zh-CN"/>
        </w:rPr>
        <w:t>经吸收或自然蒸发</w:t>
      </w:r>
      <w:r>
        <w:rPr>
          <w:rFonts w:hint="default" w:ascii="Times New Roman" w:hAnsi="Times New Roman" w:cs="Times New Roman"/>
          <w:color w:val="auto"/>
          <w:highlight w:val="none"/>
        </w:rPr>
        <w:t>，不外排；洗车废水经隔油和沉淀处理后，上清液可作为洗车和道路洒水用水</w:t>
      </w:r>
      <w:r>
        <w:rPr>
          <w:rFonts w:hint="default" w:ascii="Times New Roman" w:hAnsi="Times New Roman" w:cs="Times New Roman"/>
          <w:color w:val="auto"/>
          <w:highlight w:val="none"/>
          <w:lang w:eastAsia="zh-CN"/>
        </w:rPr>
        <w:t>，不外排；基坑废水经沉淀池沉淀后用于施工场地降尘，不外排</w:t>
      </w:r>
      <w:r>
        <w:rPr>
          <w:rFonts w:hint="eastAsia" w:ascii="Times New Roman" w:cs="Times New Roman"/>
          <w:color w:val="auto"/>
          <w:highlight w:val="none"/>
          <w:lang w:eastAsia="zh-CN"/>
        </w:rPr>
        <w:t>；淤泥</w:t>
      </w:r>
      <w:r>
        <w:rPr>
          <w:rFonts w:hint="eastAsia" w:ascii="Times New Roman" w:cs="Times New Roman"/>
          <w:color w:val="auto"/>
          <w:highlight w:val="none"/>
          <w:lang w:val="en-US" w:eastAsia="zh-CN"/>
        </w:rPr>
        <w:t>渗滤液</w:t>
      </w:r>
      <w:r>
        <w:rPr>
          <w:rFonts w:hint="default" w:ascii="Times New Roman" w:hAnsi="Times New Roman" w:cs="Times New Roman"/>
          <w:b w:val="0"/>
          <w:bCs/>
          <w:color w:val="auto"/>
          <w:kern w:val="2"/>
          <w:sz w:val="24"/>
          <w:szCs w:val="32"/>
          <w:highlight w:val="none"/>
          <w:lang w:val="en-US" w:eastAsia="zh-CN" w:bidi="ar-SA"/>
        </w:rPr>
        <w:t>经临时中转场四周的</w:t>
      </w:r>
      <w:r>
        <w:rPr>
          <w:rFonts w:hint="eastAsia" w:ascii="Times New Roman" w:cs="Times New Roman"/>
          <w:b w:val="0"/>
          <w:bCs/>
          <w:color w:val="auto"/>
          <w:kern w:val="2"/>
          <w:sz w:val="24"/>
          <w:szCs w:val="32"/>
          <w:highlight w:val="none"/>
          <w:lang w:val="en-US" w:eastAsia="zh-CN" w:bidi="ar-SA"/>
        </w:rPr>
        <w:t>截</w:t>
      </w:r>
      <w:r>
        <w:rPr>
          <w:rFonts w:hint="default" w:ascii="Times New Roman" w:hAnsi="Times New Roman" w:cs="Times New Roman"/>
          <w:b w:val="0"/>
          <w:bCs/>
          <w:color w:val="auto"/>
          <w:kern w:val="2"/>
          <w:sz w:val="24"/>
          <w:szCs w:val="32"/>
          <w:highlight w:val="none"/>
          <w:lang w:val="en-US" w:eastAsia="zh-CN" w:bidi="ar-SA"/>
        </w:rPr>
        <w:t>临时排水沟收集至沉沙池内，废水经沉淀处理后回用于临时中转场降尘</w:t>
      </w:r>
      <w:r>
        <w:rPr>
          <w:rFonts w:hint="eastAsia" w:ascii="Times New Roman" w:cs="Times New Roman"/>
          <w:b w:val="0"/>
          <w:bCs/>
          <w:color w:val="auto"/>
          <w:kern w:val="2"/>
          <w:sz w:val="24"/>
          <w:szCs w:val="32"/>
          <w:highlight w:val="none"/>
          <w:lang w:val="en-US" w:eastAsia="zh-CN" w:bidi="ar-SA"/>
        </w:rPr>
        <w:t>，不外排。</w:t>
      </w:r>
    </w:p>
    <w:p w14:paraId="6C598296">
      <w:pPr>
        <w:pStyle w:val="6"/>
        <w:numPr>
          <w:ilvl w:val="3"/>
          <w:numId w:val="50"/>
        </w:numPr>
        <w:bidi w:val="0"/>
        <w:ind w:left="0" w:leftChars="0" w:firstLine="0" w:firstLineChars="0"/>
        <w:rPr>
          <w:rFonts w:hint="default"/>
          <w:color w:val="auto"/>
          <w:highlight w:val="none"/>
        </w:rPr>
      </w:pPr>
      <w:r>
        <w:rPr>
          <w:rFonts w:hint="default"/>
          <w:color w:val="auto"/>
          <w:highlight w:val="none"/>
        </w:rPr>
        <w:t>施工期噪声污染防治措施</w:t>
      </w:r>
    </w:p>
    <w:p w14:paraId="182A59D6">
      <w:pPr>
        <w:ind w:firstLine="484" w:firstLineChars="219"/>
        <w:rPr>
          <w:rFonts w:hint="default" w:ascii="Times New Roman" w:hAnsi="Times New Roman" w:cs="Times New Roman"/>
          <w:color w:val="auto"/>
          <w:highlight w:val="none"/>
        </w:rPr>
      </w:pPr>
      <w:r>
        <w:rPr>
          <w:rFonts w:hint="eastAsia"/>
          <w:color w:val="auto"/>
          <w:highlight w:val="none"/>
          <w:lang w:val="en-US" w:eastAsia="zh-CN"/>
        </w:rPr>
        <w:t>禁止</w:t>
      </w:r>
      <w:r>
        <w:rPr>
          <w:rFonts w:hint="eastAsia" w:ascii="Times New Roman" w:cs="Times New Roman"/>
          <w:color w:val="auto"/>
          <w:highlight w:val="none"/>
          <w:lang w:eastAsia="zh-CN"/>
        </w:rPr>
        <w:t>午间（北京时间</w:t>
      </w:r>
      <w:r>
        <w:rPr>
          <w:rFonts w:hint="eastAsia" w:ascii="Times New Roman" w:cs="Times New Roman"/>
          <w:color w:val="auto"/>
          <w:highlight w:val="none"/>
          <w:lang w:val="en-US" w:eastAsia="zh-CN"/>
        </w:rPr>
        <w:t>12：00-14：00</w:t>
      </w:r>
      <w:r>
        <w:rPr>
          <w:rFonts w:hint="eastAsia" w:ascii="Times New Roman" w:cs="Times New Roman"/>
          <w:color w:val="auto"/>
          <w:highlight w:val="none"/>
          <w:lang w:eastAsia="zh-CN"/>
        </w:rPr>
        <w:t>）和夜间（</w:t>
      </w:r>
      <w:r>
        <w:rPr>
          <w:rFonts w:hint="eastAsia" w:ascii="Times New Roman" w:cs="Times New Roman"/>
          <w:color w:val="auto"/>
          <w:highlight w:val="none"/>
          <w:lang w:val="en-US" w:eastAsia="zh-CN"/>
        </w:rPr>
        <w:t>22：00-次日凌晨6：00</w:t>
      </w:r>
      <w:r>
        <w:rPr>
          <w:rFonts w:hint="eastAsia" w:ascii="Times New Roman" w:cs="Times New Roman"/>
          <w:color w:val="auto"/>
          <w:highlight w:val="none"/>
          <w:lang w:eastAsia="zh-CN"/>
        </w:rPr>
        <w:t>）</w:t>
      </w:r>
      <w:r>
        <w:rPr>
          <w:rFonts w:hint="eastAsia"/>
          <w:color w:val="auto"/>
          <w:highlight w:val="none"/>
          <w:lang w:val="en-US" w:eastAsia="zh-CN"/>
        </w:rPr>
        <w:t>时间施工，</w:t>
      </w:r>
      <w:r>
        <w:rPr>
          <w:rFonts w:hint="default" w:ascii="Times New Roman" w:hAnsi="Times New Roman" w:cs="Times New Roman"/>
          <w:color w:val="auto"/>
          <w:highlight w:val="none"/>
        </w:rPr>
        <w:t>采用低噪声设备；加强设备日常维修保养；根据施工材料的运输目的地选取适宜的运输路线、路过居民点减速慢行；合理安排作业时间；高噪声设备施工时应实施封闭或半封闭隔声</w:t>
      </w:r>
      <w:r>
        <w:rPr>
          <w:rFonts w:hint="eastAsia" w:ascii="Times New Roman" w:cs="Times New Roman"/>
          <w:color w:val="auto"/>
          <w:highlight w:val="none"/>
          <w:lang w:eastAsia="zh-CN"/>
        </w:rPr>
        <w:t>隔声</w:t>
      </w:r>
      <w:r>
        <w:rPr>
          <w:rFonts w:hint="default" w:ascii="Times New Roman" w:hAnsi="Times New Roman" w:cs="Times New Roman"/>
          <w:color w:val="auto"/>
          <w:highlight w:val="none"/>
        </w:rPr>
        <w:t>降噪。</w:t>
      </w:r>
    </w:p>
    <w:p w14:paraId="7A741B0E">
      <w:pPr>
        <w:pStyle w:val="6"/>
        <w:numPr>
          <w:ilvl w:val="3"/>
          <w:numId w:val="50"/>
        </w:numPr>
        <w:bidi w:val="0"/>
        <w:ind w:left="0" w:leftChars="0" w:firstLine="0" w:firstLineChars="0"/>
        <w:rPr>
          <w:rFonts w:hint="default"/>
          <w:color w:val="auto"/>
          <w:highlight w:val="none"/>
        </w:rPr>
      </w:pPr>
      <w:r>
        <w:rPr>
          <w:rFonts w:hint="default"/>
          <w:color w:val="auto"/>
          <w:highlight w:val="none"/>
        </w:rPr>
        <w:t>施工期固体废物防治措施</w:t>
      </w:r>
    </w:p>
    <w:p w14:paraId="679D9F96">
      <w:pPr>
        <w:ind w:firstLine="484" w:firstLineChars="219"/>
        <w:rPr>
          <w:rFonts w:hint="default" w:ascii="Times New Roman" w:hAnsi="Times New Roman" w:cs="Times New Roman"/>
          <w:color w:val="auto"/>
          <w:highlight w:val="none"/>
          <w:u w:val="single"/>
        </w:rPr>
      </w:pPr>
      <w:r>
        <w:rPr>
          <w:rFonts w:hint="default" w:ascii="Times New Roman" w:hAnsi="Times New Roman" w:eastAsia="宋体" w:cs="Times New Roman"/>
          <w:color w:val="auto"/>
          <w:highlight w:val="none"/>
        </w:rPr>
        <w:t>项目建设过程中形成的建筑垃圾，应运至指定的</w:t>
      </w:r>
      <w:r>
        <w:rPr>
          <w:rFonts w:hint="default" w:ascii="Times New Roman" w:hAnsi="Times New Roman" w:eastAsia="宋体" w:cs="Times New Roman"/>
          <w:color w:val="auto"/>
          <w:highlight w:val="none"/>
          <w:lang w:val="en-US" w:eastAsia="zh-CN"/>
        </w:rPr>
        <w:t>市政消纳场处置。</w:t>
      </w:r>
    </w:p>
    <w:p w14:paraId="61C14946">
      <w:pPr>
        <w:pStyle w:val="5"/>
        <w:numPr>
          <w:ilvl w:val="2"/>
          <w:numId w:val="50"/>
        </w:numPr>
        <w:bidi w:val="0"/>
        <w:ind w:left="452" w:leftChars="0" w:firstLine="0" w:firstLineChars="0"/>
        <w:rPr>
          <w:rFonts w:hint="default"/>
          <w:color w:val="auto"/>
          <w:highlight w:val="none"/>
        </w:rPr>
      </w:pPr>
      <w:r>
        <w:rPr>
          <w:rFonts w:hint="default"/>
          <w:color w:val="auto"/>
          <w:highlight w:val="none"/>
        </w:rPr>
        <w:t>运营期</w:t>
      </w:r>
    </w:p>
    <w:p w14:paraId="404A9442">
      <w:pPr>
        <w:pStyle w:val="6"/>
        <w:numPr>
          <w:ilvl w:val="3"/>
          <w:numId w:val="50"/>
        </w:numPr>
        <w:bidi w:val="0"/>
        <w:ind w:left="0" w:leftChars="0" w:firstLine="0" w:firstLineChars="0"/>
        <w:rPr>
          <w:rFonts w:hint="default"/>
          <w:color w:val="auto"/>
          <w:highlight w:val="none"/>
        </w:rPr>
      </w:pPr>
      <w:r>
        <w:rPr>
          <w:rFonts w:hint="default"/>
          <w:color w:val="auto"/>
          <w:highlight w:val="none"/>
        </w:rPr>
        <w:t>运营期生态保护措施</w:t>
      </w:r>
    </w:p>
    <w:p w14:paraId="0DCB44EF">
      <w:pPr>
        <w:ind w:firstLine="484" w:firstLineChars="219"/>
        <w:rPr>
          <w:rFonts w:hint="default" w:ascii="Times New Roman" w:hAnsi="Times New Roman" w:cs="Times New Roman"/>
          <w:color w:val="auto"/>
          <w:highlight w:val="none"/>
        </w:rPr>
      </w:pPr>
      <w:r>
        <w:rPr>
          <w:rFonts w:hint="default" w:ascii="Times New Roman" w:hAnsi="Times New Roman" w:cs="Times New Roman"/>
          <w:color w:val="auto"/>
          <w:highlight w:val="none"/>
        </w:rPr>
        <w:t>做好</w:t>
      </w:r>
      <w:r>
        <w:rPr>
          <w:rFonts w:hint="eastAsia" w:ascii="Times New Roman" w:hAnsi="Times New Roman" w:cs="Times New Roman"/>
          <w:color w:val="auto"/>
          <w:highlight w:val="none"/>
          <w:lang w:eastAsia="zh-CN"/>
        </w:rPr>
        <w:t>运营期</w:t>
      </w:r>
      <w:r>
        <w:rPr>
          <w:rFonts w:hint="default" w:ascii="Times New Roman" w:hAnsi="Times New Roman" w:cs="Times New Roman"/>
          <w:color w:val="auto"/>
          <w:highlight w:val="none"/>
          <w:lang w:eastAsia="zh-CN"/>
        </w:rPr>
        <w:t>堤防管理</w:t>
      </w:r>
      <w:r>
        <w:rPr>
          <w:rFonts w:hint="default" w:ascii="Times New Roman" w:hAnsi="Times New Roman" w:cs="Times New Roman"/>
          <w:color w:val="auto"/>
          <w:highlight w:val="none"/>
        </w:rPr>
        <w:t>。</w:t>
      </w:r>
    </w:p>
    <w:p w14:paraId="12EC874D">
      <w:pPr>
        <w:pStyle w:val="6"/>
        <w:numPr>
          <w:ilvl w:val="3"/>
          <w:numId w:val="50"/>
        </w:numPr>
        <w:bidi w:val="0"/>
        <w:ind w:left="0" w:leftChars="0" w:firstLine="0" w:firstLineChars="0"/>
        <w:rPr>
          <w:rFonts w:hint="default"/>
          <w:color w:val="auto"/>
          <w:highlight w:val="none"/>
        </w:rPr>
      </w:pPr>
      <w:r>
        <w:rPr>
          <w:rFonts w:hint="default"/>
          <w:color w:val="auto"/>
          <w:highlight w:val="none"/>
        </w:rPr>
        <w:t>运营期大气污染防治措施</w:t>
      </w:r>
    </w:p>
    <w:p w14:paraId="5A459205">
      <w:pPr>
        <w:pStyle w:val="684"/>
        <w:ind w:firstLine="442"/>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项目运营期不产生废气。</w:t>
      </w:r>
    </w:p>
    <w:p w14:paraId="27345729">
      <w:pPr>
        <w:pStyle w:val="6"/>
        <w:numPr>
          <w:ilvl w:val="3"/>
          <w:numId w:val="50"/>
        </w:numPr>
        <w:bidi w:val="0"/>
        <w:ind w:left="0" w:leftChars="0" w:firstLine="0" w:firstLineChars="0"/>
        <w:rPr>
          <w:rFonts w:hint="default"/>
          <w:color w:val="auto"/>
          <w:highlight w:val="none"/>
        </w:rPr>
      </w:pPr>
      <w:r>
        <w:rPr>
          <w:rFonts w:hint="default"/>
          <w:color w:val="auto"/>
          <w:highlight w:val="none"/>
        </w:rPr>
        <w:t>运营期水污染防治措施</w:t>
      </w:r>
    </w:p>
    <w:p w14:paraId="77EBF1BC">
      <w:pPr>
        <w:pStyle w:val="684"/>
        <w:ind w:firstLine="442"/>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项目运营期不产生废水</w:t>
      </w:r>
      <w:r>
        <w:rPr>
          <w:rFonts w:hint="default" w:ascii="Times New Roman" w:hAnsi="Times New Roman" w:cs="Times New Roman"/>
          <w:color w:val="auto"/>
          <w:highlight w:val="none"/>
        </w:rPr>
        <w:t>。</w:t>
      </w:r>
    </w:p>
    <w:p w14:paraId="42B3EC37">
      <w:pPr>
        <w:pStyle w:val="6"/>
        <w:numPr>
          <w:ilvl w:val="3"/>
          <w:numId w:val="50"/>
        </w:numPr>
        <w:bidi w:val="0"/>
        <w:ind w:left="0" w:leftChars="0" w:firstLine="0" w:firstLineChars="0"/>
        <w:rPr>
          <w:rFonts w:hint="default"/>
          <w:color w:val="auto"/>
          <w:highlight w:val="none"/>
        </w:rPr>
      </w:pPr>
      <w:r>
        <w:rPr>
          <w:rFonts w:hint="default"/>
          <w:color w:val="auto"/>
          <w:highlight w:val="none"/>
        </w:rPr>
        <w:t>运营期噪声污染防治措施</w:t>
      </w:r>
    </w:p>
    <w:p w14:paraId="572B418E">
      <w:pPr>
        <w:ind w:firstLine="484" w:firstLineChars="219"/>
        <w:rPr>
          <w:rFonts w:hint="default"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eastAsia="zh-CN"/>
        </w:rPr>
        <w:t>项目运营期不产生噪声</w:t>
      </w:r>
      <w:r>
        <w:rPr>
          <w:rFonts w:hint="default" w:ascii="Times New Roman" w:hAnsi="Times New Roman" w:cs="Times New Roman"/>
          <w:color w:val="auto"/>
          <w:highlight w:val="none"/>
          <w:lang w:eastAsia="zh-CN"/>
        </w:rPr>
        <w:t>。</w:t>
      </w:r>
    </w:p>
    <w:p w14:paraId="5024FECC">
      <w:pPr>
        <w:pStyle w:val="6"/>
        <w:numPr>
          <w:ilvl w:val="3"/>
          <w:numId w:val="50"/>
        </w:numPr>
        <w:bidi w:val="0"/>
        <w:ind w:left="0" w:leftChars="0" w:firstLine="0" w:firstLineChars="0"/>
        <w:rPr>
          <w:rFonts w:hint="default"/>
          <w:color w:val="auto"/>
          <w:highlight w:val="none"/>
        </w:rPr>
      </w:pPr>
      <w:r>
        <w:rPr>
          <w:rFonts w:hint="default"/>
          <w:color w:val="auto"/>
          <w:highlight w:val="none"/>
        </w:rPr>
        <w:t>运营期固体废物防治措施</w:t>
      </w:r>
    </w:p>
    <w:p w14:paraId="4DE01389">
      <w:pPr>
        <w:ind w:firstLine="484" w:firstLineChars="219"/>
        <w:rPr>
          <w:rFonts w:hint="default"/>
          <w:color w:val="auto"/>
          <w:highlight w:val="none"/>
          <w:lang w:eastAsia="zh-CN"/>
        </w:rPr>
      </w:pPr>
      <w:r>
        <w:rPr>
          <w:rFonts w:hint="eastAsia" w:ascii="Times New Roman" w:hAnsi="Times New Roman" w:cs="Times New Roman"/>
          <w:color w:val="auto"/>
          <w:highlight w:val="none"/>
          <w:lang w:eastAsia="zh-CN"/>
        </w:rPr>
        <w:t>项目运营期不产生固体废物</w:t>
      </w:r>
      <w:r>
        <w:rPr>
          <w:rFonts w:hint="default" w:ascii="Times New Roman" w:hAnsi="Times New Roman" w:cs="Times New Roman"/>
          <w:color w:val="auto"/>
          <w:highlight w:val="none"/>
          <w:lang w:eastAsia="zh-CN"/>
        </w:rPr>
        <w:t>。</w:t>
      </w:r>
    </w:p>
    <w:p w14:paraId="5B8C39CA">
      <w:pPr>
        <w:pStyle w:val="5"/>
        <w:numPr>
          <w:ilvl w:val="2"/>
          <w:numId w:val="50"/>
        </w:numPr>
        <w:bidi w:val="0"/>
        <w:ind w:left="452" w:leftChars="0" w:firstLine="0" w:firstLineChars="0"/>
        <w:rPr>
          <w:rFonts w:hint="default"/>
          <w:color w:val="auto"/>
          <w:highlight w:val="none"/>
          <w:lang w:eastAsia="zh-CN"/>
        </w:rPr>
      </w:pPr>
      <w:r>
        <w:rPr>
          <w:rFonts w:hint="eastAsia" w:ascii="Arial" w:hAnsi="Arial" w:eastAsia="黑体" w:cs="Times New Roman"/>
          <w:b/>
          <w:bCs/>
          <w:color w:val="auto"/>
          <w:sz w:val="30"/>
          <w:szCs w:val="32"/>
          <w:highlight w:val="none"/>
          <w:lang w:val="en-US" w:eastAsia="zh-CN" w:bidi="ar-SA"/>
        </w:rPr>
        <w:t>建设项目公众参与</w:t>
      </w:r>
    </w:p>
    <w:p w14:paraId="7D1C5F33">
      <w:pPr>
        <w:ind w:firstLine="484" w:firstLineChars="21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建设单位于</w:t>
      </w:r>
      <w:r>
        <w:rPr>
          <w:rFonts w:hint="eastAsia" w:ascii="Times New Roman" w:cs="Times New Roman"/>
          <w:color w:val="auto"/>
          <w:highlight w:val="none"/>
          <w:lang w:val="en-US" w:eastAsia="zh-CN"/>
        </w:rPr>
        <w:t>2024</w:t>
      </w:r>
      <w:r>
        <w:rPr>
          <w:rFonts w:hint="eastAsia" w:ascii="Times New Roman" w:hAnsi="Times New Roman" w:eastAsia="宋体" w:cs="Times New Roman"/>
          <w:color w:val="auto"/>
          <w:highlight w:val="none"/>
          <w:lang w:val="en-US" w:eastAsia="zh-CN"/>
        </w:rPr>
        <w:t>年</w:t>
      </w:r>
      <w:r>
        <w:rPr>
          <w:rFonts w:hint="eastAsia" w:ascii="Times New Roman" w:cs="Times New Roman"/>
          <w:color w:val="auto"/>
          <w:highlight w:val="none"/>
          <w:lang w:val="en-US" w:eastAsia="zh-CN"/>
        </w:rPr>
        <w:t>11</w:t>
      </w:r>
      <w:r>
        <w:rPr>
          <w:rFonts w:hint="eastAsia" w:ascii="Times New Roman" w:hAnsi="Times New Roman" w:eastAsia="宋体" w:cs="Times New Roman"/>
          <w:color w:val="auto"/>
          <w:highlight w:val="none"/>
          <w:lang w:val="en-US" w:eastAsia="zh-CN"/>
        </w:rPr>
        <w:t>月委托我单位开展</w:t>
      </w:r>
      <w:r>
        <w:rPr>
          <w:rFonts w:hint="default" w:ascii="Times New Roman" w:hAnsi="Times New Roman" w:eastAsia="宋体" w:cs="Times New Roman"/>
          <w:color w:val="auto"/>
          <w:highlight w:val="none"/>
        </w:rPr>
        <w:t>钦州港新型城乡融合发展示范区（自贸新城）排水改造工程</w:t>
      </w:r>
      <w:r>
        <w:rPr>
          <w:rFonts w:hint="eastAsia" w:ascii="Times New Roman" w:hAnsi="Times New Roman" w:eastAsia="宋体" w:cs="Times New Roman"/>
          <w:color w:val="auto"/>
          <w:highlight w:val="none"/>
          <w:lang w:eastAsia="zh-CN"/>
        </w:rPr>
        <w:t>环境影响报告书编制工</w:t>
      </w:r>
      <w:r>
        <w:rPr>
          <w:rFonts w:hint="eastAsia" w:ascii="Times New Roman" w:hAnsi="Times New Roman" w:eastAsia="宋体" w:cs="Times New Roman"/>
          <w:color w:val="auto"/>
          <w:highlight w:val="none"/>
          <w:lang w:val="en-US" w:eastAsia="zh-CN"/>
        </w:rPr>
        <w:t>作。在接受环评委托后，于2025年3月24日在全国建设项目环境公示平台（</w:t>
      </w:r>
      <w:r>
        <w:rPr>
          <w:rFonts w:hint="default" w:ascii="Times New Roman" w:hAnsi="Times New Roman" w:eastAsia="宋体" w:cs="Times New Roman"/>
          <w:color w:val="auto"/>
          <w:highlight w:val="none"/>
          <w:lang w:val="en-US" w:eastAsia="zh-CN"/>
        </w:rPr>
        <w:t>https://www.eiacloud.com/gs</w:t>
      </w:r>
      <w:r>
        <w:rPr>
          <w:rFonts w:hint="eastAsia" w:ascii="Times New Roman" w:hAnsi="Times New Roman" w:eastAsia="宋体" w:cs="Times New Roman"/>
          <w:color w:val="auto"/>
          <w:highlight w:val="none"/>
          <w:lang w:val="en-US" w:eastAsia="zh-CN"/>
        </w:rPr>
        <w:t>）第一次项目环评信息公示，公示时间为10个工作日，公示内容为项目建设地点、工程概况、公众参与主要内容、公众参与的方式以及环评单位的联系方式等。</w:t>
      </w:r>
    </w:p>
    <w:p w14:paraId="4187E67F">
      <w:pPr>
        <w:ind w:firstLine="484" w:firstLineChars="21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环评文件编制完成后，于2025年4月18日在全国建设项目环境公示平台（https://www.eiacloud.com/gs）进行第二次项目环评信息公示，公示时间 为</w:t>
      </w:r>
      <w:r>
        <w:rPr>
          <w:rFonts w:hint="default" w:ascii="Times New Roman" w:hAnsi="Times New Roman" w:eastAsia="宋体" w:cs="Times New Roman"/>
          <w:color w:val="auto"/>
          <w:highlight w:val="none"/>
          <w:lang w:val="en-US" w:eastAsia="zh-CN"/>
        </w:rPr>
        <w:t>10</w:t>
      </w:r>
      <w:r>
        <w:rPr>
          <w:rFonts w:hint="eastAsia" w:ascii="Times New Roman" w:hAnsi="Times New Roman" w:eastAsia="宋体" w:cs="Times New Roman"/>
          <w:color w:val="auto"/>
          <w:highlight w:val="none"/>
          <w:lang w:val="en-US" w:eastAsia="zh-CN"/>
        </w:rPr>
        <w:t>个工作日，并于4月23日、4月24日在</w:t>
      </w:r>
      <w:r>
        <w:rPr>
          <w:rFonts w:hint="eastAsia" w:ascii="Times New Roman" w:cs="Times New Roman"/>
          <w:color w:val="auto"/>
          <w:highlight w:val="none"/>
          <w:lang w:val="en-US" w:eastAsia="zh-CN"/>
        </w:rPr>
        <w:t>国际商报进行</w:t>
      </w:r>
      <w:r>
        <w:rPr>
          <w:rFonts w:hint="eastAsia" w:ascii="Times New Roman" w:hAnsi="Times New Roman" w:eastAsia="宋体" w:cs="Times New Roman"/>
          <w:color w:val="auto"/>
          <w:highlight w:val="none"/>
          <w:lang w:val="en-US" w:eastAsia="zh-CN"/>
        </w:rPr>
        <w:t>报纸公示。于4月25日、4月26日在项目现场及敏感保护目标周边进行项目张贴公示。</w:t>
      </w:r>
    </w:p>
    <w:p w14:paraId="3C812CF1">
      <w:pPr>
        <w:ind w:firstLine="484" w:firstLineChars="21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公示期间未收到任何相关单位或个人发来意见和建议。</w:t>
      </w:r>
    </w:p>
    <w:p w14:paraId="220E24FB">
      <w:pPr>
        <w:pStyle w:val="4"/>
        <w:numPr>
          <w:ilvl w:val="1"/>
          <w:numId w:val="50"/>
        </w:numPr>
        <w:bidi w:val="0"/>
        <w:ind w:left="678" w:leftChars="0" w:firstLine="0" w:firstLineChars="0"/>
        <w:rPr>
          <w:rFonts w:hint="default"/>
          <w:color w:val="auto"/>
          <w:highlight w:val="none"/>
          <w:lang w:eastAsia="zh-CN"/>
        </w:rPr>
      </w:pPr>
      <w:bookmarkStart w:id="175" w:name="_Toc5715"/>
      <w:r>
        <w:rPr>
          <w:rFonts w:hint="eastAsia"/>
          <w:color w:val="auto"/>
          <w:highlight w:val="none"/>
          <w:lang w:eastAsia="zh-CN"/>
        </w:rPr>
        <w:t>评价结论</w:t>
      </w:r>
      <w:bookmarkEnd w:id="175"/>
    </w:p>
    <w:p w14:paraId="650CD64A">
      <w:pPr>
        <w:ind w:firstLine="442" w:firstLineChars="200"/>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highlight w:val="none"/>
        </w:rPr>
        <w:t>钦州港新型城乡融合发展示范区（自贸新城）排水改造工程</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符合国家产业政策，</w:t>
      </w:r>
      <w:r>
        <w:rPr>
          <w:rFonts w:hint="default" w:ascii="Times New Roman" w:hAnsi="Times New Roman" w:eastAsia="宋体" w:cs="Times New Roman"/>
          <w:color w:val="auto"/>
          <w:sz w:val="24"/>
          <w:szCs w:val="24"/>
          <w:highlight w:val="none"/>
          <w:lang w:val="en-US" w:eastAsia="zh-CN"/>
        </w:rPr>
        <w:t>符合</w:t>
      </w:r>
      <w:r>
        <w:rPr>
          <w:rFonts w:hint="eastAsia" w:ascii="Times New Roman" w:cs="Times New Roman"/>
          <w:color w:val="auto"/>
          <w:sz w:val="24"/>
          <w:szCs w:val="24"/>
          <w:highlight w:val="none"/>
          <w:u w:val="single"/>
          <w:lang w:val="en-US" w:eastAsia="zh-CN"/>
        </w:rPr>
        <w:t>钦州市城市总体规划修改（2012-2030）</w:t>
      </w:r>
      <w:r>
        <w:rPr>
          <w:rFonts w:hint="default" w:ascii="Times New Roman" w:hAnsi="Times New Roman" w:eastAsia="宋体" w:cs="Times New Roman"/>
          <w:color w:val="auto"/>
          <w:sz w:val="24"/>
          <w:szCs w:val="24"/>
          <w:highlight w:val="none"/>
          <w:lang w:val="en-US" w:eastAsia="zh-CN"/>
        </w:rPr>
        <w:t>、</w:t>
      </w:r>
      <w:r>
        <w:rPr>
          <w:rFonts w:hint="eastAsia"/>
          <w:color w:val="auto"/>
          <w:highlight w:val="none"/>
          <w:u w:val="single"/>
          <w:lang w:val="en-US" w:eastAsia="zh-CN"/>
        </w:rPr>
        <w:t>中国（广西）自由贸易试验区钦州港片区管线综合专项规划（2023-2035）</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项目建设有利于提升新型城乡融合发展示范区防洪排涝能力，满足城市现代化和生态城市建设的高标准要求</w:t>
      </w:r>
      <w:r>
        <w:rPr>
          <w:rFonts w:hint="default" w:ascii="Times New Roman" w:hAnsi="Times New Roman" w:eastAsia="宋体" w:cs="Times New Roman"/>
          <w:color w:val="auto"/>
          <w:sz w:val="24"/>
          <w:szCs w:val="24"/>
          <w:highlight w:val="none"/>
          <w:lang w:eastAsia="zh-CN"/>
        </w:rPr>
        <w:t>，具</w:t>
      </w:r>
      <w:r>
        <w:rPr>
          <w:rFonts w:hint="default" w:ascii="Times New Roman" w:hAnsi="Times New Roman" w:eastAsia="宋体" w:cs="Times New Roman"/>
          <w:color w:val="auto"/>
          <w:sz w:val="24"/>
          <w:szCs w:val="24"/>
          <w:highlight w:val="none"/>
        </w:rPr>
        <w:t>有较强的经济和</w:t>
      </w:r>
      <w:r>
        <w:rPr>
          <w:rFonts w:hint="default" w:ascii="Times New Roman" w:hAnsi="Times New Roman" w:eastAsia="宋体" w:cs="Times New Roman"/>
          <w:color w:val="auto"/>
          <w:sz w:val="24"/>
          <w:szCs w:val="24"/>
          <w:highlight w:val="none"/>
          <w:lang w:eastAsia="zh-CN"/>
        </w:rPr>
        <w:t>社会效</w:t>
      </w:r>
      <w:r>
        <w:rPr>
          <w:rFonts w:hint="default" w:ascii="Times New Roman" w:hAnsi="Times New Roman" w:eastAsia="宋体" w:cs="Times New Roman"/>
          <w:color w:val="auto"/>
          <w:sz w:val="24"/>
          <w:szCs w:val="24"/>
          <w:highlight w:val="none"/>
        </w:rPr>
        <w:t>益。项目的建设开发将不可避免地对区域生态、地表水、地下水、空气和声环境质量等产生一定的不利影响，通过采取完善可行的污染防治和生态保护措施，本项目对环境的不利影响程度和范围均较小。建设单位在项目建设和生产过程中要切实做好环境保护“三同时”工作，严格落实项目设计方案、水土保持方案及本报告中提出的各项污染防治和风险防范措施，可将项目建设对环境不利影响程度降至最低限度，并为环境所接受，实现经济、社会和环境的</w:t>
      </w:r>
      <w:r>
        <w:rPr>
          <w:rFonts w:hint="default" w:ascii="Times New Roman" w:hAnsi="Times New Roman" w:eastAsia="宋体" w:cs="Times New Roman"/>
          <w:color w:val="auto"/>
          <w:sz w:val="24"/>
          <w:szCs w:val="24"/>
          <w:highlight w:val="none"/>
          <w:lang w:eastAsia="zh-CN"/>
        </w:rPr>
        <w:t>可持续发</w:t>
      </w:r>
      <w:r>
        <w:rPr>
          <w:rFonts w:hint="default" w:ascii="Times New Roman" w:hAnsi="Times New Roman" w:eastAsia="宋体" w:cs="Times New Roman"/>
          <w:color w:val="auto"/>
          <w:sz w:val="24"/>
          <w:szCs w:val="24"/>
          <w:highlight w:val="none"/>
        </w:rPr>
        <w:t>展。从环境影响的角度分析，本项目选址合理，建设可行。</w:t>
      </w:r>
    </w:p>
    <w:sectPr>
      <w:headerReference r:id="rId16" w:type="default"/>
      <w:pgSz w:w="11906" w:h="16838"/>
      <w:pgMar w:top="1418" w:right="1514" w:bottom="1418" w:left="1780" w:header="1134" w:footer="992" w:gutter="0"/>
      <w:cols w:space="720" w:num="1"/>
      <w:docGrid w:type="linesAndChars" w:linePitch="466" w:charSpace="-392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华文楷体">
    <w:panose1 w:val="02010600040101010101"/>
    <w:charset w:val="86"/>
    <w:family w:val="auto"/>
    <w:pitch w:val="default"/>
    <w:sig w:usb0="00000287" w:usb1="080F0000" w:usb2="00000000" w:usb3="00000000" w:csb0="0004009F" w:csb1="DFD70000"/>
  </w:font>
  <w:font w:name="ˎ̥">
    <w:altName w:val="Times New Roman"/>
    <w:panose1 w:val="00000000000000000000"/>
    <w:charset w:val="00"/>
    <w:family w:val="roman"/>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Century">
    <w:panose1 w:val="02040604050505020304"/>
    <w:charset w:val="00"/>
    <w:family w:val="roman"/>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DFYuanLight-B5">
    <w:altName w:val="PMingLiU-ExtB"/>
    <w:panose1 w:val="00000000000000000000"/>
    <w:charset w:val="88"/>
    <w:family w:val="modern"/>
    <w:pitch w:val="default"/>
    <w:sig w:usb0="00000000" w:usb1="00000000" w:usb2="00000016" w:usb3="00000000" w:csb0="00100000" w:csb1="00000000"/>
  </w:font>
  <w:font w:name="Arial Unicode MS">
    <w:altName w:val="宋体"/>
    <w:panose1 w:val="020B0604020202020204"/>
    <w:charset w:val="86"/>
    <w:family w:val="roman"/>
    <w:pitch w:val="default"/>
    <w:sig w:usb0="00000000" w:usb1="00000000" w:usb2="0000003F" w:usb3="00000000" w:csb0="603F01FF" w:csb1="FFFF0000"/>
  </w:font>
  <w:font w:name="华文中宋">
    <w:panose1 w:val="02010600040101010101"/>
    <w:charset w:val="86"/>
    <w:family w:val="auto"/>
    <w:pitch w:val="default"/>
    <w:sig w:usb0="00000287" w:usb1="080F0000" w:usb2="00000000" w:usb3="00000000" w:csb0="0004009F" w:csb1="DFD70000"/>
  </w:font>
  <w:font w:name="汉鼎简书宋">
    <w:altName w:val="宋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幼圆">
    <w:panose1 w:val="02010509060101010101"/>
    <w:charset w:val="86"/>
    <w:family w:val="modern"/>
    <w:pitch w:val="default"/>
    <w:sig w:usb0="00000001" w:usb1="080E0000" w:usb2="00000000" w:usb3="00000000" w:csb0="00040000" w:csb1="00000000"/>
  </w:font>
  <w:font w:name="TimesNewRomanPSMT">
    <w:altName w:val="Times New Roman"/>
    <w:panose1 w:val="00000000000000000000"/>
    <w:charset w:val="00"/>
    <w:family w:val="auto"/>
    <w:pitch w:val="default"/>
    <w:sig w:usb0="00000000" w:usb1="00000000" w:usb2="00000000" w:usb3="00000000" w:csb0="00040001" w:csb1="00000000"/>
  </w:font>
  <w:font w:name="Cambria Math">
    <w:panose1 w:val="02040503050406030204"/>
    <w:charset w:val="00"/>
    <w:family w:val="auto"/>
    <w:pitch w:val="default"/>
    <w:sig w:usb0="E00006FF" w:usb1="420024FF" w:usb2="02000000" w:usb3="00000000" w:csb0="2000019F" w:csb1="00000000"/>
  </w:font>
  <w:font w:name="MS UI Gothic">
    <w:panose1 w:val="020B0600070205080204"/>
    <w:charset w:val="86"/>
    <w:family w:val="auto"/>
    <w:pitch w:val="default"/>
    <w:sig w:usb0="E00002FF" w:usb1="6AC7FDFB" w:usb2="08000012" w:usb3="00000000" w:csb0="4002009F" w:csb1="DFD7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D1485">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FB7BF">
    <w:pPr>
      <w:pStyle w:val="1029"/>
      <w:ind w:firstLine="210"/>
      <w:jc w:val="center"/>
    </w:pPr>
    <w:r>
      <w:fldChar w:fldCharType="begin"/>
    </w:r>
    <w:r>
      <w:rPr>
        <w:rStyle w:val="135"/>
      </w:rPr>
      <w:instrText xml:space="preserve"> PAGE </w:instrText>
    </w:r>
    <w:r>
      <w:fldChar w:fldCharType="separate"/>
    </w:r>
    <w:r>
      <w:rPr>
        <w:rStyle w:val="135"/>
      </w:rPr>
      <w:t>27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9A7EF">
    <w:pPr>
      <w:pStyle w:val="1029"/>
      <w:ind w:firstLine="210"/>
      <w:jc w:val="center"/>
    </w:pPr>
    <w:r>
      <w:fldChar w:fldCharType="begin"/>
    </w:r>
    <w:r>
      <w:rPr>
        <w:rStyle w:val="135"/>
      </w:rPr>
      <w:instrText xml:space="preserve"> PAGE </w:instrText>
    </w:r>
    <w:r>
      <w:fldChar w:fldCharType="separate"/>
    </w:r>
    <w:r>
      <w:rPr>
        <w:rStyle w:val="135"/>
      </w:rPr>
      <w:t>70</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D638F">
    <w:pPr>
      <w:pStyle w:val="1029"/>
      <w:ind w:firstLine="210"/>
      <w:jc w:val="center"/>
    </w:pPr>
    <w:r>
      <w:fldChar w:fldCharType="begin"/>
    </w:r>
    <w:r>
      <w:rPr>
        <w:rStyle w:val="135"/>
      </w:rPr>
      <w:instrText xml:space="preserve"> PAGE </w:instrText>
    </w:r>
    <w:r>
      <w:fldChar w:fldCharType="separate"/>
    </w:r>
    <w:r>
      <w:rPr>
        <w:rStyle w:val="135"/>
      </w:rPr>
      <w:t>69</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5A349">
    <w:pPr>
      <w:pStyle w:val="56"/>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1244D">
    <w:pPr>
      <w:pStyle w:val="222"/>
      <w:wordWrap w:val="0"/>
      <w:jc w:val="right"/>
    </w:pPr>
    <w:r>
      <w:rPr>
        <w:rFonts w:hint="eastAsia" w:eastAsia="黑体"/>
      </w:rPr>
      <w:t>8评价结论</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E9840">
    <w:pPr>
      <w:pStyle w:val="222"/>
      <w:jc w:val="right"/>
      <w:rPr>
        <w:szCs w:val="24"/>
      </w:rPr>
    </w:pPr>
    <w:r>
      <w:rPr>
        <w:rFonts w:hint="eastAsia"/>
        <w:szCs w:val="24"/>
      </w:rPr>
      <w:t>1总则</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2DE6C">
    <w:pPr>
      <w:pStyle w:val="222"/>
      <w:jc w:val="left"/>
      <w:rPr>
        <w:szCs w:val="24"/>
      </w:rPr>
    </w:pPr>
    <w:r>
      <w:rPr>
        <w:rFonts w:hint="eastAsia"/>
        <w:szCs w:val="24"/>
        <w:lang w:eastAsia="zh-CN"/>
      </w:rPr>
      <w:t>钦州港新型城乡融合发展示范区（自贸新城）排水改造工程</w:t>
    </w:r>
    <w:r>
      <w:rPr>
        <w:rFonts w:hint="eastAsia"/>
        <w:szCs w:val="24"/>
      </w:rPr>
      <w:t>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7CA1C">
    <w:pPr>
      <w:pStyle w:val="222"/>
      <w:wordWrap w:val="0"/>
      <w:jc w:val="right"/>
    </w:pPr>
    <w:r>
      <w:rPr>
        <w:rFonts w:hint="eastAsia"/>
      </w:rPr>
      <w:t>2工程概况与工程分析</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3CE35">
    <w:pPr>
      <w:pStyle w:val="222"/>
      <w:jc w:val="left"/>
      <w:rPr>
        <w:szCs w:val="24"/>
      </w:rPr>
    </w:pPr>
    <w:r>
      <w:rPr>
        <w:rFonts w:hint="eastAsia"/>
        <w:szCs w:val="24"/>
        <w:lang w:eastAsia="zh-CN"/>
      </w:rPr>
      <w:t>钦州港新型城乡融合发展示范区（自贸新城）排水改造工程</w:t>
    </w:r>
    <w:r>
      <w:rPr>
        <w:rFonts w:hint="eastAsia"/>
        <w:szCs w:val="24"/>
      </w:rPr>
      <w:t>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79123">
    <w:pPr>
      <w:pStyle w:val="222"/>
      <w:wordWrap w:val="0"/>
      <w:jc w:val="right"/>
      <w:rPr>
        <w:rFonts w:hint="default" w:eastAsia="宋体"/>
        <w:highlight w:val="none"/>
        <w:lang w:val="en-US" w:eastAsia="zh-CN"/>
      </w:rPr>
    </w:pPr>
    <w:r>
      <w:rPr>
        <w:rFonts w:hint="eastAsia"/>
        <w:highlight w:val="none"/>
        <w:lang w:val="en-US" w:eastAsia="zh-CN"/>
      </w:rPr>
      <w:t>4.环境影响预测与评价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AF369">
    <w:pPr>
      <w:pStyle w:val="222"/>
      <w:wordWrap w:val="0"/>
      <w:jc w:val="right"/>
      <w:rPr>
        <w:rFonts w:hint="default" w:eastAsia="宋体"/>
        <w:highlight w:val="none"/>
        <w:lang w:val="en-US" w:eastAsia="zh-CN"/>
      </w:rPr>
    </w:pPr>
    <w:r>
      <w:rPr>
        <w:rFonts w:hint="eastAsia"/>
        <w:highlight w:val="none"/>
        <w:lang w:val="en-US" w:eastAsia="zh-CN"/>
      </w:rPr>
      <w:t>5.环境保护措施及其可行性论证</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E1F46">
    <w:pPr>
      <w:pStyle w:val="222"/>
      <w:wordWrap w:val="0"/>
      <w:jc w:val="right"/>
      <w:rPr>
        <w:szCs w:val="24"/>
      </w:rPr>
    </w:pPr>
    <w:r>
      <w:rPr>
        <w:rFonts w:hint="eastAsia"/>
        <w:szCs w:val="24"/>
      </w:rPr>
      <w:t>6环境影响经济损益分析</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8619D">
    <w:pPr>
      <w:pStyle w:val="222"/>
      <w:wordWrap w:val="0"/>
      <w:jc w:val="right"/>
      <w:rPr>
        <w:rFonts w:ascii="宋体" w:hAnsi="宋体"/>
        <w:szCs w:val="24"/>
      </w:rPr>
    </w:pPr>
    <w:r>
      <w:rPr>
        <w:szCs w:val="24"/>
      </w:rPr>
      <w:t>7</w:t>
    </w:r>
    <w:r>
      <w:rPr>
        <w:rFonts w:hint="eastAsia" w:ascii="宋体" w:hAnsi="宋体"/>
        <w:szCs w:val="24"/>
      </w:rPr>
      <w:t>环境管理与监测计划</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60D802"/>
    <w:multiLevelType w:val="singleLevel"/>
    <w:tmpl w:val="8960D802"/>
    <w:lvl w:ilvl="0" w:tentative="0">
      <w:start w:val="1"/>
      <w:numFmt w:val="decimal"/>
      <w:suff w:val="nothing"/>
      <w:lvlText w:val="（%1）"/>
      <w:lvlJc w:val="left"/>
    </w:lvl>
  </w:abstractNum>
  <w:abstractNum w:abstractNumId="1">
    <w:nsid w:val="8E4E8079"/>
    <w:multiLevelType w:val="singleLevel"/>
    <w:tmpl w:val="8E4E8079"/>
    <w:lvl w:ilvl="0" w:tentative="0">
      <w:start w:val="1"/>
      <w:numFmt w:val="decimal"/>
      <w:lvlText w:val="附件%1"/>
      <w:lvlJc w:val="left"/>
      <w:pPr>
        <w:tabs>
          <w:tab w:val="left" w:pos="420"/>
        </w:tabs>
        <w:ind w:left="425" w:hanging="425"/>
      </w:pPr>
      <w:rPr>
        <w:rFonts w:hint="default"/>
      </w:rPr>
    </w:lvl>
  </w:abstractNum>
  <w:abstractNum w:abstractNumId="2">
    <w:nsid w:val="9186FF62"/>
    <w:multiLevelType w:val="singleLevel"/>
    <w:tmpl w:val="9186FF62"/>
    <w:lvl w:ilvl="0" w:tentative="0">
      <w:start w:val="1"/>
      <w:numFmt w:val="decimal"/>
      <w:suff w:val="nothing"/>
      <w:lvlText w:val="（%1）"/>
      <w:lvlJc w:val="left"/>
    </w:lvl>
  </w:abstractNum>
  <w:abstractNum w:abstractNumId="3">
    <w:nsid w:val="956B4D01"/>
    <w:multiLevelType w:val="singleLevel"/>
    <w:tmpl w:val="956B4D01"/>
    <w:lvl w:ilvl="0" w:tentative="0">
      <w:start w:val="1"/>
      <w:numFmt w:val="decimal"/>
      <w:suff w:val="nothing"/>
      <w:lvlText w:val="（%1）"/>
      <w:lvlJc w:val="left"/>
    </w:lvl>
  </w:abstractNum>
  <w:abstractNum w:abstractNumId="4">
    <w:nsid w:val="9E9A6AF8"/>
    <w:multiLevelType w:val="singleLevel"/>
    <w:tmpl w:val="9E9A6AF8"/>
    <w:lvl w:ilvl="0" w:tentative="0">
      <w:start w:val="1"/>
      <w:numFmt w:val="decimal"/>
      <w:suff w:val="nothing"/>
      <w:lvlText w:val="%1、"/>
      <w:lvlJc w:val="left"/>
    </w:lvl>
  </w:abstractNum>
  <w:abstractNum w:abstractNumId="5">
    <w:nsid w:val="9F22B90E"/>
    <w:multiLevelType w:val="multilevel"/>
    <w:tmpl w:val="9F22B90E"/>
    <w:lvl w:ilvl="0" w:tentative="0">
      <w:start w:val="1"/>
      <w:numFmt w:val="decimal"/>
      <w:lvlText w:val="(%1)"/>
      <w:lvlJc w:val="left"/>
      <w:pPr>
        <w:tabs>
          <w:tab w:val="left" w:pos="0"/>
        </w:tabs>
        <w:ind w:left="0" w:firstLine="454"/>
      </w:pPr>
      <w:rPr>
        <w:rFonts w:hint="default"/>
        <w:strike w:val="0"/>
        <w:dstrike w:val="0"/>
      </w:rPr>
    </w:lvl>
    <w:lvl w:ilvl="1" w:tentative="0">
      <w:start w:val="1"/>
      <w:numFmt w:val="bullet"/>
      <w:lvlText w:val=""/>
      <w:lvlJc w:val="left"/>
      <w:pPr>
        <w:tabs>
          <w:tab w:val="left" w:pos="1277"/>
        </w:tabs>
        <w:ind w:left="1277" w:hanging="420"/>
      </w:pPr>
      <w:rPr>
        <w:rFonts w:hint="default" w:ascii="Wingdings" w:hAnsi="Wingdings"/>
      </w:rPr>
    </w:lvl>
    <w:lvl w:ilvl="2" w:tentative="0">
      <w:start w:val="1"/>
      <w:numFmt w:val="bullet"/>
      <w:lvlText w:val=""/>
      <w:lvlJc w:val="left"/>
      <w:pPr>
        <w:tabs>
          <w:tab w:val="left" w:pos="1697"/>
        </w:tabs>
        <w:ind w:left="1697" w:hanging="420"/>
      </w:pPr>
      <w:rPr>
        <w:rFonts w:hint="default" w:ascii="Wingdings" w:hAnsi="Wingdings"/>
      </w:rPr>
    </w:lvl>
    <w:lvl w:ilvl="3" w:tentative="0">
      <w:start w:val="1"/>
      <w:numFmt w:val="bullet"/>
      <w:lvlText w:val=""/>
      <w:lvlJc w:val="left"/>
      <w:pPr>
        <w:tabs>
          <w:tab w:val="left" w:pos="2117"/>
        </w:tabs>
        <w:ind w:left="2117" w:hanging="420"/>
      </w:pPr>
      <w:rPr>
        <w:rFonts w:hint="default" w:ascii="Wingdings" w:hAnsi="Wingdings"/>
      </w:rPr>
    </w:lvl>
    <w:lvl w:ilvl="4" w:tentative="0">
      <w:start w:val="1"/>
      <w:numFmt w:val="bullet"/>
      <w:lvlText w:val=""/>
      <w:lvlJc w:val="left"/>
      <w:pPr>
        <w:tabs>
          <w:tab w:val="left" w:pos="2537"/>
        </w:tabs>
        <w:ind w:left="2537" w:hanging="420"/>
      </w:pPr>
      <w:rPr>
        <w:rFonts w:hint="default" w:ascii="Wingdings" w:hAnsi="Wingdings"/>
      </w:rPr>
    </w:lvl>
    <w:lvl w:ilvl="5" w:tentative="0">
      <w:start w:val="1"/>
      <w:numFmt w:val="bullet"/>
      <w:lvlText w:val=""/>
      <w:lvlJc w:val="left"/>
      <w:pPr>
        <w:tabs>
          <w:tab w:val="left" w:pos="2957"/>
        </w:tabs>
        <w:ind w:left="2957" w:hanging="420"/>
      </w:pPr>
      <w:rPr>
        <w:rFonts w:hint="default" w:ascii="Wingdings" w:hAnsi="Wingdings"/>
      </w:rPr>
    </w:lvl>
    <w:lvl w:ilvl="6" w:tentative="0">
      <w:start w:val="1"/>
      <w:numFmt w:val="bullet"/>
      <w:lvlText w:val=""/>
      <w:lvlJc w:val="left"/>
      <w:pPr>
        <w:tabs>
          <w:tab w:val="left" w:pos="3377"/>
        </w:tabs>
        <w:ind w:left="3377" w:hanging="420"/>
      </w:pPr>
      <w:rPr>
        <w:rFonts w:hint="default" w:ascii="Wingdings" w:hAnsi="Wingdings"/>
      </w:rPr>
    </w:lvl>
    <w:lvl w:ilvl="7" w:tentative="0">
      <w:start w:val="1"/>
      <w:numFmt w:val="bullet"/>
      <w:lvlText w:val=""/>
      <w:lvlJc w:val="left"/>
      <w:pPr>
        <w:tabs>
          <w:tab w:val="left" w:pos="3797"/>
        </w:tabs>
        <w:ind w:left="3797" w:hanging="420"/>
      </w:pPr>
      <w:rPr>
        <w:rFonts w:hint="default" w:ascii="Wingdings" w:hAnsi="Wingdings"/>
      </w:rPr>
    </w:lvl>
    <w:lvl w:ilvl="8" w:tentative="0">
      <w:start w:val="1"/>
      <w:numFmt w:val="bullet"/>
      <w:lvlText w:val=""/>
      <w:lvlJc w:val="left"/>
      <w:pPr>
        <w:tabs>
          <w:tab w:val="left" w:pos="4217"/>
        </w:tabs>
        <w:ind w:left="4217" w:hanging="420"/>
      </w:pPr>
      <w:rPr>
        <w:rFonts w:hint="default" w:ascii="Wingdings" w:hAnsi="Wingdings"/>
      </w:rPr>
    </w:lvl>
  </w:abstractNum>
  <w:abstractNum w:abstractNumId="6">
    <w:nsid w:val="A3A7735B"/>
    <w:multiLevelType w:val="singleLevel"/>
    <w:tmpl w:val="A3A7735B"/>
    <w:lvl w:ilvl="0" w:tentative="0">
      <w:start w:val="1"/>
      <w:numFmt w:val="decimal"/>
      <w:suff w:val="nothing"/>
      <w:lvlText w:val="（%1）"/>
      <w:lvlJc w:val="left"/>
    </w:lvl>
  </w:abstractNum>
  <w:abstractNum w:abstractNumId="7">
    <w:nsid w:val="A83FC6B5"/>
    <w:multiLevelType w:val="multilevel"/>
    <w:tmpl w:val="A83FC6B5"/>
    <w:lvl w:ilvl="0" w:tentative="0">
      <w:start w:val="1"/>
      <w:numFmt w:val="decimal"/>
      <w:pStyle w:val="3"/>
      <w:isLgl/>
      <w:lvlText w:val="%1."/>
      <w:lvlJc w:val="left"/>
      <w:pPr>
        <w:tabs>
          <w:tab w:val="left" w:pos="425"/>
        </w:tabs>
        <w:ind w:left="425" w:hanging="425"/>
      </w:pPr>
      <w:rPr>
        <w:rFonts w:hint="eastAsia"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rPr>
    </w:lvl>
    <w:lvl w:ilvl="1" w:tentative="0">
      <w:start w:val="1"/>
      <w:numFmt w:val="decimal"/>
      <w:pStyle w:val="4"/>
      <w:isLgl/>
      <w:lvlText w:val="%1.%2"/>
      <w:lvlJc w:val="left"/>
      <w:pPr>
        <w:tabs>
          <w:tab w:val="left" w:pos="993"/>
        </w:tabs>
        <w:ind w:left="678" w:firstLine="0"/>
      </w:pPr>
      <w:rPr>
        <w:rFonts w:hint="default" w:ascii="Times New Roman" w:hAnsi="Times New Roman" w:cs="Times New Roman"/>
        <w:lang w:val="en-US"/>
      </w:rPr>
    </w:lvl>
    <w:lvl w:ilvl="2" w:tentative="0">
      <w:start w:val="1"/>
      <w:numFmt w:val="decimal"/>
      <w:pStyle w:val="5"/>
      <w:isLgl/>
      <w:suff w:val="space"/>
      <w:lvlText w:val="%1.%2.%3"/>
      <w:lvlJc w:val="left"/>
      <w:pPr>
        <w:ind w:left="452" w:firstLine="0"/>
      </w:pPr>
      <w:rPr>
        <w:rFonts w:hint="eastAsia"/>
      </w:rPr>
    </w:lvl>
    <w:lvl w:ilvl="3" w:tentative="0">
      <w:start w:val="1"/>
      <w:numFmt w:val="decimal"/>
      <w:pStyle w:val="6"/>
      <w:isLgl/>
      <w:suff w:val="space"/>
      <w:lvlText w:val="%1.%2.%3.%4"/>
      <w:lvlJc w:val="left"/>
      <w:pPr>
        <w:ind w:left="0" w:firstLine="0"/>
      </w:pPr>
      <w:rPr>
        <w:rFonts w:hint="default"/>
        <w:b/>
        <w:bCs/>
      </w:rPr>
    </w:lvl>
    <w:lvl w:ilvl="4" w:tentative="0">
      <w:start w:val="1"/>
      <w:numFmt w:val="decimal"/>
      <w:lvlRestart w:val="2"/>
      <w:pStyle w:val="268"/>
      <w:isLgl/>
      <w:lvlText w:val="表%1.%2-%5"/>
      <w:lvlJc w:val="center"/>
      <w:pPr>
        <w:tabs>
          <w:tab w:val="left" w:pos="2127"/>
        </w:tabs>
        <w:ind w:left="2032" w:firstLine="442"/>
      </w:pPr>
    </w:lvl>
    <w:lvl w:ilvl="5" w:tentative="0">
      <w:start w:val="1"/>
      <w:numFmt w:val="decimal"/>
      <w:lvlRestart w:val="2"/>
      <w:pStyle w:val="588"/>
      <w:isLgl/>
      <w:lvlText w:val="图%1.%2-%6"/>
      <w:lvlJc w:val="left"/>
      <w:pPr>
        <w:tabs>
          <w:tab w:val="left" w:pos="0"/>
        </w:tabs>
        <w:ind w:left="0" w:firstLine="0"/>
      </w:pPr>
      <w:rPr>
        <w:rFonts w:hint="eastAsia"/>
        <w:vertAlign w:val="baseline"/>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B2D414E2"/>
    <w:multiLevelType w:val="singleLevel"/>
    <w:tmpl w:val="B2D414E2"/>
    <w:lvl w:ilvl="0" w:tentative="0">
      <w:start w:val="1"/>
      <w:numFmt w:val="decimal"/>
      <w:suff w:val="nothing"/>
      <w:lvlText w:val="（%1）"/>
      <w:lvlJc w:val="left"/>
    </w:lvl>
  </w:abstractNum>
  <w:abstractNum w:abstractNumId="9">
    <w:nsid w:val="B630402D"/>
    <w:multiLevelType w:val="singleLevel"/>
    <w:tmpl w:val="B630402D"/>
    <w:lvl w:ilvl="0" w:tentative="0">
      <w:start w:val="1"/>
      <w:numFmt w:val="decimal"/>
      <w:suff w:val="nothing"/>
      <w:lvlText w:val="%1、"/>
      <w:lvlJc w:val="left"/>
      <w:rPr>
        <w:rFonts w:hint="default"/>
        <w:b/>
        <w:bCs/>
      </w:rPr>
    </w:lvl>
  </w:abstractNum>
  <w:abstractNum w:abstractNumId="10">
    <w:nsid w:val="B6FFF313"/>
    <w:multiLevelType w:val="singleLevel"/>
    <w:tmpl w:val="B6FFF313"/>
    <w:lvl w:ilvl="0" w:tentative="0">
      <w:start w:val="1"/>
      <w:numFmt w:val="decimal"/>
      <w:suff w:val="nothing"/>
      <w:lvlText w:val="%1、"/>
      <w:lvlJc w:val="left"/>
    </w:lvl>
  </w:abstractNum>
  <w:abstractNum w:abstractNumId="11">
    <w:nsid w:val="B79E63CA"/>
    <w:multiLevelType w:val="singleLevel"/>
    <w:tmpl w:val="B79E63CA"/>
    <w:lvl w:ilvl="0" w:tentative="0">
      <w:start w:val="1"/>
      <w:numFmt w:val="decimal"/>
      <w:suff w:val="nothing"/>
      <w:lvlText w:val="（%1）"/>
      <w:lvlJc w:val="left"/>
    </w:lvl>
  </w:abstractNum>
  <w:abstractNum w:abstractNumId="12">
    <w:nsid w:val="BA14F088"/>
    <w:multiLevelType w:val="singleLevel"/>
    <w:tmpl w:val="BA14F088"/>
    <w:lvl w:ilvl="0" w:tentative="0">
      <w:start w:val="1"/>
      <w:numFmt w:val="decimal"/>
      <w:suff w:val="space"/>
      <w:lvlText w:val="%1、"/>
      <w:lvlJc w:val="left"/>
    </w:lvl>
  </w:abstractNum>
  <w:abstractNum w:abstractNumId="13">
    <w:nsid w:val="BC46E0D5"/>
    <w:multiLevelType w:val="singleLevel"/>
    <w:tmpl w:val="BC46E0D5"/>
    <w:lvl w:ilvl="0" w:tentative="0">
      <w:start w:val="1"/>
      <w:numFmt w:val="decimal"/>
      <w:suff w:val="nothing"/>
      <w:lvlText w:val="（%1）"/>
      <w:lvlJc w:val="left"/>
    </w:lvl>
  </w:abstractNum>
  <w:abstractNum w:abstractNumId="14">
    <w:nsid w:val="C1C9D8B2"/>
    <w:multiLevelType w:val="multilevel"/>
    <w:tmpl w:val="C1C9D8B2"/>
    <w:lvl w:ilvl="0" w:tentative="0">
      <w:start w:val="1"/>
      <w:numFmt w:val="decimal"/>
      <w:lvlText w:val="(%1)"/>
      <w:lvlJc w:val="left"/>
      <w:pPr>
        <w:tabs>
          <w:tab w:val="left" w:pos="0"/>
        </w:tabs>
        <w:ind w:left="-228" w:firstLine="454"/>
      </w:pPr>
      <w:rPr>
        <w:rFonts w:hint="eastAsia"/>
      </w:rPr>
    </w:lvl>
    <w:lvl w:ilvl="1" w:tentative="0">
      <w:start w:val="1"/>
      <w:numFmt w:val="bullet"/>
      <w:lvlText w:val=""/>
      <w:lvlJc w:val="left"/>
      <w:pPr>
        <w:tabs>
          <w:tab w:val="left" w:pos="1277"/>
        </w:tabs>
        <w:ind w:left="1049" w:hanging="420"/>
      </w:pPr>
      <w:rPr>
        <w:rFonts w:hint="default" w:ascii="Wingdings" w:hAnsi="Wingdings"/>
      </w:rPr>
    </w:lvl>
    <w:lvl w:ilvl="2" w:tentative="0">
      <w:start w:val="1"/>
      <w:numFmt w:val="bullet"/>
      <w:lvlText w:val=""/>
      <w:lvlJc w:val="left"/>
      <w:pPr>
        <w:tabs>
          <w:tab w:val="left" w:pos="1697"/>
        </w:tabs>
        <w:ind w:left="1469" w:hanging="420"/>
      </w:pPr>
      <w:rPr>
        <w:rFonts w:hint="default" w:ascii="Wingdings" w:hAnsi="Wingdings"/>
      </w:rPr>
    </w:lvl>
    <w:lvl w:ilvl="3" w:tentative="0">
      <w:start w:val="1"/>
      <w:numFmt w:val="bullet"/>
      <w:lvlText w:val=""/>
      <w:lvlJc w:val="left"/>
      <w:pPr>
        <w:tabs>
          <w:tab w:val="left" w:pos="2117"/>
        </w:tabs>
        <w:ind w:left="1889" w:hanging="420"/>
      </w:pPr>
      <w:rPr>
        <w:rFonts w:hint="default" w:ascii="Wingdings" w:hAnsi="Wingdings"/>
      </w:rPr>
    </w:lvl>
    <w:lvl w:ilvl="4" w:tentative="0">
      <w:start w:val="1"/>
      <w:numFmt w:val="bullet"/>
      <w:lvlText w:val=""/>
      <w:lvlJc w:val="left"/>
      <w:pPr>
        <w:tabs>
          <w:tab w:val="left" w:pos="2537"/>
        </w:tabs>
        <w:ind w:left="2309" w:hanging="420"/>
      </w:pPr>
      <w:rPr>
        <w:rFonts w:hint="default" w:ascii="Wingdings" w:hAnsi="Wingdings"/>
      </w:rPr>
    </w:lvl>
    <w:lvl w:ilvl="5" w:tentative="0">
      <w:start w:val="1"/>
      <w:numFmt w:val="bullet"/>
      <w:lvlText w:val=""/>
      <w:lvlJc w:val="left"/>
      <w:pPr>
        <w:tabs>
          <w:tab w:val="left" w:pos="2957"/>
        </w:tabs>
        <w:ind w:left="2729" w:hanging="420"/>
      </w:pPr>
      <w:rPr>
        <w:rFonts w:hint="default" w:ascii="Wingdings" w:hAnsi="Wingdings"/>
      </w:rPr>
    </w:lvl>
    <w:lvl w:ilvl="6" w:tentative="0">
      <w:start w:val="1"/>
      <w:numFmt w:val="bullet"/>
      <w:lvlText w:val=""/>
      <w:lvlJc w:val="left"/>
      <w:pPr>
        <w:tabs>
          <w:tab w:val="left" w:pos="3377"/>
        </w:tabs>
        <w:ind w:left="3149" w:hanging="420"/>
      </w:pPr>
      <w:rPr>
        <w:rFonts w:hint="default" w:ascii="Wingdings" w:hAnsi="Wingdings"/>
      </w:rPr>
    </w:lvl>
    <w:lvl w:ilvl="7" w:tentative="0">
      <w:start w:val="1"/>
      <w:numFmt w:val="bullet"/>
      <w:lvlText w:val=""/>
      <w:lvlJc w:val="left"/>
      <w:pPr>
        <w:tabs>
          <w:tab w:val="left" w:pos="3797"/>
        </w:tabs>
        <w:ind w:left="3569" w:hanging="420"/>
      </w:pPr>
      <w:rPr>
        <w:rFonts w:hint="default" w:ascii="Wingdings" w:hAnsi="Wingdings"/>
      </w:rPr>
    </w:lvl>
    <w:lvl w:ilvl="8" w:tentative="0">
      <w:start w:val="1"/>
      <w:numFmt w:val="bullet"/>
      <w:lvlText w:val=""/>
      <w:lvlJc w:val="left"/>
      <w:pPr>
        <w:tabs>
          <w:tab w:val="left" w:pos="4217"/>
        </w:tabs>
        <w:ind w:left="3989" w:hanging="420"/>
      </w:pPr>
      <w:rPr>
        <w:rFonts w:hint="default" w:ascii="Wingdings" w:hAnsi="Wingdings"/>
      </w:rPr>
    </w:lvl>
  </w:abstractNum>
  <w:abstractNum w:abstractNumId="15">
    <w:nsid w:val="C23D0A82"/>
    <w:multiLevelType w:val="multilevel"/>
    <w:tmpl w:val="C23D0A82"/>
    <w:lvl w:ilvl="0" w:tentative="0">
      <w:start w:val="1"/>
      <w:numFmt w:val="decimal"/>
      <w:suff w:val="space"/>
      <w:lvlText w:val="%1"/>
      <w:lvlJc w:val="left"/>
      <w:pPr>
        <w:ind w:left="0" w:firstLine="0"/>
      </w:pPr>
      <w:rPr>
        <w:rFonts w:hint="eastAsia" w:ascii="Times New Roman" w:hAnsi="Times New Roman"/>
        <w:b w:val="0"/>
        <w:bCs w:val="0"/>
        <w:i w:val="0"/>
        <w:iCs w:val="0"/>
        <w:caps w:val="0"/>
        <w:smallCaps w:val="0"/>
        <w:strike w:val="0"/>
        <w:dstrike w:val="0"/>
        <w:vanish w:val="0"/>
        <w:color w:val="000000"/>
        <w:spacing w:val="0"/>
        <w:position w:val="0"/>
        <w:u w:val="none"/>
        <w:vertAlign w:val="baseline"/>
      </w:rPr>
    </w:lvl>
    <w:lvl w:ilvl="1" w:tentative="0">
      <w:start w:val="1"/>
      <w:numFmt w:val="decimal"/>
      <w:suff w:val="space"/>
      <w:lvlText w:val="%1.%2"/>
      <w:lvlJc w:val="left"/>
      <w:pPr>
        <w:ind w:left="0" w:firstLine="0"/>
      </w:pPr>
      <w:rPr>
        <w:rFonts w:hint="eastAsia" w:ascii="Times New Roman" w:hAnsi="Times New Roman"/>
        <w:b w:val="0"/>
        <w:bCs w:val="0"/>
        <w:i w:val="0"/>
        <w:iCs w:val="0"/>
        <w:caps w:val="0"/>
        <w:smallCaps w:val="0"/>
        <w:strike w:val="0"/>
        <w:dstrike w:val="0"/>
        <w:vanish w:val="0"/>
        <w:color w:val="000000"/>
        <w:spacing w:val="0"/>
        <w:position w:val="0"/>
        <w:sz w:val="28"/>
        <w:szCs w:val="28"/>
        <w:u w:val="none"/>
        <w:vertAlign w:val="baseline"/>
      </w:rPr>
    </w:lvl>
    <w:lvl w:ilvl="2" w:tentative="0">
      <w:start w:val="1"/>
      <w:numFmt w:val="decimal"/>
      <w:suff w:val="space"/>
      <w:lvlText w:val="%1.%2.%3"/>
      <w:lvlJc w:val="left"/>
      <w:pPr>
        <w:ind w:left="0" w:firstLine="0"/>
      </w:pPr>
      <w:rPr>
        <w:rFonts w:hint="eastAsia" w:ascii="Times New Roman" w:hAnsi="Times New Roman"/>
        <w:b w:val="0"/>
        <w:bCs w:val="0"/>
        <w:i w:val="0"/>
        <w:iCs w:val="0"/>
        <w:caps w:val="0"/>
        <w:smallCaps w:val="0"/>
        <w:strike w:val="0"/>
        <w:dstrike w:val="0"/>
        <w:vanish w:val="0"/>
        <w:color w:val="000000"/>
        <w:spacing w:val="0"/>
        <w:position w:val="0"/>
        <w:u w:val="none"/>
        <w:vertAlign w:val="baseline"/>
      </w:rPr>
    </w:lvl>
    <w:lvl w:ilvl="3" w:tentative="0">
      <w:start w:val="1"/>
      <w:numFmt w:val="decimal"/>
      <w:suff w:val="space"/>
      <w:lvlText w:val="%1.%2.%3.%4"/>
      <w:lvlJc w:val="left"/>
      <w:pPr>
        <w:ind w:left="0" w:firstLine="0"/>
      </w:pPr>
      <w:rPr>
        <w:rFonts w:hint="eastAsia" w:ascii="Times New Roman" w:hAnsi="Times New Roman"/>
        <w:b w:val="0"/>
        <w:bCs w:val="0"/>
        <w:i w:val="0"/>
        <w:iCs w:val="0"/>
        <w:caps w:val="0"/>
        <w:smallCaps w:val="0"/>
        <w:strike w:val="0"/>
        <w:dstrike w:val="0"/>
        <w:vanish w:val="0"/>
        <w:color w:val="000000"/>
        <w:spacing w:val="0"/>
        <w:position w:val="0"/>
        <w:sz w:val="24"/>
        <w:szCs w:val="24"/>
        <w:u w:val="none"/>
        <w:vertAlign w:val="baseline"/>
      </w:rPr>
    </w:lvl>
    <w:lvl w:ilvl="4" w:tentative="0">
      <w:start w:val="1"/>
      <w:numFmt w:val="decimal"/>
      <w:lvlRestart w:val="2"/>
      <w:pStyle w:val="1652"/>
      <w:suff w:val="space"/>
      <w:lvlText w:val="表%1.%2-%5"/>
      <w:lvlJc w:val="center"/>
      <w:pPr>
        <w:ind w:left="0" w:firstLine="0"/>
      </w:pPr>
      <w:rPr>
        <w:rFonts w:hint="default" w:ascii="Times New Roman" w:hAnsi="Times New Roman" w:eastAsia="宋体" w:cs="Times New Roman"/>
        <w:b/>
        <w:bCs w:val="0"/>
        <w:i w:val="0"/>
        <w:iCs w:val="0"/>
        <w:caps w:val="0"/>
        <w:smallCaps w:val="0"/>
        <w:strike w:val="0"/>
        <w:dstrike w:val="0"/>
        <w:vanish w:val="0"/>
        <w:color w:val="000000"/>
        <w:spacing w:val="0"/>
        <w:position w:val="0"/>
        <w:sz w:val="21"/>
        <w:u w:val="none"/>
        <w:vertAlign w:val="baseline"/>
        <w:lang w:val="en-US"/>
      </w:rPr>
    </w:lvl>
    <w:lvl w:ilvl="5" w:tentative="0">
      <w:start w:val="1"/>
      <w:numFmt w:val="decimal"/>
      <w:lvlRestart w:val="2"/>
      <w:suff w:val="space"/>
      <w:lvlText w:val="图%1.%2-%6"/>
      <w:lvlJc w:val="center"/>
      <w:pPr>
        <w:ind w:left="0" w:firstLine="0"/>
      </w:pPr>
      <w:rPr>
        <w:rFonts w:hint="default" w:ascii="Times New Roman" w:hAnsi="Times New Roman" w:eastAsia="宋体"/>
        <w:b/>
        <w:bCs w:val="0"/>
        <w:i w:val="0"/>
        <w:iCs w:val="0"/>
        <w:caps w:val="0"/>
        <w:smallCaps w:val="0"/>
        <w:strike w:val="0"/>
        <w:dstrike w:val="0"/>
        <w:vanish w:val="0"/>
        <w:color w:val="000000"/>
        <w:spacing w:val="0"/>
        <w:position w:val="0"/>
        <w:sz w:val="21"/>
        <w:u w:val="none"/>
        <w:vertAlign w:val="baseline"/>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6">
    <w:nsid w:val="E4BC8917"/>
    <w:multiLevelType w:val="singleLevel"/>
    <w:tmpl w:val="E4BC8917"/>
    <w:lvl w:ilvl="0" w:tentative="0">
      <w:start w:val="1"/>
      <w:numFmt w:val="decimal"/>
      <w:suff w:val="nothing"/>
      <w:lvlText w:val="附图%1"/>
      <w:lvlJc w:val="left"/>
      <w:pPr>
        <w:ind w:left="0" w:firstLine="420"/>
      </w:pPr>
      <w:rPr>
        <w:rFonts w:hint="default"/>
      </w:rPr>
    </w:lvl>
  </w:abstractNum>
  <w:abstractNum w:abstractNumId="17">
    <w:nsid w:val="EB87D38F"/>
    <w:multiLevelType w:val="singleLevel"/>
    <w:tmpl w:val="EB87D38F"/>
    <w:lvl w:ilvl="0" w:tentative="0">
      <w:start w:val="1"/>
      <w:numFmt w:val="decimal"/>
      <w:suff w:val="nothing"/>
      <w:lvlText w:val="（%1）"/>
      <w:lvlJc w:val="left"/>
    </w:lvl>
  </w:abstractNum>
  <w:abstractNum w:abstractNumId="18">
    <w:nsid w:val="F8A322F1"/>
    <w:multiLevelType w:val="singleLevel"/>
    <w:tmpl w:val="F8A322F1"/>
    <w:lvl w:ilvl="0" w:tentative="0">
      <w:start w:val="1"/>
      <w:numFmt w:val="decimal"/>
      <w:suff w:val="nothing"/>
      <w:lvlText w:val="%1、"/>
      <w:lvlJc w:val="left"/>
    </w:lvl>
  </w:abstractNum>
  <w:abstractNum w:abstractNumId="19">
    <w:nsid w:val="FF8AAA4B"/>
    <w:multiLevelType w:val="singleLevel"/>
    <w:tmpl w:val="FF8AAA4B"/>
    <w:lvl w:ilvl="0" w:tentative="0">
      <w:start w:val="1"/>
      <w:numFmt w:val="decimal"/>
      <w:suff w:val="nothing"/>
      <w:lvlText w:val="（%1）"/>
      <w:lvlJc w:val="left"/>
    </w:lvl>
  </w:abstractNum>
  <w:abstractNum w:abstractNumId="20">
    <w:nsid w:val="FF9E1CA1"/>
    <w:multiLevelType w:val="singleLevel"/>
    <w:tmpl w:val="FF9E1CA1"/>
    <w:lvl w:ilvl="0" w:tentative="0">
      <w:start w:val="1"/>
      <w:numFmt w:val="decimal"/>
      <w:suff w:val="nothing"/>
      <w:lvlText w:val="（%1）"/>
      <w:lvlJc w:val="left"/>
    </w:lvl>
  </w:abstractNum>
  <w:abstractNum w:abstractNumId="21">
    <w:nsid w:val="02FF7C07"/>
    <w:multiLevelType w:val="singleLevel"/>
    <w:tmpl w:val="02FF7C07"/>
    <w:lvl w:ilvl="0" w:tentative="0">
      <w:start w:val="1"/>
      <w:numFmt w:val="decimal"/>
      <w:suff w:val="nothing"/>
      <w:lvlText w:val="（%1）"/>
      <w:lvlJc w:val="left"/>
    </w:lvl>
  </w:abstractNum>
  <w:abstractNum w:abstractNumId="22">
    <w:nsid w:val="04B5E6A1"/>
    <w:multiLevelType w:val="singleLevel"/>
    <w:tmpl w:val="04B5E6A1"/>
    <w:lvl w:ilvl="0" w:tentative="0">
      <w:start w:val="1"/>
      <w:numFmt w:val="decimal"/>
      <w:suff w:val="nothing"/>
      <w:lvlText w:val="（%1）"/>
      <w:lvlJc w:val="left"/>
    </w:lvl>
  </w:abstractNum>
  <w:abstractNum w:abstractNumId="23">
    <w:nsid w:val="0A1780D8"/>
    <w:multiLevelType w:val="singleLevel"/>
    <w:tmpl w:val="0A1780D8"/>
    <w:lvl w:ilvl="0" w:tentative="0">
      <w:start w:val="1"/>
      <w:numFmt w:val="decimal"/>
      <w:suff w:val="nothing"/>
      <w:lvlText w:val="%1、"/>
      <w:lvlJc w:val="left"/>
    </w:lvl>
  </w:abstractNum>
  <w:abstractNum w:abstractNumId="24">
    <w:nsid w:val="156D2EE9"/>
    <w:multiLevelType w:val="singleLevel"/>
    <w:tmpl w:val="156D2EE9"/>
    <w:lvl w:ilvl="0" w:tentative="0">
      <w:start w:val="1"/>
      <w:numFmt w:val="decimal"/>
      <w:suff w:val="nothing"/>
      <w:lvlText w:val="（%1）"/>
      <w:lvlJc w:val="left"/>
    </w:lvl>
  </w:abstractNum>
  <w:abstractNum w:abstractNumId="25">
    <w:nsid w:val="1BA2A999"/>
    <w:multiLevelType w:val="multilevel"/>
    <w:tmpl w:val="1BA2A999"/>
    <w:lvl w:ilvl="0" w:tentative="0">
      <w:start w:val="1"/>
      <w:numFmt w:val="decimal"/>
      <w:lvlText w:val="(%1)"/>
      <w:lvlJc w:val="left"/>
      <w:pPr>
        <w:tabs>
          <w:tab w:val="left" w:pos="0"/>
        </w:tabs>
        <w:ind w:left="-228" w:firstLine="454"/>
      </w:pPr>
      <w:rPr>
        <w:rFonts w:hint="eastAsia"/>
      </w:rPr>
    </w:lvl>
    <w:lvl w:ilvl="1" w:tentative="0">
      <w:start w:val="1"/>
      <w:numFmt w:val="bullet"/>
      <w:lvlText w:val=""/>
      <w:lvlJc w:val="left"/>
      <w:pPr>
        <w:tabs>
          <w:tab w:val="left" w:pos="1277"/>
        </w:tabs>
        <w:ind w:left="1049" w:hanging="420"/>
      </w:pPr>
      <w:rPr>
        <w:rFonts w:hint="default" w:ascii="Wingdings" w:hAnsi="Wingdings"/>
      </w:rPr>
    </w:lvl>
    <w:lvl w:ilvl="2" w:tentative="0">
      <w:start w:val="1"/>
      <w:numFmt w:val="bullet"/>
      <w:lvlText w:val=""/>
      <w:lvlJc w:val="left"/>
      <w:pPr>
        <w:tabs>
          <w:tab w:val="left" w:pos="1697"/>
        </w:tabs>
        <w:ind w:left="1469" w:hanging="420"/>
      </w:pPr>
      <w:rPr>
        <w:rFonts w:hint="default" w:ascii="Wingdings" w:hAnsi="Wingdings"/>
      </w:rPr>
    </w:lvl>
    <w:lvl w:ilvl="3" w:tentative="0">
      <w:start w:val="1"/>
      <w:numFmt w:val="bullet"/>
      <w:lvlText w:val=""/>
      <w:lvlJc w:val="left"/>
      <w:pPr>
        <w:tabs>
          <w:tab w:val="left" w:pos="2117"/>
        </w:tabs>
        <w:ind w:left="1889" w:hanging="420"/>
      </w:pPr>
      <w:rPr>
        <w:rFonts w:hint="default" w:ascii="Wingdings" w:hAnsi="Wingdings"/>
      </w:rPr>
    </w:lvl>
    <w:lvl w:ilvl="4" w:tentative="0">
      <w:start w:val="1"/>
      <w:numFmt w:val="bullet"/>
      <w:lvlText w:val=""/>
      <w:lvlJc w:val="left"/>
      <w:pPr>
        <w:tabs>
          <w:tab w:val="left" w:pos="2537"/>
        </w:tabs>
        <w:ind w:left="2309" w:hanging="420"/>
      </w:pPr>
      <w:rPr>
        <w:rFonts w:hint="default" w:ascii="Wingdings" w:hAnsi="Wingdings"/>
      </w:rPr>
    </w:lvl>
    <w:lvl w:ilvl="5" w:tentative="0">
      <w:start w:val="1"/>
      <w:numFmt w:val="bullet"/>
      <w:lvlText w:val=""/>
      <w:lvlJc w:val="left"/>
      <w:pPr>
        <w:tabs>
          <w:tab w:val="left" w:pos="2957"/>
        </w:tabs>
        <w:ind w:left="2729" w:hanging="420"/>
      </w:pPr>
      <w:rPr>
        <w:rFonts w:hint="default" w:ascii="Wingdings" w:hAnsi="Wingdings"/>
      </w:rPr>
    </w:lvl>
    <w:lvl w:ilvl="6" w:tentative="0">
      <w:start w:val="1"/>
      <w:numFmt w:val="bullet"/>
      <w:lvlText w:val=""/>
      <w:lvlJc w:val="left"/>
      <w:pPr>
        <w:tabs>
          <w:tab w:val="left" w:pos="3377"/>
        </w:tabs>
        <w:ind w:left="3149" w:hanging="420"/>
      </w:pPr>
      <w:rPr>
        <w:rFonts w:hint="default" w:ascii="Wingdings" w:hAnsi="Wingdings"/>
      </w:rPr>
    </w:lvl>
    <w:lvl w:ilvl="7" w:tentative="0">
      <w:start w:val="1"/>
      <w:numFmt w:val="bullet"/>
      <w:lvlText w:val=""/>
      <w:lvlJc w:val="left"/>
      <w:pPr>
        <w:tabs>
          <w:tab w:val="left" w:pos="3797"/>
        </w:tabs>
        <w:ind w:left="3569" w:hanging="420"/>
      </w:pPr>
      <w:rPr>
        <w:rFonts w:hint="default" w:ascii="Wingdings" w:hAnsi="Wingdings"/>
      </w:rPr>
    </w:lvl>
    <w:lvl w:ilvl="8" w:tentative="0">
      <w:start w:val="1"/>
      <w:numFmt w:val="bullet"/>
      <w:lvlText w:val=""/>
      <w:lvlJc w:val="left"/>
      <w:pPr>
        <w:tabs>
          <w:tab w:val="left" w:pos="4217"/>
        </w:tabs>
        <w:ind w:left="3989" w:hanging="420"/>
      </w:pPr>
      <w:rPr>
        <w:rFonts w:hint="default" w:ascii="Wingdings" w:hAnsi="Wingdings"/>
      </w:rPr>
    </w:lvl>
  </w:abstractNum>
  <w:abstractNum w:abstractNumId="26">
    <w:nsid w:val="1C825D54"/>
    <w:multiLevelType w:val="singleLevel"/>
    <w:tmpl w:val="1C825D54"/>
    <w:lvl w:ilvl="0" w:tentative="0">
      <w:start w:val="2"/>
      <w:numFmt w:val="decimal"/>
      <w:suff w:val="nothing"/>
      <w:lvlText w:val="%1、"/>
      <w:lvlJc w:val="left"/>
    </w:lvl>
  </w:abstractNum>
  <w:abstractNum w:abstractNumId="27">
    <w:nsid w:val="20A6F202"/>
    <w:multiLevelType w:val="singleLevel"/>
    <w:tmpl w:val="20A6F202"/>
    <w:lvl w:ilvl="0" w:tentative="0">
      <w:start w:val="1"/>
      <w:numFmt w:val="decimal"/>
      <w:suff w:val="nothing"/>
      <w:lvlText w:val="（%1）"/>
      <w:lvlJc w:val="left"/>
    </w:lvl>
  </w:abstractNum>
  <w:abstractNum w:abstractNumId="28">
    <w:nsid w:val="243B1EF2"/>
    <w:multiLevelType w:val="multilevel"/>
    <w:tmpl w:val="243B1EF2"/>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9">
    <w:nsid w:val="298EE2E9"/>
    <w:multiLevelType w:val="singleLevel"/>
    <w:tmpl w:val="298EE2E9"/>
    <w:lvl w:ilvl="0" w:tentative="0">
      <w:start w:val="2"/>
      <w:numFmt w:val="chineseCounting"/>
      <w:suff w:val="nothing"/>
      <w:lvlText w:val="（%1）"/>
      <w:lvlJc w:val="left"/>
      <w:rPr>
        <w:rFonts w:hint="eastAsia"/>
      </w:rPr>
    </w:lvl>
  </w:abstractNum>
  <w:abstractNum w:abstractNumId="30">
    <w:nsid w:val="2B764A8A"/>
    <w:multiLevelType w:val="singleLevel"/>
    <w:tmpl w:val="2B764A8A"/>
    <w:lvl w:ilvl="0" w:tentative="0">
      <w:start w:val="1"/>
      <w:numFmt w:val="decimal"/>
      <w:suff w:val="nothing"/>
      <w:lvlText w:val="（%1）"/>
      <w:lvlJc w:val="left"/>
    </w:lvl>
  </w:abstractNum>
  <w:abstractNum w:abstractNumId="31">
    <w:nsid w:val="31055693"/>
    <w:multiLevelType w:val="singleLevel"/>
    <w:tmpl w:val="31055693"/>
    <w:lvl w:ilvl="0" w:tentative="0">
      <w:start w:val="2"/>
      <w:numFmt w:val="decimal"/>
      <w:suff w:val="nothing"/>
      <w:lvlText w:val="（%1）"/>
      <w:lvlJc w:val="left"/>
    </w:lvl>
  </w:abstractNum>
  <w:abstractNum w:abstractNumId="32">
    <w:nsid w:val="3231430B"/>
    <w:multiLevelType w:val="singleLevel"/>
    <w:tmpl w:val="3231430B"/>
    <w:lvl w:ilvl="0" w:tentative="0">
      <w:start w:val="1"/>
      <w:numFmt w:val="decimal"/>
      <w:lvlText w:val="%1."/>
      <w:lvlJc w:val="left"/>
      <w:pPr>
        <w:ind w:left="425" w:hanging="425"/>
      </w:pPr>
      <w:rPr>
        <w:rFonts w:hint="default"/>
      </w:rPr>
    </w:lvl>
  </w:abstractNum>
  <w:abstractNum w:abstractNumId="33">
    <w:nsid w:val="379F08C9"/>
    <w:multiLevelType w:val="singleLevel"/>
    <w:tmpl w:val="379F08C9"/>
    <w:lvl w:ilvl="0" w:tentative="0">
      <w:start w:val="1"/>
      <w:numFmt w:val="decimal"/>
      <w:suff w:val="nothing"/>
      <w:lvlText w:val="%1、"/>
      <w:lvlJc w:val="left"/>
    </w:lvl>
  </w:abstractNum>
  <w:abstractNum w:abstractNumId="34">
    <w:nsid w:val="3E9E68DA"/>
    <w:multiLevelType w:val="multilevel"/>
    <w:tmpl w:val="3E9E68DA"/>
    <w:lvl w:ilvl="0" w:tentative="0">
      <w:start w:val="1"/>
      <w:numFmt w:val="decimal"/>
      <w:pStyle w:val="1626"/>
      <w:lvlText w:val="%1、"/>
      <w:lvlJc w:val="left"/>
      <w:pPr>
        <w:tabs>
          <w:tab w:val="left" w:pos="0"/>
        </w:tabs>
        <w:ind w:left="0" w:firstLine="0"/>
      </w:pPr>
      <w:rPr>
        <w:rFonts w:hint="default"/>
        <w:b w:val="0"/>
      </w:rPr>
    </w:lvl>
    <w:lvl w:ilvl="1" w:tentative="0">
      <w:start w:val="1"/>
      <w:numFmt w:val="upperLetter"/>
      <w:lvlText w:val="%2."/>
      <w:lvlJc w:val="left"/>
      <w:pPr>
        <w:tabs>
          <w:tab w:val="left" w:pos="0"/>
        </w:tabs>
        <w:ind w:left="840" w:hanging="4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5">
    <w:nsid w:val="3F238BE6"/>
    <w:multiLevelType w:val="singleLevel"/>
    <w:tmpl w:val="3F238BE6"/>
    <w:lvl w:ilvl="0" w:tentative="0">
      <w:start w:val="2"/>
      <w:numFmt w:val="decimal"/>
      <w:suff w:val="nothing"/>
      <w:lvlText w:val="（%1）"/>
      <w:lvlJc w:val="left"/>
    </w:lvl>
  </w:abstractNum>
  <w:abstractNum w:abstractNumId="36">
    <w:nsid w:val="41A9432C"/>
    <w:multiLevelType w:val="multilevel"/>
    <w:tmpl w:val="41A9432C"/>
    <w:lvl w:ilvl="0" w:tentative="0">
      <w:start w:val="1"/>
      <w:numFmt w:val="decimal"/>
      <w:lvlText w:val="%1"/>
      <w:lvlJc w:val="left"/>
      <w:pPr>
        <w:tabs>
          <w:tab w:val="left" w:pos="785"/>
        </w:tabs>
        <w:ind w:left="785" w:hanging="425"/>
      </w:pPr>
      <w:rPr>
        <w:color w:val="auto"/>
        <w:sz w:val="30"/>
        <w:szCs w:val="30"/>
      </w:rPr>
    </w:lvl>
    <w:lvl w:ilvl="1" w:tentative="0">
      <w:start w:val="1"/>
      <w:numFmt w:val="decimal"/>
      <w:pStyle w:val="1616"/>
      <w:lvlText w:val="%1.%2"/>
      <w:lvlJc w:val="left"/>
      <w:pPr>
        <w:tabs>
          <w:tab w:val="left" w:pos="567"/>
        </w:tabs>
        <w:ind w:left="567" w:hanging="567"/>
      </w:pPr>
      <w:rPr>
        <w:b w:val="0"/>
      </w:rPr>
    </w:lvl>
    <w:lvl w:ilvl="2" w:tentative="0">
      <w:start w:val="1"/>
      <w:numFmt w:val="decimal"/>
      <w:pStyle w:val="1585"/>
      <w:lvlText w:val="%1.%2.%3"/>
      <w:lvlJc w:val="left"/>
      <w:pPr>
        <w:tabs>
          <w:tab w:val="left" w:pos="1778"/>
        </w:tabs>
        <w:ind w:left="1778" w:hanging="567"/>
      </w:pPr>
      <w:rPr>
        <w:color w:val="auto"/>
      </w:rPr>
    </w:lvl>
    <w:lvl w:ilvl="3" w:tentative="0">
      <w:start w:val="1"/>
      <w:numFmt w:val="decimal"/>
      <w:pStyle w:val="812"/>
      <w:lvlText w:val="%1.%2.%3.%4"/>
      <w:lvlJc w:val="left"/>
      <w:pPr>
        <w:tabs>
          <w:tab w:val="left" w:pos="2344"/>
        </w:tabs>
        <w:ind w:left="2344" w:hanging="708"/>
      </w:pPr>
      <w:rPr>
        <w:b w:val="0"/>
      </w:rPr>
    </w:lvl>
    <w:lvl w:ilvl="4" w:tentative="0">
      <w:start w:val="1"/>
      <w:numFmt w:val="decimal"/>
      <w:lvlText w:val="%1.%2.%3.%4.%5"/>
      <w:lvlJc w:val="left"/>
      <w:pPr>
        <w:tabs>
          <w:tab w:val="left" w:pos="2911"/>
        </w:tabs>
        <w:ind w:left="2911" w:hanging="850"/>
      </w:pPr>
    </w:lvl>
    <w:lvl w:ilvl="5" w:tentative="0">
      <w:start w:val="1"/>
      <w:numFmt w:val="decimal"/>
      <w:lvlText w:val="%1.%2.%3.%4.%5.%6"/>
      <w:lvlJc w:val="left"/>
      <w:pPr>
        <w:tabs>
          <w:tab w:val="left" w:pos="3620"/>
        </w:tabs>
        <w:ind w:left="3620" w:hanging="1134"/>
      </w:pPr>
    </w:lvl>
    <w:lvl w:ilvl="6" w:tentative="0">
      <w:start w:val="1"/>
      <w:numFmt w:val="decimal"/>
      <w:lvlText w:val="%1.%2.%3.%4.%5.%6.%7"/>
      <w:lvlJc w:val="left"/>
      <w:pPr>
        <w:tabs>
          <w:tab w:val="left" w:pos="4187"/>
        </w:tabs>
        <w:ind w:left="4187" w:hanging="1276"/>
      </w:pPr>
    </w:lvl>
    <w:lvl w:ilvl="7" w:tentative="0">
      <w:start w:val="1"/>
      <w:numFmt w:val="decimal"/>
      <w:lvlText w:val="%1.%2.%3.%4.%5.%6.%7.%8"/>
      <w:lvlJc w:val="left"/>
      <w:pPr>
        <w:tabs>
          <w:tab w:val="left" w:pos="4754"/>
        </w:tabs>
        <w:ind w:left="4754" w:hanging="1418"/>
      </w:pPr>
    </w:lvl>
    <w:lvl w:ilvl="8" w:tentative="0">
      <w:start w:val="1"/>
      <w:numFmt w:val="decimal"/>
      <w:lvlText w:val="%1.%2.%3.%4.%5.%6.%7.%8.%9"/>
      <w:lvlJc w:val="left"/>
      <w:pPr>
        <w:tabs>
          <w:tab w:val="left" w:pos="5462"/>
        </w:tabs>
        <w:ind w:left="5462" w:hanging="1700"/>
      </w:pPr>
    </w:lvl>
  </w:abstractNum>
  <w:abstractNum w:abstractNumId="37">
    <w:nsid w:val="460167DA"/>
    <w:multiLevelType w:val="multilevel"/>
    <w:tmpl w:val="460167DA"/>
    <w:lvl w:ilvl="0" w:tentative="0">
      <w:start w:val="1"/>
      <w:numFmt w:val="decimal"/>
      <w:lvlText w:val="(%1)"/>
      <w:lvlJc w:val="left"/>
      <w:pPr>
        <w:tabs>
          <w:tab w:val="left" w:pos="0"/>
        </w:tabs>
        <w:ind w:left="0" w:firstLine="454"/>
      </w:pPr>
      <w:rPr>
        <w:rFonts w:hint="default"/>
        <w:strike w:val="0"/>
        <w:dstrike w:val="0"/>
      </w:rPr>
    </w:lvl>
    <w:lvl w:ilvl="1" w:tentative="0">
      <w:start w:val="1"/>
      <w:numFmt w:val="bullet"/>
      <w:lvlText w:val=""/>
      <w:lvlJc w:val="left"/>
      <w:pPr>
        <w:tabs>
          <w:tab w:val="left" w:pos="1277"/>
        </w:tabs>
        <w:ind w:left="1277" w:hanging="420"/>
      </w:pPr>
      <w:rPr>
        <w:rFonts w:hint="default" w:ascii="Wingdings" w:hAnsi="Wingdings"/>
      </w:rPr>
    </w:lvl>
    <w:lvl w:ilvl="2" w:tentative="0">
      <w:start w:val="1"/>
      <w:numFmt w:val="bullet"/>
      <w:lvlText w:val=""/>
      <w:lvlJc w:val="left"/>
      <w:pPr>
        <w:tabs>
          <w:tab w:val="left" w:pos="1697"/>
        </w:tabs>
        <w:ind w:left="1697" w:hanging="420"/>
      </w:pPr>
      <w:rPr>
        <w:rFonts w:hint="default" w:ascii="Wingdings" w:hAnsi="Wingdings"/>
      </w:rPr>
    </w:lvl>
    <w:lvl w:ilvl="3" w:tentative="0">
      <w:start w:val="1"/>
      <w:numFmt w:val="bullet"/>
      <w:lvlText w:val=""/>
      <w:lvlJc w:val="left"/>
      <w:pPr>
        <w:tabs>
          <w:tab w:val="left" w:pos="2117"/>
        </w:tabs>
        <w:ind w:left="2117" w:hanging="420"/>
      </w:pPr>
      <w:rPr>
        <w:rFonts w:hint="default" w:ascii="Wingdings" w:hAnsi="Wingdings"/>
      </w:rPr>
    </w:lvl>
    <w:lvl w:ilvl="4" w:tentative="0">
      <w:start w:val="1"/>
      <w:numFmt w:val="bullet"/>
      <w:lvlText w:val=""/>
      <w:lvlJc w:val="left"/>
      <w:pPr>
        <w:tabs>
          <w:tab w:val="left" w:pos="2537"/>
        </w:tabs>
        <w:ind w:left="2537" w:hanging="420"/>
      </w:pPr>
      <w:rPr>
        <w:rFonts w:hint="default" w:ascii="Wingdings" w:hAnsi="Wingdings"/>
      </w:rPr>
    </w:lvl>
    <w:lvl w:ilvl="5" w:tentative="0">
      <w:start w:val="1"/>
      <w:numFmt w:val="bullet"/>
      <w:lvlText w:val=""/>
      <w:lvlJc w:val="left"/>
      <w:pPr>
        <w:tabs>
          <w:tab w:val="left" w:pos="2957"/>
        </w:tabs>
        <w:ind w:left="2957" w:hanging="420"/>
      </w:pPr>
      <w:rPr>
        <w:rFonts w:hint="default" w:ascii="Wingdings" w:hAnsi="Wingdings"/>
      </w:rPr>
    </w:lvl>
    <w:lvl w:ilvl="6" w:tentative="0">
      <w:start w:val="1"/>
      <w:numFmt w:val="bullet"/>
      <w:lvlText w:val=""/>
      <w:lvlJc w:val="left"/>
      <w:pPr>
        <w:tabs>
          <w:tab w:val="left" w:pos="3377"/>
        </w:tabs>
        <w:ind w:left="3377" w:hanging="420"/>
      </w:pPr>
      <w:rPr>
        <w:rFonts w:hint="default" w:ascii="Wingdings" w:hAnsi="Wingdings"/>
      </w:rPr>
    </w:lvl>
    <w:lvl w:ilvl="7" w:tentative="0">
      <w:start w:val="1"/>
      <w:numFmt w:val="bullet"/>
      <w:lvlText w:val=""/>
      <w:lvlJc w:val="left"/>
      <w:pPr>
        <w:tabs>
          <w:tab w:val="left" w:pos="3797"/>
        </w:tabs>
        <w:ind w:left="3797" w:hanging="420"/>
      </w:pPr>
      <w:rPr>
        <w:rFonts w:hint="default" w:ascii="Wingdings" w:hAnsi="Wingdings"/>
      </w:rPr>
    </w:lvl>
    <w:lvl w:ilvl="8" w:tentative="0">
      <w:start w:val="1"/>
      <w:numFmt w:val="bullet"/>
      <w:lvlText w:val=""/>
      <w:lvlJc w:val="left"/>
      <w:pPr>
        <w:tabs>
          <w:tab w:val="left" w:pos="4217"/>
        </w:tabs>
        <w:ind w:left="4217" w:hanging="420"/>
      </w:pPr>
      <w:rPr>
        <w:rFonts w:hint="default" w:ascii="Wingdings" w:hAnsi="Wingdings"/>
      </w:rPr>
    </w:lvl>
  </w:abstractNum>
  <w:abstractNum w:abstractNumId="38">
    <w:nsid w:val="4B593DA1"/>
    <w:multiLevelType w:val="singleLevel"/>
    <w:tmpl w:val="4B593DA1"/>
    <w:lvl w:ilvl="0" w:tentative="0">
      <w:start w:val="1"/>
      <w:numFmt w:val="decimal"/>
      <w:suff w:val="nothing"/>
      <w:lvlText w:val="（%1）"/>
      <w:lvlJc w:val="left"/>
    </w:lvl>
  </w:abstractNum>
  <w:abstractNum w:abstractNumId="39">
    <w:nsid w:val="52473900"/>
    <w:multiLevelType w:val="multilevel"/>
    <w:tmpl w:val="52473900"/>
    <w:lvl w:ilvl="0" w:tentative="0">
      <w:start w:val="1"/>
      <w:numFmt w:val="decimal"/>
      <w:lvlText w:val="(%1)"/>
      <w:lvlJc w:val="left"/>
      <w:pPr>
        <w:tabs>
          <w:tab w:val="left" w:pos="0"/>
        </w:tabs>
        <w:ind w:left="0" w:firstLine="454"/>
      </w:pPr>
      <w:rPr>
        <w:rFonts w:hint="eastAsia"/>
      </w:rPr>
    </w:lvl>
    <w:lvl w:ilvl="1" w:tentative="0">
      <w:start w:val="1"/>
      <w:numFmt w:val="bullet"/>
      <w:lvlText w:val=""/>
      <w:lvlJc w:val="left"/>
      <w:pPr>
        <w:tabs>
          <w:tab w:val="left" w:pos="1277"/>
        </w:tabs>
        <w:ind w:left="1277" w:hanging="420"/>
      </w:pPr>
      <w:rPr>
        <w:rFonts w:hint="default" w:ascii="Wingdings" w:hAnsi="Wingdings"/>
      </w:rPr>
    </w:lvl>
    <w:lvl w:ilvl="2" w:tentative="0">
      <w:start w:val="1"/>
      <w:numFmt w:val="bullet"/>
      <w:lvlText w:val=""/>
      <w:lvlJc w:val="left"/>
      <w:pPr>
        <w:tabs>
          <w:tab w:val="left" w:pos="1697"/>
        </w:tabs>
        <w:ind w:left="1697" w:hanging="420"/>
      </w:pPr>
      <w:rPr>
        <w:rFonts w:hint="default" w:ascii="Wingdings" w:hAnsi="Wingdings"/>
      </w:rPr>
    </w:lvl>
    <w:lvl w:ilvl="3" w:tentative="0">
      <w:start w:val="1"/>
      <w:numFmt w:val="bullet"/>
      <w:lvlText w:val=""/>
      <w:lvlJc w:val="left"/>
      <w:pPr>
        <w:tabs>
          <w:tab w:val="left" w:pos="2117"/>
        </w:tabs>
        <w:ind w:left="2117" w:hanging="420"/>
      </w:pPr>
      <w:rPr>
        <w:rFonts w:hint="default" w:ascii="Wingdings" w:hAnsi="Wingdings"/>
      </w:rPr>
    </w:lvl>
    <w:lvl w:ilvl="4" w:tentative="0">
      <w:start w:val="1"/>
      <w:numFmt w:val="bullet"/>
      <w:lvlText w:val=""/>
      <w:lvlJc w:val="left"/>
      <w:pPr>
        <w:tabs>
          <w:tab w:val="left" w:pos="2537"/>
        </w:tabs>
        <w:ind w:left="2537" w:hanging="420"/>
      </w:pPr>
      <w:rPr>
        <w:rFonts w:hint="default" w:ascii="Wingdings" w:hAnsi="Wingdings"/>
      </w:rPr>
    </w:lvl>
    <w:lvl w:ilvl="5" w:tentative="0">
      <w:start w:val="1"/>
      <w:numFmt w:val="bullet"/>
      <w:lvlText w:val=""/>
      <w:lvlJc w:val="left"/>
      <w:pPr>
        <w:tabs>
          <w:tab w:val="left" w:pos="2957"/>
        </w:tabs>
        <w:ind w:left="2957" w:hanging="420"/>
      </w:pPr>
      <w:rPr>
        <w:rFonts w:hint="default" w:ascii="Wingdings" w:hAnsi="Wingdings"/>
      </w:rPr>
    </w:lvl>
    <w:lvl w:ilvl="6" w:tentative="0">
      <w:start w:val="1"/>
      <w:numFmt w:val="bullet"/>
      <w:lvlText w:val=""/>
      <w:lvlJc w:val="left"/>
      <w:pPr>
        <w:tabs>
          <w:tab w:val="left" w:pos="3377"/>
        </w:tabs>
        <w:ind w:left="3377" w:hanging="420"/>
      </w:pPr>
      <w:rPr>
        <w:rFonts w:hint="default" w:ascii="Wingdings" w:hAnsi="Wingdings"/>
      </w:rPr>
    </w:lvl>
    <w:lvl w:ilvl="7" w:tentative="0">
      <w:start w:val="1"/>
      <w:numFmt w:val="bullet"/>
      <w:lvlText w:val=""/>
      <w:lvlJc w:val="left"/>
      <w:pPr>
        <w:tabs>
          <w:tab w:val="left" w:pos="3797"/>
        </w:tabs>
        <w:ind w:left="3797" w:hanging="420"/>
      </w:pPr>
      <w:rPr>
        <w:rFonts w:hint="default" w:ascii="Wingdings" w:hAnsi="Wingdings"/>
      </w:rPr>
    </w:lvl>
    <w:lvl w:ilvl="8" w:tentative="0">
      <w:start w:val="1"/>
      <w:numFmt w:val="bullet"/>
      <w:lvlText w:val=""/>
      <w:lvlJc w:val="left"/>
      <w:pPr>
        <w:tabs>
          <w:tab w:val="left" w:pos="4217"/>
        </w:tabs>
        <w:ind w:left="4217" w:hanging="420"/>
      </w:pPr>
      <w:rPr>
        <w:rFonts w:hint="default" w:ascii="Wingdings" w:hAnsi="Wingdings"/>
      </w:rPr>
    </w:lvl>
  </w:abstractNum>
  <w:abstractNum w:abstractNumId="40">
    <w:nsid w:val="587987DD"/>
    <w:multiLevelType w:val="multilevel"/>
    <w:tmpl w:val="587987DD"/>
    <w:lvl w:ilvl="0" w:tentative="0">
      <w:start w:val="1"/>
      <w:numFmt w:val="decimal"/>
      <w:lvlText w:val="（%1）"/>
      <w:lvlJc w:val="left"/>
      <w:pPr>
        <w:ind w:left="1518" w:hanging="420"/>
      </w:pPr>
      <w:rPr>
        <w:rFonts w:hint="default" w:ascii="Times New Roman" w:hAnsi="Times New Roman" w:cs="Times New Roman"/>
      </w:rPr>
    </w:lvl>
    <w:lvl w:ilvl="1" w:tentative="0">
      <w:start w:val="1"/>
      <w:numFmt w:val="lowerLetter"/>
      <w:pStyle w:val="1576"/>
      <w:lvlText w:val="%2)"/>
      <w:lvlJc w:val="left"/>
      <w:pPr>
        <w:ind w:left="1320" w:hanging="420"/>
      </w:pPr>
      <w:rPr>
        <w:rFonts w:hint="default" w:ascii="Times New Roman" w:hAnsi="Times New Roman" w:cs="Times New Roman"/>
      </w:rPr>
    </w:lvl>
    <w:lvl w:ilvl="2" w:tentative="0">
      <w:start w:val="1"/>
      <w:numFmt w:val="lowerRoman"/>
      <w:lvlText w:val="%3."/>
      <w:lvlJc w:val="right"/>
      <w:pPr>
        <w:ind w:left="1740" w:hanging="420"/>
      </w:pPr>
      <w:rPr>
        <w:rFonts w:hint="default" w:ascii="Times New Roman" w:hAnsi="Times New Roman" w:cs="Times New Roman"/>
      </w:rPr>
    </w:lvl>
    <w:lvl w:ilvl="3" w:tentative="0">
      <w:start w:val="1"/>
      <w:numFmt w:val="decimal"/>
      <w:lvlText w:val="%4."/>
      <w:lvlJc w:val="left"/>
      <w:pPr>
        <w:ind w:left="2160" w:hanging="420"/>
      </w:pPr>
      <w:rPr>
        <w:rFonts w:hint="default" w:ascii="Times New Roman" w:hAnsi="Times New Roman" w:cs="Times New Roman"/>
      </w:rPr>
    </w:lvl>
    <w:lvl w:ilvl="4" w:tentative="0">
      <w:start w:val="1"/>
      <w:numFmt w:val="lowerLetter"/>
      <w:lvlText w:val="%5)"/>
      <w:lvlJc w:val="left"/>
      <w:pPr>
        <w:ind w:left="2580" w:hanging="420"/>
      </w:pPr>
      <w:rPr>
        <w:rFonts w:hint="default" w:ascii="Times New Roman" w:hAnsi="Times New Roman" w:cs="Times New Roman"/>
      </w:rPr>
    </w:lvl>
    <w:lvl w:ilvl="5" w:tentative="0">
      <w:start w:val="1"/>
      <w:numFmt w:val="lowerRoman"/>
      <w:lvlText w:val="%6."/>
      <w:lvlJc w:val="right"/>
      <w:pPr>
        <w:ind w:left="3000" w:hanging="420"/>
      </w:pPr>
      <w:rPr>
        <w:rFonts w:hint="default" w:ascii="Times New Roman" w:hAnsi="Times New Roman" w:cs="Times New Roman"/>
      </w:rPr>
    </w:lvl>
    <w:lvl w:ilvl="6" w:tentative="0">
      <w:start w:val="1"/>
      <w:numFmt w:val="decimal"/>
      <w:lvlText w:val="%7."/>
      <w:lvlJc w:val="left"/>
      <w:pPr>
        <w:ind w:left="3420" w:hanging="420"/>
      </w:pPr>
      <w:rPr>
        <w:rFonts w:hint="default" w:ascii="Times New Roman" w:hAnsi="Times New Roman" w:cs="Times New Roman"/>
      </w:rPr>
    </w:lvl>
    <w:lvl w:ilvl="7" w:tentative="0">
      <w:start w:val="1"/>
      <w:numFmt w:val="lowerLetter"/>
      <w:lvlText w:val="%8)"/>
      <w:lvlJc w:val="left"/>
      <w:pPr>
        <w:ind w:left="3840" w:hanging="420"/>
      </w:pPr>
      <w:rPr>
        <w:rFonts w:hint="default" w:ascii="Times New Roman" w:hAnsi="Times New Roman" w:cs="Times New Roman"/>
      </w:rPr>
    </w:lvl>
    <w:lvl w:ilvl="8" w:tentative="0">
      <w:start w:val="1"/>
      <w:numFmt w:val="lowerRoman"/>
      <w:lvlText w:val="%9."/>
      <w:lvlJc w:val="right"/>
      <w:pPr>
        <w:ind w:left="4260" w:hanging="420"/>
      </w:pPr>
      <w:rPr>
        <w:rFonts w:hint="default" w:ascii="Times New Roman" w:hAnsi="Times New Roman" w:cs="Times New Roman"/>
      </w:rPr>
    </w:lvl>
  </w:abstractNum>
  <w:abstractNum w:abstractNumId="41">
    <w:nsid w:val="5AD88562"/>
    <w:multiLevelType w:val="singleLevel"/>
    <w:tmpl w:val="5AD88562"/>
    <w:lvl w:ilvl="0" w:tentative="0">
      <w:start w:val="1"/>
      <w:numFmt w:val="decimal"/>
      <w:suff w:val="nothing"/>
      <w:lvlText w:val="%1、"/>
      <w:lvlJc w:val="left"/>
    </w:lvl>
  </w:abstractNum>
  <w:abstractNum w:abstractNumId="42">
    <w:nsid w:val="5D4A6B8F"/>
    <w:multiLevelType w:val="singleLevel"/>
    <w:tmpl w:val="5D4A6B8F"/>
    <w:lvl w:ilvl="0" w:tentative="0">
      <w:start w:val="1"/>
      <w:numFmt w:val="upperLetter"/>
      <w:suff w:val="nothing"/>
      <w:lvlText w:val="%1、"/>
      <w:lvlJc w:val="left"/>
    </w:lvl>
  </w:abstractNum>
  <w:abstractNum w:abstractNumId="43">
    <w:nsid w:val="6049F512"/>
    <w:multiLevelType w:val="singleLevel"/>
    <w:tmpl w:val="6049F512"/>
    <w:lvl w:ilvl="0" w:tentative="0">
      <w:start w:val="1"/>
      <w:numFmt w:val="decimal"/>
      <w:suff w:val="nothing"/>
      <w:lvlText w:val="（%1）"/>
      <w:lvlJc w:val="left"/>
    </w:lvl>
  </w:abstractNum>
  <w:abstractNum w:abstractNumId="44">
    <w:nsid w:val="6B0A344D"/>
    <w:multiLevelType w:val="multilevel"/>
    <w:tmpl w:val="6B0A344D"/>
    <w:lvl w:ilvl="0" w:tentative="0">
      <w:start w:val="1"/>
      <w:numFmt w:val="decimal"/>
      <w:pStyle w:val="755"/>
      <w:lvlText w:val="%1"/>
      <w:lvlJc w:val="left"/>
      <w:pPr>
        <w:tabs>
          <w:tab w:val="left" w:pos="992"/>
        </w:tabs>
        <w:ind w:left="992" w:hanging="425"/>
      </w:pPr>
      <w:rPr>
        <w:rFonts w:hint="eastAsia"/>
      </w:rPr>
    </w:lvl>
    <w:lvl w:ilvl="1" w:tentative="0">
      <w:start w:val="1"/>
      <w:numFmt w:val="decimal"/>
      <w:pStyle w:val="727"/>
      <w:lvlText w:val="%1.%2"/>
      <w:lvlJc w:val="left"/>
      <w:pPr>
        <w:tabs>
          <w:tab w:val="left" w:pos="1559"/>
        </w:tabs>
        <w:ind w:left="1559" w:hanging="567"/>
      </w:pPr>
      <w:rPr>
        <w:rFonts w:hint="eastAsia"/>
      </w:rPr>
    </w:lvl>
    <w:lvl w:ilvl="2" w:tentative="0">
      <w:start w:val="1"/>
      <w:numFmt w:val="decimal"/>
      <w:lvlText w:val="%1.%2.%3"/>
      <w:lvlJc w:val="left"/>
      <w:pPr>
        <w:tabs>
          <w:tab w:val="left" w:pos="900"/>
        </w:tabs>
        <w:ind w:left="747" w:hanging="567"/>
      </w:pPr>
      <w:rPr>
        <w:rFonts w:hint="eastAsia"/>
      </w:rPr>
    </w:lvl>
    <w:lvl w:ilvl="3" w:tentative="0">
      <w:start w:val="1"/>
      <w:numFmt w:val="decimal"/>
      <w:lvlText w:val="%1.%2.%3.%4"/>
      <w:lvlJc w:val="left"/>
      <w:pPr>
        <w:tabs>
          <w:tab w:val="left" w:pos="3060"/>
        </w:tabs>
        <w:ind w:left="2688" w:hanging="708"/>
      </w:pPr>
      <w:rPr>
        <w:rFonts w:hint="eastAsia"/>
      </w:rPr>
    </w:lvl>
    <w:lvl w:ilvl="4" w:tentative="0">
      <w:start w:val="1"/>
      <w:numFmt w:val="decimal"/>
      <w:lvlText w:val="%1.%2.%3.%4.%5"/>
      <w:lvlJc w:val="left"/>
      <w:pPr>
        <w:tabs>
          <w:tab w:val="left" w:pos="3348"/>
        </w:tabs>
        <w:ind w:left="3118" w:hanging="850"/>
      </w:pPr>
      <w:rPr>
        <w:rFonts w:hint="eastAsia"/>
      </w:rPr>
    </w:lvl>
    <w:lvl w:ilvl="5" w:tentative="0">
      <w:start w:val="1"/>
      <w:numFmt w:val="decimal"/>
      <w:lvlText w:val="%1.%2.%3.%4.%5.%6"/>
      <w:lvlJc w:val="left"/>
      <w:pPr>
        <w:tabs>
          <w:tab w:val="left" w:pos="4133"/>
        </w:tabs>
        <w:ind w:left="3827" w:hanging="1134"/>
      </w:pPr>
      <w:rPr>
        <w:rFonts w:hint="eastAsia"/>
      </w:rPr>
    </w:lvl>
    <w:lvl w:ilvl="6" w:tentative="0">
      <w:start w:val="1"/>
      <w:numFmt w:val="decimal"/>
      <w:lvlText w:val="%1.%2.%3.%4.%5.%6.%7"/>
      <w:lvlJc w:val="left"/>
      <w:pPr>
        <w:tabs>
          <w:tab w:val="left" w:pos="4918"/>
        </w:tabs>
        <w:ind w:left="4394" w:hanging="1276"/>
      </w:pPr>
      <w:rPr>
        <w:rFonts w:hint="eastAsia"/>
      </w:rPr>
    </w:lvl>
    <w:lvl w:ilvl="7" w:tentative="0">
      <w:start w:val="1"/>
      <w:numFmt w:val="decimal"/>
      <w:lvlText w:val="%1.%2.%3.%4.%5.%6.%7.%8"/>
      <w:lvlJc w:val="left"/>
      <w:pPr>
        <w:tabs>
          <w:tab w:val="left" w:pos="5343"/>
        </w:tabs>
        <w:ind w:left="4961" w:hanging="1418"/>
      </w:pPr>
      <w:rPr>
        <w:rFonts w:hint="eastAsia"/>
      </w:rPr>
    </w:lvl>
    <w:lvl w:ilvl="8" w:tentative="0">
      <w:start w:val="1"/>
      <w:numFmt w:val="decimal"/>
      <w:lvlText w:val="%1.%2.%3.%4.%5.%6.%7.%8.%9"/>
      <w:lvlJc w:val="left"/>
      <w:pPr>
        <w:tabs>
          <w:tab w:val="left" w:pos="6129"/>
        </w:tabs>
        <w:ind w:left="5669" w:hanging="1700"/>
      </w:pPr>
      <w:rPr>
        <w:rFonts w:hint="eastAsia"/>
      </w:rPr>
    </w:lvl>
  </w:abstractNum>
  <w:abstractNum w:abstractNumId="45">
    <w:nsid w:val="6B5692FA"/>
    <w:multiLevelType w:val="singleLevel"/>
    <w:tmpl w:val="6B5692FA"/>
    <w:lvl w:ilvl="0" w:tentative="0">
      <w:start w:val="1"/>
      <w:numFmt w:val="decimal"/>
      <w:suff w:val="nothing"/>
      <w:lvlText w:val="（%1）"/>
      <w:lvlJc w:val="left"/>
    </w:lvl>
  </w:abstractNum>
  <w:abstractNum w:abstractNumId="46">
    <w:nsid w:val="7371C236"/>
    <w:multiLevelType w:val="singleLevel"/>
    <w:tmpl w:val="7371C236"/>
    <w:lvl w:ilvl="0" w:tentative="0">
      <w:start w:val="1"/>
      <w:numFmt w:val="decimal"/>
      <w:suff w:val="nothing"/>
      <w:lvlText w:val="（%1）"/>
      <w:lvlJc w:val="left"/>
    </w:lvl>
  </w:abstractNum>
  <w:abstractNum w:abstractNumId="47">
    <w:nsid w:val="7A810BCB"/>
    <w:multiLevelType w:val="multilevel"/>
    <w:tmpl w:val="7A810BCB"/>
    <w:lvl w:ilvl="0" w:tentative="0">
      <w:start w:val="1"/>
      <w:numFmt w:val="decimal"/>
      <w:lvlText w:val="%1."/>
      <w:lvlJc w:val="left"/>
      <w:pPr>
        <w:tabs>
          <w:tab w:val="left" w:pos="425"/>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pStyle w:val="1392"/>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7"/>
  </w:num>
  <w:num w:numId="2">
    <w:abstractNumId w:val="44"/>
  </w:num>
  <w:num w:numId="3">
    <w:abstractNumId w:val="36"/>
  </w:num>
  <w:num w:numId="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0"/>
  </w:num>
  <w:num w:numId="6">
    <w:abstractNumId w:val="34"/>
  </w:num>
  <w:num w:numId="7">
    <w:abstractNumId w:val="15"/>
  </w:num>
  <w:num w:numId="8">
    <w:abstractNumId w:val="16"/>
  </w:num>
  <w:num w:numId="9">
    <w:abstractNumId w:val="1"/>
  </w:num>
  <w:num w:numId="10">
    <w:abstractNumId w:val="39"/>
  </w:num>
  <w:num w:numId="11">
    <w:abstractNumId w:val="25"/>
  </w:num>
  <w:num w:numId="12">
    <w:abstractNumId w:val="14"/>
  </w:num>
  <w:num w:numId="13">
    <w:abstractNumId w:val="37"/>
  </w:num>
  <w:num w:numId="14">
    <w:abstractNumId w:val="28"/>
  </w:num>
  <w:num w:numId="15">
    <w:abstractNumId w:val="5"/>
  </w:num>
  <w:num w:numId="16">
    <w:abstractNumId w:val="2"/>
  </w:num>
  <w:num w:numId="17">
    <w:abstractNumId w:val="32"/>
  </w:num>
  <w:num w:numId="18">
    <w:abstractNumId w:val="31"/>
  </w:num>
  <w:num w:numId="19">
    <w:abstractNumId w:val="19"/>
  </w:num>
  <w:num w:numId="20">
    <w:abstractNumId w:val="0"/>
  </w:num>
  <w:num w:numId="21">
    <w:abstractNumId w:val="27"/>
  </w:num>
  <w:num w:numId="22">
    <w:abstractNumId w:val="30"/>
  </w:num>
  <w:num w:numId="23">
    <w:abstractNumId w:val="35"/>
  </w:num>
  <w:num w:numId="24">
    <w:abstractNumId w:val="33"/>
  </w:num>
  <w:num w:numId="25">
    <w:abstractNumId w:val="26"/>
  </w:num>
  <w:num w:numId="26">
    <w:abstractNumId w:val="29"/>
  </w:num>
  <w:num w:numId="27">
    <w:abstractNumId w:val="13"/>
  </w:num>
  <w:num w:numId="28">
    <w:abstractNumId w:val="20"/>
  </w:num>
  <w:num w:numId="29">
    <w:abstractNumId w:val="42"/>
  </w:num>
  <w:num w:numId="30">
    <w:abstractNumId w:val="18"/>
  </w:num>
  <w:num w:numId="31">
    <w:abstractNumId w:val="6"/>
  </w:num>
  <w:num w:numId="32">
    <w:abstractNumId w:val="11"/>
  </w:num>
  <w:num w:numId="33">
    <w:abstractNumId w:val="9"/>
  </w:num>
  <w:num w:numId="34">
    <w:abstractNumId w:val="45"/>
  </w:num>
  <w:num w:numId="35">
    <w:abstractNumId w:val="3"/>
  </w:num>
  <w:num w:numId="36">
    <w:abstractNumId w:val="12"/>
  </w:num>
  <w:num w:numId="37">
    <w:abstractNumId w:val="24"/>
  </w:num>
  <w:num w:numId="38">
    <w:abstractNumId w:val="4"/>
  </w:num>
  <w:num w:numId="39">
    <w:abstractNumId w:val="41"/>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38"/>
  </w:num>
  <w:num w:numId="43">
    <w:abstractNumId w:val="8"/>
  </w:num>
  <w:num w:numId="44">
    <w:abstractNumId w:val="21"/>
  </w:num>
  <w:num w:numId="45">
    <w:abstractNumId w:val="43"/>
  </w:num>
  <w:num w:numId="46">
    <w:abstractNumId w:val="22"/>
  </w:num>
  <w:num w:numId="47">
    <w:abstractNumId w:val="17"/>
  </w:num>
  <w:num w:numId="48">
    <w:abstractNumId w:val="23"/>
  </w:num>
  <w:num w:numId="49">
    <w:abstractNumId w:val="46"/>
  </w:num>
  <w:num w:numId="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mirrorMargins w:val="1"/>
  <w:bordersDoNotSurroundHeader w:val="0"/>
  <w:bordersDoNotSurroundFooter w:val="0"/>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ocumentProtection w:formatting="1" w:enforcement="0"/>
  <w:defaultTabStop w:val="0"/>
  <w:hyphenationZone w:val="360"/>
  <w:evenAndOddHeaders w:val="1"/>
  <w:drawingGridHorizontalSpacing w:val="227"/>
  <w:drawingGridVerticalSpacing w:val="233"/>
  <w:displayHorizontalDrawingGridEvery w:val="1"/>
  <w:displayVerticalDrawingGridEvery w:val="1"/>
  <w:noPunctuationKerning w:val="1"/>
  <w:characterSpacingControl w:val="doNotCompress"/>
  <w:compat>
    <w:doNotLeaveBackslashAlon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wN2FkZDcxMmY1ODkyYWM0YmY3NmJkN2YzNDIwZWYifQ=="/>
  </w:docVars>
  <w:rsids>
    <w:rsidRoot w:val="00172A27"/>
    <w:rsid w:val="000001F2"/>
    <w:rsid w:val="00000200"/>
    <w:rsid w:val="000005B0"/>
    <w:rsid w:val="00000774"/>
    <w:rsid w:val="0000096F"/>
    <w:rsid w:val="00000DC7"/>
    <w:rsid w:val="00000EDC"/>
    <w:rsid w:val="000010BB"/>
    <w:rsid w:val="0000129E"/>
    <w:rsid w:val="00001576"/>
    <w:rsid w:val="000018D7"/>
    <w:rsid w:val="00001ABD"/>
    <w:rsid w:val="00001D05"/>
    <w:rsid w:val="00001FB9"/>
    <w:rsid w:val="00001FD0"/>
    <w:rsid w:val="0000200C"/>
    <w:rsid w:val="0000241D"/>
    <w:rsid w:val="00002421"/>
    <w:rsid w:val="00002483"/>
    <w:rsid w:val="00002605"/>
    <w:rsid w:val="0000269C"/>
    <w:rsid w:val="0000274A"/>
    <w:rsid w:val="0000290D"/>
    <w:rsid w:val="00002AE3"/>
    <w:rsid w:val="00002C1A"/>
    <w:rsid w:val="00002C36"/>
    <w:rsid w:val="00002DE4"/>
    <w:rsid w:val="00002EFA"/>
    <w:rsid w:val="0000307C"/>
    <w:rsid w:val="0000308D"/>
    <w:rsid w:val="00003117"/>
    <w:rsid w:val="0000315F"/>
    <w:rsid w:val="00003196"/>
    <w:rsid w:val="0000374D"/>
    <w:rsid w:val="000039CB"/>
    <w:rsid w:val="000040AA"/>
    <w:rsid w:val="000041DC"/>
    <w:rsid w:val="00004364"/>
    <w:rsid w:val="00004436"/>
    <w:rsid w:val="00004803"/>
    <w:rsid w:val="000048DD"/>
    <w:rsid w:val="0000498E"/>
    <w:rsid w:val="00004B9C"/>
    <w:rsid w:val="00004D8F"/>
    <w:rsid w:val="00004DD6"/>
    <w:rsid w:val="00004E25"/>
    <w:rsid w:val="000052F9"/>
    <w:rsid w:val="00005AA1"/>
    <w:rsid w:val="00005D74"/>
    <w:rsid w:val="00005E81"/>
    <w:rsid w:val="00006125"/>
    <w:rsid w:val="000064DA"/>
    <w:rsid w:val="000064DD"/>
    <w:rsid w:val="00006501"/>
    <w:rsid w:val="0000668F"/>
    <w:rsid w:val="00006987"/>
    <w:rsid w:val="00006B7F"/>
    <w:rsid w:val="00006C86"/>
    <w:rsid w:val="00007832"/>
    <w:rsid w:val="00007865"/>
    <w:rsid w:val="00007995"/>
    <w:rsid w:val="00007A19"/>
    <w:rsid w:val="00007A78"/>
    <w:rsid w:val="00007B23"/>
    <w:rsid w:val="00007C35"/>
    <w:rsid w:val="00007F7C"/>
    <w:rsid w:val="000100E8"/>
    <w:rsid w:val="0001025B"/>
    <w:rsid w:val="00010268"/>
    <w:rsid w:val="00010367"/>
    <w:rsid w:val="000106E0"/>
    <w:rsid w:val="0001092E"/>
    <w:rsid w:val="00010CAA"/>
    <w:rsid w:val="00010DC9"/>
    <w:rsid w:val="00010F1C"/>
    <w:rsid w:val="00010FAC"/>
    <w:rsid w:val="0001139D"/>
    <w:rsid w:val="000114B2"/>
    <w:rsid w:val="000119F4"/>
    <w:rsid w:val="00011F07"/>
    <w:rsid w:val="0001221A"/>
    <w:rsid w:val="0001228C"/>
    <w:rsid w:val="00012294"/>
    <w:rsid w:val="00012308"/>
    <w:rsid w:val="00012498"/>
    <w:rsid w:val="000125FF"/>
    <w:rsid w:val="00012871"/>
    <w:rsid w:val="00012895"/>
    <w:rsid w:val="000129AA"/>
    <w:rsid w:val="00012B3C"/>
    <w:rsid w:val="00012B6E"/>
    <w:rsid w:val="00012F28"/>
    <w:rsid w:val="00012FCC"/>
    <w:rsid w:val="00013035"/>
    <w:rsid w:val="0001333D"/>
    <w:rsid w:val="00013541"/>
    <w:rsid w:val="000135CE"/>
    <w:rsid w:val="000138B4"/>
    <w:rsid w:val="00013A57"/>
    <w:rsid w:val="00013A7B"/>
    <w:rsid w:val="00013B62"/>
    <w:rsid w:val="00013C30"/>
    <w:rsid w:val="00014071"/>
    <w:rsid w:val="000140B2"/>
    <w:rsid w:val="00014235"/>
    <w:rsid w:val="0001429F"/>
    <w:rsid w:val="000142E1"/>
    <w:rsid w:val="0001496D"/>
    <w:rsid w:val="00014C6F"/>
    <w:rsid w:val="00014F55"/>
    <w:rsid w:val="0001506A"/>
    <w:rsid w:val="00015394"/>
    <w:rsid w:val="000157EE"/>
    <w:rsid w:val="00015852"/>
    <w:rsid w:val="00015971"/>
    <w:rsid w:val="00015A33"/>
    <w:rsid w:val="00015C0B"/>
    <w:rsid w:val="0001611A"/>
    <w:rsid w:val="0001615A"/>
    <w:rsid w:val="000161E7"/>
    <w:rsid w:val="00016713"/>
    <w:rsid w:val="00016AE1"/>
    <w:rsid w:val="00016AED"/>
    <w:rsid w:val="00016F0D"/>
    <w:rsid w:val="00016F78"/>
    <w:rsid w:val="00017072"/>
    <w:rsid w:val="000170C3"/>
    <w:rsid w:val="0001736B"/>
    <w:rsid w:val="000176BF"/>
    <w:rsid w:val="0001793F"/>
    <w:rsid w:val="00017A4E"/>
    <w:rsid w:val="00017C99"/>
    <w:rsid w:val="00017D6F"/>
    <w:rsid w:val="00017FCA"/>
    <w:rsid w:val="0002034D"/>
    <w:rsid w:val="00020432"/>
    <w:rsid w:val="000204C4"/>
    <w:rsid w:val="00020809"/>
    <w:rsid w:val="00020CD0"/>
    <w:rsid w:val="00020D19"/>
    <w:rsid w:val="00020D4B"/>
    <w:rsid w:val="0002126E"/>
    <w:rsid w:val="00021399"/>
    <w:rsid w:val="000215C7"/>
    <w:rsid w:val="00021803"/>
    <w:rsid w:val="00021C2A"/>
    <w:rsid w:val="000220CB"/>
    <w:rsid w:val="00022514"/>
    <w:rsid w:val="00022572"/>
    <w:rsid w:val="00022836"/>
    <w:rsid w:val="00022993"/>
    <w:rsid w:val="00022A38"/>
    <w:rsid w:val="00022AEE"/>
    <w:rsid w:val="00022DEF"/>
    <w:rsid w:val="00022E6C"/>
    <w:rsid w:val="00022F72"/>
    <w:rsid w:val="00023004"/>
    <w:rsid w:val="00023203"/>
    <w:rsid w:val="0002345B"/>
    <w:rsid w:val="00023641"/>
    <w:rsid w:val="0002368A"/>
    <w:rsid w:val="00023740"/>
    <w:rsid w:val="000238C3"/>
    <w:rsid w:val="000239FA"/>
    <w:rsid w:val="00023B69"/>
    <w:rsid w:val="00023B71"/>
    <w:rsid w:val="00024024"/>
    <w:rsid w:val="0002405B"/>
    <w:rsid w:val="000240D1"/>
    <w:rsid w:val="0002433C"/>
    <w:rsid w:val="00024402"/>
    <w:rsid w:val="0002495D"/>
    <w:rsid w:val="00024BF3"/>
    <w:rsid w:val="00024CFD"/>
    <w:rsid w:val="00024D46"/>
    <w:rsid w:val="00025028"/>
    <w:rsid w:val="00025115"/>
    <w:rsid w:val="00025145"/>
    <w:rsid w:val="00025AD1"/>
    <w:rsid w:val="00025B8F"/>
    <w:rsid w:val="00026151"/>
    <w:rsid w:val="00026334"/>
    <w:rsid w:val="0002639A"/>
    <w:rsid w:val="000265A2"/>
    <w:rsid w:val="000265A4"/>
    <w:rsid w:val="0002680D"/>
    <w:rsid w:val="00026E7F"/>
    <w:rsid w:val="00026FC0"/>
    <w:rsid w:val="00027083"/>
    <w:rsid w:val="000270EC"/>
    <w:rsid w:val="000275D4"/>
    <w:rsid w:val="0002767D"/>
    <w:rsid w:val="00027753"/>
    <w:rsid w:val="0002779D"/>
    <w:rsid w:val="00027A51"/>
    <w:rsid w:val="00027A6B"/>
    <w:rsid w:val="00027D3A"/>
    <w:rsid w:val="00027D70"/>
    <w:rsid w:val="00027EC7"/>
    <w:rsid w:val="00027F01"/>
    <w:rsid w:val="00030057"/>
    <w:rsid w:val="0003021F"/>
    <w:rsid w:val="00030520"/>
    <w:rsid w:val="00030570"/>
    <w:rsid w:val="000307F8"/>
    <w:rsid w:val="000309C2"/>
    <w:rsid w:val="00030AD4"/>
    <w:rsid w:val="00030B22"/>
    <w:rsid w:val="00030C6E"/>
    <w:rsid w:val="00030D4D"/>
    <w:rsid w:val="000312B1"/>
    <w:rsid w:val="00031332"/>
    <w:rsid w:val="0003146B"/>
    <w:rsid w:val="000318DB"/>
    <w:rsid w:val="00031961"/>
    <w:rsid w:val="00032296"/>
    <w:rsid w:val="000323EE"/>
    <w:rsid w:val="0003277B"/>
    <w:rsid w:val="000328FC"/>
    <w:rsid w:val="00032B77"/>
    <w:rsid w:val="00032C8D"/>
    <w:rsid w:val="0003325A"/>
    <w:rsid w:val="000334D3"/>
    <w:rsid w:val="000336DD"/>
    <w:rsid w:val="000336EF"/>
    <w:rsid w:val="00033CBA"/>
    <w:rsid w:val="00033D6E"/>
    <w:rsid w:val="000340AB"/>
    <w:rsid w:val="0003426F"/>
    <w:rsid w:val="0003437A"/>
    <w:rsid w:val="000344CC"/>
    <w:rsid w:val="00034687"/>
    <w:rsid w:val="000346FF"/>
    <w:rsid w:val="00034751"/>
    <w:rsid w:val="0003475B"/>
    <w:rsid w:val="0003480B"/>
    <w:rsid w:val="0003487A"/>
    <w:rsid w:val="000348E9"/>
    <w:rsid w:val="00034975"/>
    <w:rsid w:val="000349E6"/>
    <w:rsid w:val="00034AE3"/>
    <w:rsid w:val="00034C4F"/>
    <w:rsid w:val="00034C80"/>
    <w:rsid w:val="00034EE0"/>
    <w:rsid w:val="00035056"/>
    <w:rsid w:val="000353C6"/>
    <w:rsid w:val="00035533"/>
    <w:rsid w:val="000359B0"/>
    <w:rsid w:val="000359ED"/>
    <w:rsid w:val="00035DE4"/>
    <w:rsid w:val="00036302"/>
    <w:rsid w:val="0003634A"/>
    <w:rsid w:val="00036B06"/>
    <w:rsid w:val="00036BB8"/>
    <w:rsid w:val="0003731B"/>
    <w:rsid w:val="00037454"/>
    <w:rsid w:val="000374F5"/>
    <w:rsid w:val="00037620"/>
    <w:rsid w:val="00037799"/>
    <w:rsid w:val="000378A8"/>
    <w:rsid w:val="00037AA2"/>
    <w:rsid w:val="00037EC0"/>
    <w:rsid w:val="00037F5B"/>
    <w:rsid w:val="0004007D"/>
    <w:rsid w:val="00040440"/>
    <w:rsid w:val="00040487"/>
    <w:rsid w:val="000405C7"/>
    <w:rsid w:val="00040779"/>
    <w:rsid w:val="00040807"/>
    <w:rsid w:val="00040ABD"/>
    <w:rsid w:val="00040B66"/>
    <w:rsid w:val="000410F9"/>
    <w:rsid w:val="00041436"/>
    <w:rsid w:val="000414EC"/>
    <w:rsid w:val="000415C5"/>
    <w:rsid w:val="000415F9"/>
    <w:rsid w:val="0004160A"/>
    <w:rsid w:val="000418EF"/>
    <w:rsid w:val="00041959"/>
    <w:rsid w:val="000419F3"/>
    <w:rsid w:val="00041BB6"/>
    <w:rsid w:val="00041C1A"/>
    <w:rsid w:val="00041CF3"/>
    <w:rsid w:val="00041E01"/>
    <w:rsid w:val="00042042"/>
    <w:rsid w:val="00042138"/>
    <w:rsid w:val="00042167"/>
    <w:rsid w:val="000422B0"/>
    <w:rsid w:val="00042313"/>
    <w:rsid w:val="000427DB"/>
    <w:rsid w:val="000427FE"/>
    <w:rsid w:val="00042A17"/>
    <w:rsid w:val="00042A99"/>
    <w:rsid w:val="00042C39"/>
    <w:rsid w:val="00042CEE"/>
    <w:rsid w:val="00042D0E"/>
    <w:rsid w:val="00042D82"/>
    <w:rsid w:val="00042EFF"/>
    <w:rsid w:val="00042F13"/>
    <w:rsid w:val="00042F2A"/>
    <w:rsid w:val="00042F96"/>
    <w:rsid w:val="0004386D"/>
    <w:rsid w:val="000439FC"/>
    <w:rsid w:val="00043B8F"/>
    <w:rsid w:val="00043BE7"/>
    <w:rsid w:val="00043F3F"/>
    <w:rsid w:val="000443EE"/>
    <w:rsid w:val="00044491"/>
    <w:rsid w:val="000447C9"/>
    <w:rsid w:val="00044B10"/>
    <w:rsid w:val="00044BCE"/>
    <w:rsid w:val="00044E62"/>
    <w:rsid w:val="00044E6B"/>
    <w:rsid w:val="00044EEB"/>
    <w:rsid w:val="000452B8"/>
    <w:rsid w:val="00045391"/>
    <w:rsid w:val="00045520"/>
    <w:rsid w:val="00045540"/>
    <w:rsid w:val="0004554D"/>
    <w:rsid w:val="00045D24"/>
    <w:rsid w:val="00045EDE"/>
    <w:rsid w:val="000463D7"/>
    <w:rsid w:val="00046583"/>
    <w:rsid w:val="00046FB8"/>
    <w:rsid w:val="00046FF9"/>
    <w:rsid w:val="000472C2"/>
    <w:rsid w:val="00047338"/>
    <w:rsid w:val="00047478"/>
    <w:rsid w:val="00047A1D"/>
    <w:rsid w:val="00047A8E"/>
    <w:rsid w:val="00047E8F"/>
    <w:rsid w:val="00047EE2"/>
    <w:rsid w:val="00050077"/>
    <w:rsid w:val="000500D0"/>
    <w:rsid w:val="00050291"/>
    <w:rsid w:val="00050508"/>
    <w:rsid w:val="00050523"/>
    <w:rsid w:val="000505EE"/>
    <w:rsid w:val="00050AFB"/>
    <w:rsid w:val="00050C35"/>
    <w:rsid w:val="00050D71"/>
    <w:rsid w:val="00050EE4"/>
    <w:rsid w:val="00051074"/>
    <w:rsid w:val="00051116"/>
    <w:rsid w:val="0005181A"/>
    <w:rsid w:val="00051B3C"/>
    <w:rsid w:val="0005212F"/>
    <w:rsid w:val="000522D9"/>
    <w:rsid w:val="000522F8"/>
    <w:rsid w:val="00052308"/>
    <w:rsid w:val="00052530"/>
    <w:rsid w:val="0005258E"/>
    <w:rsid w:val="0005268B"/>
    <w:rsid w:val="00052716"/>
    <w:rsid w:val="00052845"/>
    <w:rsid w:val="00052A39"/>
    <w:rsid w:val="00052AA2"/>
    <w:rsid w:val="00052BC4"/>
    <w:rsid w:val="00052D17"/>
    <w:rsid w:val="00052FF5"/>
    <w:rsid w:val="000536AE"/>
    <w:rsid w:val="0005371D"/>
    <w:rsid w:val="00053AF3"/>
    <w:rsid w:val="00053F21"/>
    <w:rsid w:val="00053F7D"/>
    <w:rsid w:val="000546F0"/>
    <w:rsid w:val="00054BAC"/>
    <w:rsid w:val="00055197"/>
    <w:rsid w:val="000553E2"/>
    <w:rsid w:val="000557ED"/>
    <w:rsid w:val="0005582E"/>
    <w:rsid w:val="00055B03"/>
    <w:rsid w:val="00055C84"/>
    <w:rsid w:val="00056219"/>
    <w:rsid w:val="00056362"/>
    <w:rsid w:val="0005643C"/>
    <w:rsid w:val="000568E3"/>
    <w:rsid w:val="00056D00"/>
    <w:rsid w:val="00056E5F"/>
    <w:rsid w:val="000570C7"/>
    <w:rsid w:val="0005756E"/>
    <w:rsid w:val="00057A70"/>
    <w:rsid w:val="00057A71"/>
    <w:rsid w:val="00057F3D"/>
    <w:rsid w:val="00060113"/>
    <w:rsid w:val="0006038A"/>
    <w:rsid w:val="000604DD"/>
    <w:rsid w:val="0006084D"/>
    <w:rsid w:val="00060A56"/>
    <w:rsid w:val="00060BA2"/>
    <w:rsid w:val="00060E13"/>
    <w:rsid w:val="00060E7F"/>
    <w:rsid w:val="00061000"/>
    <w:rsid w:val="000610B9"/>
    <w:rsid w:val="00061246"/>
    <w:rsid w:val="0006167E"/>
    <w:rsid w:val="00061BBD"/>
    <w:rsid w:val="00061DAE"/>
    <w:rsid w:val="000621C8"/>
    <w:rsid w:val="0006232E"/>
    <w:rsid w:val="0006257F"/>
    <w:rsid w:val="000625F7"/>
    <w:rsid w:val="0006269D"/>
    <w:rsid w:val="000626F7"/>
    <w:rsid w:val="0006277C"/>
    <w:rsid w:val="00063151"/>
    <w:rsid w:val="000634FC"/>
    <w:rsid w:val="000635B8"/>
    <w:rsid w:val="000636B6"/>
    <w:rsid w:val="000636DD"/>
    <w:rsid w:val="0006372B"/>
    <w:rsid w:val="0006375C"/>
    <w:rsid w:val="00063AFF"/>
    <w:rsid w:val="00063BB4"/>
    <w:rsid w:val="00063BC2"/>
    <w:rsid w:val="00063DFF"/>
    <w:rsid w:val="00063E8A"/>
    <w:rsid w:val="00064143"/>
    <w:rsid w:val="00064161"/>
    <w:rsid w:val="00064285"/>
    <w:rsid w:val="0006452E"/>
    <w:rsid w:val="00064788"/>
    <w:rsid w:val="000660FC"/>
    <w:rsid w:val="0006616C"/>
    <w:rsid w:val="000661A4"/>
    <w:rsid w:val="0006626F"/>
    <w:rsid w:val="000662C1"/>
    <w:rsid w:val="0006639C"/>
    <w:rsid w:val="0006656C"/>
    <w:rsid w:val="0006657F"/>
    <w:rsid w:val="000666D4"/>
    <w:rsid w:val="000666DB"/>
    <w:rsid w:val="00066B68"/>
    <w:rsid w:val="00066C13"/>
    <w:rsid w:val="00066D2A"/>
    <w:rsid w:val="00066E61"/>
    <w:rsid w:val="000670C1"/>
    <w:rsid w:val="00067280"/>
    <w:rsid w:val="0006782F"/>
    <w:rsid w:val="00067CCF"/>
    <w:rsid w:val="00067D3D"/>
    <w:rsid w:val="00067F16"/>
    <w:rsid w:val="000701F4"/>
    <w:rsid w:val="00070313"/>
    <w:rsid w:val="00070417"/>
    <w:rsid w:val="00070601"/>
    <w:rsid w:val="0007060F"/>
    <w:rsid w:val="00070706"/>
    <w:rsid w:val="00070A8C"/>
    <w:rsid w:val="00070F2F"/>
    <w:rsid w:val="00070F8E"/>
    <w:rsid w:val="00070FD8"/>
    <w:rsid w:val="0007105D"/>
    <w:rsid w:val="000710B1"/>
    <w:rsid w:val="00071290"/>
    <w:rsid w:val="000712AB"/>
    <w:rsid w:val="0007132D"/>
    <w:rsid w:val="0007141D"/>
    <w:rsid w:val="000714D4"/>
    <w:rsid w:val="00071561"/>
    <w:rsid w:val="000716A3"/>
    <w:rsid w:val="0007178F"/>
    <w:rsid w:val="000718F8"/>
    <w:rsid w:val="000719B9"/>
    <w:rsid w:val="00071C8F"/>
    <w:rsid w:val="00072046"/>
    <w:rsid w:val="0007226D"/>
    <w:rsid w:val="000725CF"/>
    <w:rsid w:val="000728F3"/>
    <w:rsid w:val="00072A4E"/>
    <w:rsid w:val="00072C22"/>
    <w:rsid w:val="00072CE0"/>
    <w:rsid w:val="00072E04"/>
    <w:rsid w:val="00072F5D"/>
    <w:rsid w:val="00073376"/>
    <w:rsid w:val="0007390F"/>
    <w:rsid w:val="00073B16"/>
    <w:rsid w:val="00073DBE"/>
    <w:rsid w:val="000740D5"/>
    <w:rsid w:val="00074248"/>
    <w:rsid w:val="0007451D"/>
    <w:rsid w:val="00074709"/>
    <w:rsid w:val="0007497E"/>
    <w:rsid w:val="000749B4"/>
    <w:rsid w:val="00074D82"/>
    <w:rsid w:val="00074F32"/>
    <w:rsid w:val="0007501F"/>
    <w:rsid w:val="00075204"/>
    <w:rsid w:val="000753D9"/>
    <w:rsid w:val="0007567E"/>
    <w:rsid w:val="000758C0"/>
    <w:rsid w:val="000758E2"/>
    <w:rsid w:val="00075A4A"/>
    <w:rsid w:val="00075F78"/>
    <w:rsid w:val="00076108"/>
    <w:rsid w:val="00076270"/>
    <w:rsid w:val="000762B8"/>
    <w:rsid w:val="0007631F"/>
    <w:rsid w:val="000770F5"/>
    <w:rsid w:val="0007727F"/>
    <w:rsid w:val="00077964"/>
    <w:rsid w:val="00077A80"/>
    <w:rsid w:val="00077B34"/>
    <w:rsid w:val="00077E8F"/>
    <w:rsid w:val="0008007D"/>
    <w:rsid w:val="0008020F"/>
    <w:rsid w:val="000802D8"/>
    <w:rsid w:val="000803CA"/>
    <w:rsid w:val="000807FA"/>
    <w:rsid w:val="00080B91"/>
    <w:rsid w:val="00080F1B"/>
    <w:rsid w:val="000811D4"/>
    <w:rsid w:val="00081234"/>
    <w:rsid w:val="0008159F"/>
    <w:rsid w:val="000818CD"/>
    <w:rsid w:val="000818FF"/>
    <w:rsid w:val="0008192A"/>
    <w:rsid w:val="0008196F"/>
    <w:rsid w:val="000819E6"/>
    <w:rsid w:val="00081B33"/>
    <w:rsid w:val="00081DBB"/>
    <w:rsid w:val="00081F21"/>
    <w:rsid w:val="00082893"/>
    <w:rsid w:val="0008291E"/>
    <w:rsid w:val="00082F0D"/>
    <w:rsid w:val="0008326D"/>
    <w:rsid w:val="000834BE"/>
    <w:rsid w:val="0008350C"/>
    <w:rsid w:val="0008367A"/>
    <w:rsid w:val="000836D6"/>
    <w:rsid w:val="000839A2"/>
    <w:rsid w:val="00083C5D"/>
    <w:rsid w:val="00083CBE"/>
    <w:rsid w:val="00083DB3"/>
    <w:rsid w:val="00083F1D"/>
    <w:rsid w:val="00083F25"/>
    <w:rsid w:val="00084283"/>
    <w:rsid w:val="000843B2"/>
    <w:rsid w:val="000843CE"/>
    <w:rsid w:val="000844A2"/>
    <w:rsid w:val="000844FC"/>
    <w:rsid w:val="0008484B"/>
    <w:rsid w:val="00084982"/>
    <w:rsid w:val="00084C1F"/>
    <w:rsid w:val="000853EB"/>
    <w:rsid w:val="00085471"/>
    <w:rsid w:val="00085598"/>
    <w:rsid w:val="000857AB"/>
    <w:rsid w:val="0008583B"/>
    <w:rsid w:val="00085D5F"/>
    <w:rsid w:val="00086498"/>
    <w:rsid w:val="0008660F"/>
    <w:rsid w:val="0008661A"/>
    <w:rsid w:val="000867AC"/>
    <w:rsid w:val="00086A7C"/>
    <w:rsid w:val="00086B21"/>
    <w:rsid w:val="00086F32"/>
    <w:rsid w:val="000874B1"/>
    <w:rsid w:val="0008763C"/>
    <w:rsid w:val="00087A2D"/>
    <w:rsid w:val="00087AF6"/>
    <w:rsid w:val="00087E03"/>
    <w:rsid w:val="00087FFB"/>
    <w:rsid w:val="00090072"/>
    <w:rsid w:val="00090265"/>
    <w:rsid w:val="0009037E"/>
    <w:rsid w:val="0009094A"/>
    <w:rsid w:val="00090B1F"/>
    <w:rsid w:val="00090B8E"/>
    <w:rsid w:val="00090D36"/>
    <w:rsid w:val="00090DE0"/>
    <w:rsid w:val="00090F0E"/>
    <w:rsid w:val="00090F4E"/>
    <w:rsid w:val="00090FA3"/>
    <w:rsid w:val="0009111B"/>
    <w:rsid w:val="00091179"/>
    <w:rsid w:val="0009144E"/>
    <w:rsid w:val="000914BB"/>
    <w:rsid w:val="00091D63"/>
    <w:rsid w:val="00091E3F"/>
    <w:rsid w:val="0009239E"/>
    <w:rsid w:val="00092519"/>
    <w:rsid w:val="0009276B"/>
    <w:rsid w:val="00092957"/>
    <w:rsid w:val="00092DA5"/>
    <w:rsid w:val="00092EE9"/>
    <w:rsid w:val="00092F65"/>
    <w:rsid w:val="00093081"/>
    <w:rsid w:val="000930AF"/>
    <w:rsid w:val="0009357F"/>
    <w:rsid w:val="00093589"/>
    <w:rsid w:val="00093B06"/>
    <w:rsid w:val="00093BED"/>
    <w:rsid w:val="00093DF9"/>
    <w:rsid w:val="00094468"/>
    <w:rsid w:val="00094ED3"/>
    <w:rsid w:val="000950A2"/>
    <w:rsid w:val="000953BC"/>
    <w:rsid w:val="000953C9"/>
    <w:rsid w:val="00095844"/>
    <w:rsid w:val="00095883"/>
    <w:rsid w:val="00095948"/>
    <w:rsid w:val="00096445"/>
    <w:rsid w:val="000965C3"/>
    <w:rsid w:val="00096ABC"/>
    <w:rsid w:val="00096C3A"/>
    <w:rsid w:val="00096D20"/>
    <w:rsid w:val="00097156"/>
    <w:rsid w:val="000976A0"/>
    <w:rsid w:val="000977E7"/>
    <w:rsid w:val="00097880"/>
    <w:rsid w:val="00097B67"/>
    <w:rsid w:val="00097BAB"/>
    <w:rsid w:val="00097E2D"/>
    <w:rsid w:val="000A00EC"/>
    <w:rsid w:val="000A0116"/>
    <w:rsid w:val="000A0326"/>
    <w:rsid w:val="000A0340"/>
    <w:rsid w:val="000A0413"/>
    <w:rsid w:val="000A05F7"/>
    <w:rsid w:val="000A0716"/>
    <w:rsid w:val="000A071A"/>
    <w:rsid w:val="000A07FC"/>
    <w:rsid w:val="000A083E"/>
    <w:rsid w:val="000A0910"/>
    <w:rsid w:val="000A0C61"/>
    <w:rsid w:val="000A0D67"/>
    <w:rsid w:val="000A0F82"/>
    <w:rsid w:val="000A1202"/>
    <w:rsid w:val="000A1465"/>
    <w:rsid w:val="000A148D"/>
    <w:rsid w:val="000A1591"/>
    <w:rsid w:val="000A173A"/>
    <w:rsid w:val="000A1798"/>
    <w:rsid w:val="000A184D"/>
    <w:rsid w:val="000A192D"/>
    <w:rsid w:val="000A1CEE"/>
    <w:rsid w:val="000A233C"/>
    <w:rsid w:val="000A2621"/>
    <w:rsid w:val="000A2817"/>
    <w:rsid w:val="000A28DC"/>
    <w:rsid w:val="000A2B9A"/>
    <w:rsid w:val="000A2BC7"/>
    <w:rsid w:val="000A2FD2"/>
    <w:rsid w:val="000A2FE5"/>
    <w:rsid w:val="000A33D1"/>
    <w:rsid w:val="000A34DF"/>
    <w:rsid w:val="000A38CA"/>
    <w:rsid w:val="000A3CDF"/>
    <w:rsid w:val="000A3E2C"/>
    <w:rsid w:val="000A4259"/>
    <w:rsid w:val="000A42D7"/>
    <w:rsid w:val="000A4887"/>
    <w:rsid w:val="000A5136"/>
    <w:rsid w:val="000A5199"/>
    <w:rsid w:val="000A51E4"/>
    <w:rsid w:val="000A55FC"/>
    <w:rsid w:val="000A5603"/>
    <w:rsid w:val="000A5687"/>
    <w:rsid w:val="000A5F02"/>
    <w:rsid w:val="000A6052"/>
    <w:rsid w:val="000A6173"/>
    <w:rsid w:val="000A6411"/>
    <w:rsid w:val="000A6425"/>
    <w:rsid w:val="000A68A3"/>
    <w:rsid w:val="000A68BA"/>
    <w:rsid w:val="000A6CA8"/>
    <w:rsid w:val="000A6D70"/>
    <w:rsid w:val="000A6F03"/>
    <w:rsid w:val="000A70B0"/>
    <w:rsid w:val="000A70FE"/>
    <w:rsid w:val="000A7425"/>
    <w:rsid w:val="000A75B2"/>
    <w:rsid w:val="000A7AD2"/>
    <w:rsid w:val="000A7BC6"/>
    <w:rsid w:val="000A7EC1"/>
    <w:rsid w:val="000A7F06"/>
    <w:rsid w:val="000B0056"/>
    <w:rsid w:val="000B0123"/>
    <w:rsid w:val="000B02C3"/>
    <w:rsid w:val="000B02E7"/>
    <w:rsid w:val="000B0382"/>
    <w:rsid w:val="000B093A"/>
    <w:rsid w:val="000B094C"/>
    <w:rsid w:val="000B0BE5"/>
    <w:rsid w:val="000B0DCF"/>
    <w:rsid w:val="000B0E61"/>
    <w:rsid w:val="000B0EC7"/>
    <w:rsid w:val="000B0F70"/>
    <w:rsid w:val="000B0FC9"/>
    <w:rsid w:val="000B1316"/>
    <w:rsid w:val="000B14F7"/>
    <w:rsid w:val="000B1706"/>
    <w:rsid w:val="000B1741"/>
    <w:rsid w:val="000B179B"/>
    <w:rsid w:val="000B1E8C"/>
    <w:rsid w:val="000B1F03"/>
    <w:rsid w:val="000B1F23"/>
    <w:rsid w:val="000B2042"/>
    <w:rsid w:val="000B2106"/>
    <w:rsid w:val="000B2507"/>
    <w:rsid w:val="000B272F"/>
    <w:rsid w:val="000B29A2"/>
    <w:rsid w:val="000B29CD"/>
    <w:rsid w:val="000B2A27"/>
    <w:rsid w:val="000B2A8C"/>
    <w:rsid w:val="000B2E7E"/>
    <w:rsid w:val="000B35F2"/>
    <w:rsid w:val="000B39AC"/>
    <w:rsid w:val="000B3C9E"/>
    <w:rsid w:val="000B3DB0"/>
    <w:rsid w:val="000B3EC6"/>
    <w:rsid w:val="000B3F44"/>
    <w:rsid w:val="000B41BB"/>
    <w:rsid w:val="000B42A7"/>
    <w:rsid w:val="000B4370"/>
    <w:rsid w:val="000B4637"/>
    <w:rsid w:val="000B478E"/>
    <w:rsid w:val="000B4818"/>
    <w:rsid w:val="000B4D5C"/>
    <w:rsid w:val="000B4F7A"/>
    <w:rsid w:val="000B54A8"/>
    <w:rsid w:val="000B54BB"/>
    <w:rsid w:val="000B569B"/>
    <w:rsid w:val="000B59E6"/>
    <w:rsid w:val="000B5A0C"/>
    <w:rsid w:val="000B5B93"/>
    <w:rsid w:val="000B5E1E"/>
    <w:rsid w:val="000B5E98"/>
    <w:rsid w:val="000B5FF8"/>
    <w:rsid w:val="000B606A"/>
    <w:rsid w:val="000B6081"/>
    <w:rsid w:val="000B622E"/>
    <w:rsid w:val="000B6232"/>
    <w:rsid w:val="000B6653"/>
    <w:rsid w:val="000B667B"/>
    <w:rsid w:val="000B66BD"/>
    <w:rsid w:val="000B675B"/>
    <w:rsid w:val="000B6889"/>
    <w:rsid w:val="000B69E5"/>
    <w:rsid w:val="000B6EEC"/>
    <w:rsid w:val="000B7025"/>
    <w:rsid w:val="000B7B4B"/>
    <w:rsid w:val="000B7DA7"/>
    <w:rsid w:val="000B7E6F"/>
    <w:rsid w:val="000C0055"/>
    <w:rsid w:val="000C02A6"/>
    <w:rsid w:val="000C03F5"/>
    <w:rsid w:val="000C04AE"/>
    <w:rsid w:val="000C050B"/>
    <w:rsid w:val="000C068F"/>
    <w:rsid w:val="000C073C"/>
    <w:rsid w:val="000C0760"/>
    <w:rsid w:val="000C0A43"/>
    <w:rsid w:val="000C11A5"/>
    <w:rsid w:val="000C134A"/>
    <w:rsid w:val="000C14FF"/>
    <w:rsid w:val="000C180D"/>
    <w:rsid w:val="000C1C32"/>
    <w:rsid w:val="000C202B"/>
    <w:rsid w:val="000C20B8"/>
    <w:rsid w:val="000C2177"/>
    <w:rsid w:val="000C223F"/>
    <w:rsid w:val="000C23EC"/>
    <w:rsid w:val="000C25D7"/>
    <w:rsid w:val="000C270E"/>
    <w:rsid w:val="000C2780"/>
    <w:rsid w:val="000C281A"/>
    <w:rsid w:val="000C2ADA"/>
    <w:rsid w:val="000C2E5C"/>
    <w:rsid w:val="000C3455"/>
    <w:rsid w:val="000C36B9"/>
    <w:rsid w:val="000C36D7"/>
    <w:rsid w:val="000C3823"/>
    <w:rsid w:val="000C39CA"/>
    <w:rsid w:val="000C3B37"/>
    <w:rsid w:val="000C3E2B"/>
    <w:rsid w:val="000C4299"/>
    <w:rsid w:val="000C42CF"/>
    <w:rsid w:val="000C451C"/>
    <w:rsid w:val="000C4733"/>
    <w:rsid w:val="000C4830"/>
    <w:rsid w:val="000C49E0"/>
    <w:rsid w:val="000C4A64"/>
    <w:rsid w:val="000C4D8C"/>
    <w:rsid w:val="000C4E85"/>
    <w:rsid w:val="000C5179"/>
    <w:rsid w:val="000C5373"/>
    <w:rsid w:val="000C5476"/>
    <w:rsid w:val="000C54AB"/>
    <w:rsid w:val="000C5705"/>
    <w:rsid w:val="000C5E6C"/>
    <w:rsid w:val="000C61AF"/>
    <w:rsid w:val="000C622D"/>
    <w:rsid w:val="000C6346"/>
    <w:rsid w:val="000C65C0"/>
    <w:rsid w:val="000C6A75"/>
    <w:rsid w:val="000C6A9C"/>
    <w:rsid w:val="000C6E10"/>
    <w:rsid w:val="000C6F3E"/>
    <w:rsid w:val="000C720A"/>
    <w:rsid w:val="000C7399"/>
    <w:rsid w:val="000C7551"/>
    <w:rsid w:val="000C76A9"/>
    <w:rsid w:val="000C7C51"/>
    <w:rsid w:val="000C7F49"/>
    <w:rsid w:val="000D0303"/>
    <w:rsid w:val="000D05D6"/>
    <w:rsid w:val="000D068E"/>
    <w:rsid w:val="000D0739"/>
    <w:rsid w:val="000D085F"/>
    <w:rsid w:val="000D094E"/>
    <w:rsid w:val="000D0C8F"/>
    <w:rsid w:val="000D0D01"/>
    <w:rsid w:val="000D1106"/>
    <w:rsid w:val="000D1688"/>
    <w:rsid w:val="000D1793"/>
    <w:rsid w:val="000D1A8D"/>
    <w:rsid w:val="000D1D73"/>
    <w:rsid w:val="000D1D74"/>
    <w:rsid w:val="000D24F4"/>
    <w:rsid w:val="000D2CC2"/>
    <w:rsid w:val="000D2DCA"/>
    <w:rsid w:val="000D312B"/>
    <w:rsid w:val="000D320D"/>
    <w:rsid w:val="000D33A7"/>
    <w:rsid w:val="000D35FA"/>
    <w:rsid w:val="000D3A7F"/>
    <w:rsid w:val="000D3B49"/>
    <w:rsid w:val="000D4078"/>
    <w:rsid w:val="000D4328"/>
    <w:rsid w:val="000D48B9"/>
    <w:rsid w:val="000D4BA6"/>
    <w:rsid w:val="000D4F0D"/>
    <w:rsid w:val="000D5131"/>
    <w:rsid w:val="000D531D"/>
    <w:rsid w:val="000D53AE"/>
    <w:rsid w:val="000D5CEE"/>
    <w:rsid w:val="000D5D28"/>
    <w:rsid w:val="000D6032"/>
    <w:rsid w:val="000D6059"/>
    <w:rsid w:val="000D63E5"/>
    <w:rsid w:val="000D663F"/>
    <w:rsid w:val="000D6734"/>
    <w:rsid w:val="000D6A7C"/>
    <w:rsid w:val="000D6AB1"/>
    <w:rsid w:val="000D6E5C"/>
    <w:rsid w:val="000D6EF7"/>
    <w:rsid w:val="000D710E"/>
    <w:rsid w:val="000D76B2"/>
    <w:rsid w:val="000D77E6"/>
    <w:rsid w:val="000D782A"/>
    <w:rsid w:val="000D7B20"/>
    <w:rsid w:val="000D7E03"/>
    <w:rsid w:val="000D7FBA"/>
    <w:rsid w:val="000E00EE"/>
    <w:rsid w:val="000E04DC"/>
    <w:rsid w:val="000E05AF"/>
    <w:rsid w:val="000E0805"/>
    <w:rsid w:val="000E0EA6"/>
    <w:rsid w:val="000E0EF8"/>
    <w:rsid w:val="000E122F"/>
    <w:rsid w:val="000E14F2"/>
    <w:rsid w:val="000E1758"/>
    <w:rsid w:val="000E1855"/>
    <w:rsid w:val="000E1D1F"/>
    <w:rsid w:val="000E1D44"/>
    <w:rsid w:val="000E1EDB"/>
    <w:rsid w:val="000E1F4D"/>
    <w:rsid w:val="000E218A"/>
    <w:rsid w:val="000E21B0"/>
    <w:rsid w:val="000E21B4"/>
    <w:rsid w:val="000E25BB"/>
    <w:rsid w:val="000E273D"/>
    <w:rsid w:val="000E299A"/>
    <w:rsid w:val="000E2A23"/>
    <w:rsid w:val="000E2BCE"/>
    <w:rsid w:val="000E2E58"/>
    <w:rsid w:val="000E2F5D"/>
    <w:rsid w:val="000E30B1"/>
    <w:rsid w:val="000E3227"/>
    <w:rsid w:val="000E3472"/>
    <w:rsid w:val="000E3D50"/>
    <w:rsid w:val="000E400C"/>
    <w:rsid w:val="000E400F"/>
    <w:rsid w:val="000E4317"/>
    <w:rsid w:val="000E4392"/>
    <w:rsid w:val="000E43F4"/>
    <w:rsid w:val="000E4468"/>
    <w:rsid w:val="000E45AB"/>
    <w:rsid w:val="000E4922"/>
    <w:rsid w:val="000E49A1"/>
    <w:rsid w:val="000E4B05"/>
    <w:rsid w:val="000E4E34"/>
    <w:rsid w:val="000E506A"/>
    <w:rsid w:val="000E52D8"/>
    <w:rsid w:val="000E5494"/>
    <w:rsid w:val="000E55B5"/>
    <w:rsid w:val="000E57EE"/>
    <w:rsid w:val="000E5986"/>
    <w:rsid w:val="000E5C37"/>
    <w:rsid w:val="000E5DBA"/>
    <w:rsid w:val="000E5DBF"/>
    <w:rsid w:val="000E5E3D"/>
    <w:rsid w:val="000E5F38"/>
    <w:rsid w:val="000E6259"/>
    <w:rsid w:val="000E62AB"/>
    <w:rsid w:val="000E6319"/>
    <w:rsid w:val="000E631E"/>
    <w:rsid w:val="000E635E"/>
    <w:rsid w:val="000E639A"/>
    <w:rsid w:val="000E642E"/>
    <w:rsid w:val="000E662D"/>
    <w:rsid w:val="000E68CA"/>
    <w:rsid w:val="000E69CE"/>
    <w:rsid w:val="000E6AA7"/>
    <w:rsid w:val="000E6CDD"/>
    <w:rsid w:val="000E6FCC"/>
    <w:rsid w:val="000E73B5"/>
    <w:rsid w:val="000E7B72"/>
    <w:rsid w:val="000E7ED2"/>
    <w:rsid w:val="000F0013"/>
    <w:rsid w:val="000F02FF"/>
    <w:rsid w:val="000F04E2"/>
    <w:rsid w:val="000F0935"/>
    <w:rsid w:val="000F0C47"/>
    <w:rsid w:val="000F0EC6"/>
    <w:rsid w:val="000F12D1"/>
    <w:rsid w:val="000F12F9"/>
    <w:rsid w:val="000F13C3"/>
    <w:rsid w:val="000F192F"/>
    <w:rsid w:val="000F19B1"/>
    <w:rsid w:val="000F1B21"/>
    <w:rsid w:val="000F1C79"/>
    <w:rsid w:val="000F1CFC"/>
    <w:rsid w:val="000F1EBD"/>
    <w:rsid w:val="000F1FF5"/>
    <w:rsid w:val="000F205E"/>
    <w:rsid w:val="000F2264"/>
    <w:rsid w:val="000F230A"/>
    <w:rsid w:val="000F2856"/>
    <w:rsid w:val="000F28C1"/>
    <w:rsid w:val="000F28F0"/>
    <w:rsid w:val="000F2B49"/>
    <w:rsid w:val="000F2B60"/>
    <w:rsid w:val="000F2D08"/>
    <w:rsid w:val="000F2F18"/>
    <w:rsid w:val="000F303B"/>
    <w:rsid w:val="000F419D"/>
    <w:rsid w:val="000F4206"/>
    <w:rsid w:val="000F461F"/>
    <w:rsid w:val="000F4926"/>
    <w:rsid w:val="000F4C61"/>
    <w:rsid w:val="000F50C6"/>
    <w:rsid w:val="000F5301"/>
    <w:rsid w:val="000F53CD"/>
    <w:rsid w:val="000F5586"/>
    <w:rsid w:val="000F573D"/>
    <w:rsid w:val="000F5858"/>
    <w:rsid w:val="000F5867"/>
    <w:rsid w:val="000F5DB4"/>
    <w:rsid w:val="000F5F0F"/>
    <w:rsid w:val="000F627D"/>
    <w:rsid w:val="000F63E9"/>
    <w:rsid w:val="000F64C4"/>
    <w:rsid w:val="000F666B"/>
    <w:rsid w:val="000F68A5"/>
    <w:rsid w:val="000F68F9"/>
    <w:rsid w:val="000F695C"/>
    <w:rsid w:val="000F69C9"/>
    <w:rsid w:val="000F6FEA"/>
    <w:rsid w:val="000F7084"/>
    <w:rsid w:val="000F73DF"/>
    <w:rsid w:val="000F74B6"/>
    <w:rsid w:val="000F762B"/>
    <w:rsid w:val="000F77F5"/>
    <w:rsid w:val="000F7C6F"/>
    <w:rsid w:val="000F7EFC"/>
    <w:rsid w:val="00100200"/>
    <w:rsid w:val="001002DA"/>
    <w:rsid w:val="001004F6"/>
    <w:rsid w:val="00100886"/>
    <w:rsid w:val="00100D31"/>
    <w:rsid w:val="00100EC5"/>
    <w:rsid w:val="00100F40"/>
    <w:rsid w:val="0010100B"/>
    <w:rsid w:val="0010122B"/>
    <w:rsid w:val="0010126A"/>
    <w:rsid w:val="0010132A"/>
    <w:rsid w:val="00101405"/>
    <w:rsid w:val="0010148B"/>
    <w:rsid w:val="001014AE"/>
    <w:rsid w:val="00101ACF"/>
    <w:rsid w:val="00101B54"/>
    <w:rsid w:val="00101BEA"/>
    <w:rsid w:val="00101D5A"/>
    <w:rsid w:val="00101DEE"/>
    <w:rsid w:val="00101E5B"/>
    <w:rsid w:val="00101ED3"/>
    <w:rsid w:val="00102072"/>
    <w:rsid w:val="001020AD"/>
    <w:rsid w:val="00102321"/>
    <w:rsid w:val="00102B96"/>
    <w:rsid w:val="001031D9"/>
    <w:rsid w:val="001034B6"/>
    <w:rsid w:val="00103543"/>
    <w:rsid w:val="00103625"/>
    <w:rsid w:val="001036B3"/>
    <w:rsid w:val="00103972"/>
    <w:rsid w:val="00103AF4"/>
    <w:rsid w:val="00103C2A"/>
    <w:rsid w:val="00103E90"/>
    <w:rsid w:val="001041E0"/>
    <w:rsid w:val="00104295"/>
    <w:rsid w:val="001042D1"/>
    <w:rsid w:val="0010430C"/>
    <w:rsid w:val="001047C3"/>
    <w:rsid w:val="00104A8F"/>
    <w:rsid w:val="00104BFD"/>
    <w:rsid w:val="0010531F"/>
    <w:rsid w:val="00105627"/>
    <w:rsid w:val="00105B74"/>
    <w:rsid w:val="00105BC1"/>
    <w:rsid w:val="00105E5E"/>
    <w:rsid w:val="00105FF1"/>
    <w:rsid w:val="00106103"/>
    <w:rsid w:val="00106378"/>
    <w:rsid w:val="00106408"/>
    <w:rsid w:val="0010671C"/>
    <w:rsid w:val="00106723"/>
    <w:rsid w:val="00106871"/>
    <w:rsid w:val="00106879"/>
    <w:rsid w:val="00106B5E"/>
    <w:rsid w:val="00106B7C"/>
    <w:rsid w:val="00106BE5"/>
    <w:rsid w:val="00106F17"/>
    <w:rsid w:val="00107060"/>
    <w:rsid w:val="00107365"/>
    <w:rsid w:val="00107494"/>
    <w:rsid w:val="001074A7"/>
    <w:rsid w:val="001074F3"/>
    <w:rsid w:val="001075F1"/>
    <w:rsid w:val="001078B6"/>
    <w:rsid w:val="001078FC"/>
    <w:rsid w:val="00107A95"/>
    <w:rsid w:val="00107C4F"/>
    <w:rsid w:val="00107DEE"/>
    <w:rsid w:val="00107E3C"/>
    <w:rsid w:val="001105B6"/>
    <w:rsid w:val="00110A5C"/>
    <w:rsid w:val="00110B3B"/>
    <w:rsid w:val="00110D6D"/>
    <w:rsid w:val="00110DB7"/>
    <w:rsid w:val="00110DE6"/>
    <w:rsid w:val="00110EBD"/>
    <w:rsid w:val="00111164"/>
    <w:rsid w:val="001115DC"/>
    <w:rsid w:val="00111612"/>
    <w:rsid w:val="00111634"/>
    <w:rsid w:val="00111CF8"/>
    <w:rsid w:val="00111D17"/>
    <w:rsid w:val="00111D6C"/>
    <w:rsid w:val="00111FA5"/>
    <w:rsid w:val="00112B2E"/>
    <w:rsid w:val="00112D1C"/>
    <w:rsid w:val="001131BD"/>
    <w:rsid w:val="00113214"/>
    <w:rsid w:val="00113283"/>
    <w:rsid w:val="001135D5"/>
    <w:rsid w:val="0011379E"/>
    <w:rsid w:val="001138EC"/>
    <w:rsid w:val="00113995"/>
    <w:rsid w:val="00113A14"/>
    <w:rsid w:val="00113C7A"/>
    <w:rsid w:val="00113D0E"/>
    <w:rsid w:val="00113D7C"/>
    <w:rsid w:val="00113E9B"/>
    <w:rsid w:val="001140A9"/>
    <w:rsid w:val="001141CB"/>
    <w:rsid w:val="0011426D"/>
    <w:rsid w:val="001142E7"/>
    <w:rsid w:val="0011430E"/>
    <w:rsid w:val="0011435F"/>
    <w:rsid w:val="00114986"/>
    <w:rsid w:val="0011498F"/>
    <w:rsid w:val="0011499F"/>
    <w:rsid w:val="00114A90"/>
    <w:rsid w:val="00114EDC"/>
    <w:rsid w:val="00115021"/>
    <w:rsid w:val="001151AE"/>
    <w:rsid w:val="00115731"/>
    <w:rsid w:val="00115CE6"/>
    <w:rsid w:val="00115CF9"/>
    <w:rsid w:val="00116026"/>
    <w:rsid w:val="0011616F"/>
    <w:rsid w:val="00116300"/>
    <w:rsid w:val="00116458"/>
    <w:rsid w:val="0011674E"/>
    <w:rsid w:val="00116ABD"/>
    <w:rsid w:val="00116C3F"/>
    <w:rsid w:val="00116D1F"/>
    <w:rsid w:val="00116F69"/>
    <w:rsid w:val="00116FBC"/>
    <w:rsid w:val="00117009"/>
    <w:rsid w:val="00117048"/>
    <w:rsid w:val="00117166"/>
    <w:rsid w:val="00117680"/>
    <w:rsid w:val="001177E6"/>
    <w:rsid w:val="001179DA"/>
    <w:rsid w:val="00117B32"/>
    <w:rsid w:val="0012010A"/>
    <w:rsid w:val="001201B9"/>
    <w:rsid w:val="00120224"/>
    <w:rsid w:val="001202D7"/>
    <w:rsid w:val="001202DF"/>
    <w:rsid w:val="00120729"/>
    <w:rsid w:val="00120BF7"/>
    <w:rsid w:val="00120E19"/>
    <w:rsid w:val="00120EFE"/>
    <w:rsid w:val="00121829"/>
    <w:rsid w:val="00121A4E"/>
    <w:rsid w:val="00121D0C"/>
    <w:rsid w:val="00121D78"/>
    <w:rsid w:val="00121E03"/>
    <w:rsid w:val="00121E1D"/>
    <w:rsid w:val="00121E9D"/>
    <w:rsid w:val="0012204E"/>
    <w:rsid w:val="0012210D"/>
    <w:rsid w:val="00122131"/>
    <w:rsid w:val="001222A1"/>
    <w:rsid w:val="00122DCF"/>
    <w:rsid w:val="00122F69"/>
    <w:rsid w:val="00122F71"/>
    <w:rsid w:val="00123072"/>
    <w:rsid w:val="00123138"/>
    <w:rsid w:val="00123246"/>
    <w:rsid w:val="00123380"/>
    <w:rsid w:val="00123987"/>
    <w:rsid w:val="00123A7B"/>
    <w:rsid w:val="00123D07"/>
    <w:rsid w:val="00123FC8"/>
    <w:rsid w:val="0012416E"/>
    <w:rsid w:val="001250AE"/>
    <w:rsid w:val="001250F2"/>
    <w:rsid w:val="001255D9"/>
    <w:rsid w:val="00125834"/>
    <w:rsid w:val="00125C01"/>
    <w:rsid w:val="00125CF8"/>
    <w:rsid w:val="00125D27"/>
    <w:rsid w:val="00125DD5"/>
    <w:rsid w:val="00126159"/>
    <w:rsid w:val="00126560"/>
    <w:rsid w:val="00126581"/>
    <w:rsid w:val="00126D1B"/>
    <w:rsid w:val="00126DF0"/>
    <w:rsid w:val="001270B9"/>
    <w:rsid w:val="00127417"/>
    <w:rsid w:val="00127667"/>
    <w:rsid w:val="00127B9C"/>
    <w:rsid w:val="00127C28"/>
    <w:rsid w:val="00127C6B"/>
    <w:rsid w:val="00127DD3"/>
    <w:rsid w:val="00127E53"/>
    <w:rsid w:val="00127F11"/>
    <w:rsid w:val="001305F3"/>
    <w:rsid w:val="0013060E"/>
    <w:rsid w:val="00130665"/>
    <w:rsid w:val="001309A2"/>
    <w:rsid w:val="00130B09"/>
    <w:rsid w:val="00130D8A"/>
    <w:rsid w:val="001311E6"/>
    <w:rsid w:val="0013140F"/>
    <w:rsid w:val="00131450"/>
    <w:rsid w:val="001315EC"/>
    <w:rsid w:val="00131706"/>
    <w:rsid w:val="00131791"/>
    <w:rsid w:val="0013182C"/>
    <w:rsid w:val="001319D4"/>
    <w:rsid w:val="00131C5A"/>
    <w:rsid w:val="00131ED4"/>
    <w:rsid w:val="0013210C"/>
    <w:rsid w:val="001327B9"/>
    <w:rsid w:val="00132858"/>
    <w:rsid w:val="001329B1"/>
    <w:rsid w:val="00132B06"/>
    <w:rsid w:val="00132BAF"/>
    <w:rsid w:val="00132FFB"/>
    <w:rsid w:val="001332EC"/>
    <w:rsid w:val="00133375"/>
    <w:rsid w:val="0013343B"/>
    <w:rsid w:val="00133759"/>
    <w:rsid w:val="001337BB"/>
    <w:rsid w:val="001337E3"/>
    <w:rsid w:val="00133DB6"/>
    <w:rsid w:val="0013407D"/>
    <w:rsid w:val="0013411D"/>
    <w:rsid w:val="0013434E"/>
    <w:rsid w:val="00134403"/>
    <w:rsid w:val="001348FB"/>
    <w:rsid w:val="001349E6"/>
    <w:rsid w:val="00134AE3"/>
    <w:rsid w:val="00134C24"/>
    <w:rsid w:val="00134C86"/>
    <w:rsid w:val="00134FE5"/>
    <w:rsid w:val="00135632"/>
    <w:rsid w:val="001359EC"/>
    <w:rsid w:val="00135ACD"/>
    <w:rsid w:val="00135C13"/>
    <w:rsid w:val="00135D38"/>
    <w:rsid w:val="00135E47"/>
    <w:rsid w:val="00135F0B"/>
    <w:rsid w:val="00136022"/>
    <w:rsid w:val="0013613D"/>
    <w:rsid w:val="0013632F"/>
    <w:rsid w:val="00136789"/>
    <w:rsid w:val="0013692B"/>
    <w:rsid w:val="00136BFC"/>
    <w:rsid w:val="00136C81"/>
    <w:rsid w:val="00136E48"/>
    <w:rsid w:val="00136E56"/>
    <w:rsid w:val="00136EA1"/>
    <w:rsid w:val="00137219"/>
    <w:rsid w:val="0013729F"/>
    <w:rsid w:val="00137371"/>
    <w:rsid w:val="001375A9"/>
    <w:rsid w:val="00137804"/>
    <w:rsid w:val="00137A4C"/>
    <w:rsid w:val="00137C51"/>
    <w:rsid w:val="00137E78"/>
    <w:rsid w:val="00137FB3"/>
    <w:rsid w:val="001401B7"/>
    <w:rsid w:val="00140203"/>
    <w:rsid w:val="00140397"/>
    <w:rsid w:val="001404E6"/>
    <w:rsid w:val="0014052A"/>
    <w:rsid w:val="00140691"/>
    <w:rsid w:val="001408CE"/>
    <w:rsid w:val="00140935"/>
    <w:rsid w:val="001409A5"/>
    <w:rsid w:val="00140BD9"/>
    <w:rsid w:val="00140CC3"/>
    <w:rsid w:val="001412A5"/>
    <w:rsid w:val="00141493"/>
    <w:rsid w:val="0014175D"/>
    <w:rsid w:val="0014177E"/>
    <w:rsid w:val="00141D8D"/>
    <w:rsid w:val="00141DB2"/>
    <w:rsid w:val="00141E20"/>
    <w:rsid w:val="00141F01"/>
    <w:rsid w:val="00141F7B"/>
    <w:rsid w:val="00142305"/>
    <w:rsid w:val="0014257E"/>
    <w:rsid w:val="00142731"/>
    <w:rsid w:val="00142C4A"/>
    <w:rsid w:val="00142CF2"/>
    <w:rsid w:val="00142F0A"/>
    <w:rsid w:val="00143458"/>
    <w:rsid w:val="001434C7"/>
    <w:rsid w:val="00143586"/>
    <w:rsid w:val="00143660"/>
    <w:rsid w:val="0014377A"/>
    <w:rsid w:val="00143BA8"/>
    <w:rsid w:val="00143E51"/>
    <w:rsid w:val="00143FEA"/>
    <w:rsid w:val="0014401E"/>
    <w:rsid w:val="00144134"/>
    <w:rsid w:val="001441FE"/>
    <w:rsid w:val="0014449A"/>
    <w:rsid w:val="0014455B"/>
    <w:rsid w:val="001446B5"/>
    <w:rsid w:val="001448B0"/>
    <w:rsid w:val="00144B55"/>
    <w:rsid w:val="00144CB4"/>
    <w:rsid w:val="00144D64"/>
    <w:rsid w:val="00144D9E"/>
    <w:rsid w:val="00144FF1"/>
    <w:rsid w:val="0014512D"/>
    <w:rsid w:val="00145163"/>
    <w:rsid w:val="00145872"/>
    <w:rsid w:val="00145937"/>
    <w:rsid w:val="00145BBC"/>
    <w:rsid w:val="00145F06"/>
    <w:rsid w:val="00146B8C"/>
    <w:rsid w:val="00146FF9"/>
    <w:rsid w:val="0014719C"/>
    <w:rsid w:val="00147502"/>
    <w:rsid w:val="0014797A"/>
    <w:rsid w:val="00147A76"/>
    <w:rsid w:val="00147AD5"/>
    <w:rsid w:val="00147B0B"/>
    <w:rsid w:val="00147B32"/>
    <w:rsid w:val="00147BE3"/>
    <w:rsid w:val="00147C59"/>
    <w:rsid w:val="00147F45"/>
    <w:rsid w:val="0015004C"/>
    <w:rsid w:val="001500F9"/>
    <w:rsid w:val="00150359"/>
    <w:rsid w:val="001504EA"/>
    <w:rsid w:val="00150B08"/>
    <w:rsid w:val="00150BA3"/>
    <w:rsid w:val="00150F6C"/>
    <w:rsid w:val="00151149"/>
    <w:rsid w:val="0015127B"/>
    <w:rsid w:val="001512CA"/>
    <w:rsid w:val="00151621"/>
    <w:rsid w:val="00151748"/>
    <w:rsid w:val="001518DE"/>
    <w:rsid w:val="00151B75"/>
    <w:rsid w:val="00151C79"/>
    <w:rsid w:val="00151C80"/>
    <w:rsid w:val="00151EBB"/>
    <w:rsid w:val="0015214B"/>
    <w:rsid w:val="00152434"/>
    <w:rsid w:val="00152644"/>
    <w:rsid w:val="00152887"/>
    <w:rsid w:val="00152904"/>
    <w:rsid w:val="00152976"/>
    <w:rsid w:val="00152A32"/>
    <w:rsid w:val="00152AA4"/>
    <w:rsid w:val="00152D6F"/>
    <w:rsid w:val="00152F33"/>
    <w:rsid w:val="00152F7F"/>
    <w:rsid w:val="00152FA4"/>
    <w:rsid w:val="00153448"/>
    <w:rsid w:val="001536E0"/>
    <w:rsid w:val="001536EE"/>
    <w:rsid w:val="001539F3"/>
    <w:rsid w:val="0015408E"/>
    <w:rsid w:val="001540A0"/>
    <w:rsid w:val="00154178"/>
    <w:rsid w:val="00154501"/>
    <w:rsid w:val="001545EE"/>
    <w:rsid w:val="0015499E"/>
    <w:rsid w:val="00154A1B"/>
    <w:rsid w:val="00154A31"/>
    <w:rsid w:val="00154B1F"/>
    <w:rsid w:val="00154EAF"/>
    <w:rsid w:val="00154F58"/>
    <w:rsid w:val="0015510E"/>
    <w:rsid w:val="00155160"/>
    <w:rsid w:val="001551E2"/>
    <w:rsid w:val="0015520E"/>
    <w:rsid w:val="00155527"/>
    <w:rsid w:val="0015574B"/>
    <w:rsid w:val="0015574D"/>
    <w:rsid w:val="0015594D"/>
    <w:rsid w:val="00155ABF"/>
    <w:rsid w:val="00155BD1"/>
    <w:rsid w:val="00155C48"/>
    <w:rsid w:val="00155EA7"/>
    <w:rsid w:val="00155F3C"/>
    <w:rsid w:val="0015601E"/>
    <w:rsid w:val="001561F7"/>
    <w:rsid w:val="00156647"/>
    <w:rsid w:val="00156909"/>
    <w:rsid w:val="00156B9D"/>
    <w:rsid w:val="00156E94"/>
    <w:rsid w:val="00156F36"/>
    <w:rsid w:val="00156F77"/>
    <w:rsid w:val="00157027"/>
    <w:rsid w:val="001570AA"/>
    <w:rsid w:val="001572F6"/>
    <w:rsid w:val="00157823"/>
    <w:rsid w:val="001578CF"/>
    <w:rsid w:val="00157AA1"/>
    <w:rsid w:val="00157B6D"/>
    <w:rsid w:val="001602B6"/>
    <w:rsid w:val="001602C9"/>
    <w:rsid w:val="0016030B"/>
    <w:rsid w:val="001603BD"/>
    <w:rsid w:val="00160C25"/>
    <w:rsid w:val="00160CA9"/>
    <w:rsid w:val="00160DFC"/>
    <w:rsid w:val="00160EA1"/>
    <w:rsid w:val="00160F0F"/>
    <w:rsid w:val="00160F89"/>
    <w:rsid w:val="0016145D"/>
    <w:rsid w:val="00161473"/>
    <w:rsid w:val="00161549"/>
    <w:rsid w:val="0016154F"/>
    <w:rsid w:val="001618A1"/>
    <w:rsid w:val="00161A14"/>
    <w:rsid w:val="00161E8A"/>
    <w:rsid w:val="00161ED6"/>
    <w:rsid w:val="00162244"/>
    <w:rsid w:val="0016244D"/>
    <w:rsid w:val="001627D5"/>
    <w:rsid w:val="00162ADA"/>
    <w:rsid w:val="00162B39"/>
    <w:rsid w:val="0016301F"/>
    <w:rsid w:val="001631AE"/>
    <w:rsid w:val="001631FB"/>
    <w:rsid w:val="00163451"/>
    <w:rsid w:val="001634DE"/>
    <w:rsid w:val="00163ACE"/>
    <w:rsid w:val="00163D53"/>
    <w:rsid w:val="0016422C"/>
    <w:rsid w:val="001642CA"/>
    <w:rsid w:val="001646EF"/>
    <w:rsid w:val="00164C45"/>
    <w:rsid w:val="00165074"/>
    <w:rsid w:val="0016516D"/>
    <w:rsid w:val="001651FE"/>
    <w:rsid w:val="00165328"/>
    <w:rsid w:val="00165451"/>
    <w:rsid w:val="001655E0"/>
    <w:rsid w:val="001655F1"/>
    <w:rsid w:val="001656E2"/>
    <w:rsid w:val="00165745"/>
    <w:rsid w:val="001659C9"/>
    <w:rsid w:val="00165B8F"/>
    <w:rsid w:val="00165CB4"/>
    <w:rsid w:val="00165ED2"/>
    <w:rsid w:val="00165F6D"/>
    <w:rsid w:val="0016605B"/>
    <w:rsid w:val="001660EA"/>
    <w:rsid w:val="00166347"/>
    <w:rsid w:val="0016655D"/>
    <w:rsid w:val="0016657B"/>
    <w:rsid w:val="00166652"/>
    <w:rsid w:val="001667B9"/>
    <w:rsid w:val="001667EE"/>
    <w:rsid w:val="00166BAA"/>
    <w:rsid w:val="00166D6E"/>
    <w:rsid w:val="0016704D"/>
    <w:rsid w:val="00167173"/>
    <w:rsid w:val="001671A3"/>
    <w:rsid w:val="00167243"/>
    <w:rsid w:val="00167277"/>
    <w:rsid w:val="0016739C"/>
    <w:rsid w:val="001673BC"/>
    <w:rsid w:val="00167405"/>
    <w:rsid w:val="001677ED"/>
    <w:rsid w:val="001678B2"/>
    <w:rsid w:val="0016790F"/>
    <w:rsid w:val="00167DA4"/>
    <w:rsid w:val="00167EC7"/>
    <w:rsid w:val="00167ED0"/>
    <w:rsid w:val="00170111"/>
    <w:rsid w:val="001701E6"/>
    <w:rsid w:val="00170414"/>
    <w:rsid w:val="00170505"/>
    <w:rsid w:val="00170821"/>
    <w:rsid w:val="00170898"/>
    <w:rsid w:val="00170C52"/>
    <w:rsid w:val="00170D1C"/>
    <w:rsid w:val="00170D80"/>
    <w:rsid w:val="00170E48"/>
    <w:rsid w:val="00170FE7"/>
    <w:rsid w:val="00171041"/>
    <w:rsid w:val="0017136F"/>
    <w:rsid w:val="00171953"/>
    <w:rsid w:val="00171C84"/>
    <w:rsid w:val="00171D26"/>
    <w:rsid w:val="00171D48"/>
    <w:rsid w:val="00171EED"/>
    <w:rsid w:val="00172041"/>
    <w:rsid w:val="00172322"/>
    <w:rsid w:val="001726D4"/>
    <w:rsid w:val="00172B05"/>
    <w:rsid w:val="00172F0B"/>
    <w:rsid w:val="00172FC8"/>
    <w:rsid w:val="00173240"/>
    <w:rsid w:val="001733F7"/>
    <w:rsid w:val="001734C5"/>
    <w:rsid w:val="00173841"/>
    <w:rsid w:val="00173A2A"/>
    <w:rsid w:val="00173B74"/>
    <w:rsid w:val="00173CA0"/>
    <w:rsid w:val="00173D01"/>
    <w:rsid w:val="00173E5B"/>
    <w:rsid w:val="00174258"/>
    <w:rsid w:val="0017468B"/>
    <w:rsid w:val="00174A9A"/>
    <w:rsid w:val="00174D99"/>
    <w:rsid w:val="00174E71"/>
    <w:rsid w:val="00175425"/>
    <w:rsid w:val="00175498"/>
    <w:rsid w:val="001754F2"/>
    <w:rsid w:val="0017564E"/>
    <w:rsid w:val="00175B66"/>
    <w:rsid w:val="001760F8"/>
    <w:rsid w:val="001762C8"/>
    <w:rsid w:val="001764BF"/>
    <w:rsid w:val="001764E5"/>
    <w:rsid w:val="0017662A"/>
    <w:rsid w:val="00176644"/>
    <w:rsid w:val="00176825"/>
    <w:rsid w:val="00176843"/>
    <w:rsid w:val="001769A2"/>
    <w:rsid w:val="00176BEA"/>
    <w:rsid w:val="00176F8A"/>
    <w:rsid w:val="00176FC6"/>
    <w:rsid w:val="00177054"/>
    <w:rsid w:val="001771B8"/>
    <w:rsid w:val="001771F8"/>
    <w:rsid w:val="00177670"/>
    <w:rsid w:val="00177679"/>
    <w:rsid w:val="0017786A"/>
    <w:rsid w:val="00177C54"/>
    <w:rsid w:val="00177DB5"/>
    <w:rsid w:val="00177DB8"/>
    <w:rsid w:val="00180079"/>
    <w:rsid w:val="001800B7"/>
    <w:rsid w:val="001800E6"/>
    <w:rsid w:val="001802F8"/>
    <w:rsid w:val="0018038F"/>
    <w:rsid w:val="0018039A"/>
    <w:rsid w:val="001803D6"/>
    <w:rsid w:val="001804E3"/>
    <w:rsid w:val="0018066F"/>
    <w:rsid w:val="001807D5"/>
    <w:rsid w:val="00180910"/>
    <w:rsid w:val="00180CA1"/>
    <w:rsid w:val="00180E9D"/>
    <w:rsid w:val="00180F67"/>
    <w:rsid w:val="00181177"/>
    <w:rsid w:val="00181287"/>
    <w:rsid w:val="001812E8"/>
    <w:rsid w:val="00181355"/>
    <w:rsid w:val="001815ED"/>
    <w:rsid w:val="0018164B"/>
    <w:rsid w:val="001816B2"/>
    <w:rsid w:val="001819FF"/>
    <w:rsid w:val="00181B61"/>
    <w:rsid w:val="00181BEF"/>
    <w:rsid w:val="00181C03"/>
    <w:rsid w:val="00181D32"/>
    <w:rsid w:val="00182290"/>
    <w:rsid w:val="00182310"/>
    <w:rsid w:val="00182457"/>
    <w:rsid w:val="00182541"/>
    <w:rsid w:val="00182984"/>
    <w:rsid w:val="00183052"/>
    <w:rsid w:val="0018349E"/>
    <w:rsid w:val="00183568"/>
    <w:rsid w:val="00183ACB"/>
    <w:rsid w:val="00183B34"/>
    <w:rsid w:val="00183D65"/>
    <w:rsid w:val="001844BD"/>
    <w:rsid w:val="001845A6"/>
    <w:rsid w:val="00184669"/>
    <w:rsid w:val="001846A0"/>
    <w:rsid w:val="0018481E"/>
    <w:rsid w:val="00184C9A"/>
    <w:rsid w:val="00184F84"/>
    <w:rsid w:val="0018504D"/>
    <w:rsid w:val="0018517B"/>
    <w:rsid w:val="001851D8"/>
    <w:rsid w:val="0018555F"/>
    <w:rsid w:val="001857FC"/>
    <w:rsid w:val="00185DD5"/>
    <w:rsid w:val="00185E34"/>
    <w:rsid w:val="00185E86"/>
    <w:rsid w:val="0018618E"/>
    <w:rsid w:val="00186384"/>
    <w:rsid w:val="00186999"/>
    <w:rsid w:val="00186A4F"/>
    <w:rsid w:val="00186DAA"/>
    <w:rsid w:val="0018717E"/>
    <w:rsid w:val="0018734C"/>
    <w:rsid w:val="00187669"/>
    <w:rsid w:val="00187AEB"/>
    <w:rsid w:val="00187C62"/>
    <w:rsid w:val="00187E31"/>
    <w:rsid w:val="00187F67"/>
    <w:rsid w:val="00187F90"/>
    <w:rsid w:val="00190070"/>
    <w:rsid w:val="00190197"/>
    <w:rsid w:val="001906F3"/>
    <w:rsid w:val="0019071D"/>
    <w:rsid w:val="0019074A"/>
    <w:rsid w:val="001909E2"/>
    <w:rsid w:val="001909F2"/>
    <w:rsid w:val="00191059"/>
    <w:rsid w:val="00191263"/>
    <w:rsid w:val="0019148E"/>
    <w:rsid w:val="001916D2"/>
    <w:rsid w:val="00191729"/>
    <w:rsid w:val="001918A5"/>
    <w:rsid w:val="00191A4A"/>
    <w:rsid w:val="00191C1D"/>
    <w:rsid w:val="00191F7B"/>
    <w:rsid w:val="00192564"/>
    <w:rsid w:val="00192962"/>
    <w:rsid w:val="00192B97"/>
    <w:rsid w:val="00192BF6"/>
    <w:rsid w:val="00192F14"/>
    <w:rsid w:val="0019356E"/>
    <w:rsid w:val="00193790"/>
    <w:rsid w:val="00193C06"/>
    <w:rsid w:val="00193E08"/>
    <w:rsid w:val="00193EFB"/>
    <w:rsid w:val="00193F8A"/>
    <w:rsid w:val="00194011"/>
    <w:rsid w:val="001941EF"/>
    <w:rsid w:val="001941F1"/>
    <w:rsid w:val="00194248"/>
    <w:rsid w:val="001943DE"/>
    <w:rsid w:val="0019443A"/>
    <w:rsid w:val="0019447D"/>
    <w:rsid w:val="001944DB"/>
    <w:rsid w:val="001945CE"/>
    <w:rsid w:val="001946DB"/>
    <w:rsid w:val="001947A2"/>
    <w:rsid w:val="00194B28"/>
    <w:rsid w:val="00194EB3"/>
    <w:rsid w:val="00195210"/>
    <w:rsid w:val="00195503"/>
    <w:rsid w:val="0019551E"/>
    <w:rsid w:val="001957B9"/>
    <w:rsid w:val="0019589D"/>
    <w:rsid w:val="00195AFB"/>
    <w:rsid w:val="00195B42"/>
    <w:rsid w:val="00195EC7"/>
    <w:rsid w:val="00196173"/>
    <w:rsid w:val="001962D9"/>
    <w:rsid w:val="0019637D"/>
    <w:rsid w:val="001963DC"/>
    <w:rsid w:val="0019640B"/>
    <w:rsid w:val="0019662B"/>
    <w:rsid w:val="0019664F"/>
    <w:rsid w:val="001968AD"/>
    <w:rsid w:val="001968D3"/>
    <w:rsid w:val="00196AB0"/>
    <w:rsid w:val="00196CC8"/>
    <w:rsid w:val="00196F3C"/>
    <w:rsid w:val="00196FA3"/>
    <w:rsid w:val="00197103"/>
    <w:rsid w:val="0019720C"/>
    <w:rsid w:val="00197251"/>
    <w:rsid w:val="00197265"/>
    <w:rsid w:val="0019770B"/>
    <w:rsid w:val="001979D1"/>
    <w:rsid w:val="00197AFE"/>
    <w:rsid w:val="00197CBD"/>
    <w:rsid w:val="00197DD4"/>
    <w:rsid w:val="00197E02"/>
    <w:rsid w:val="00197F57"/>
    <w:rsid w:val="001A00F7"/>
    <w:rsid w:val="001A0234"/>
    <w:rsid w:val="001A0347"/>
    <w:rsid w:val="001A0894"/>
    <w:rsid w:val="001A08AB"/>
    <w:rsid w:val="001A08FE"/>
    <w:rsid w:val="001A098E"/>
    <w:rsid w:val="001A0CB7"/>
    <w:rsid w:val="001A111A"/>
    <w:rsid w:val="001A11C3"/>
    <w:rsid w:val="001A11EB"/>
    <w:rsid w:val="001A12C0"/>
    <w:rsid w:val="001A1655"/>
    <w:rsid w:val="001A1A76"/>
    <w:rsid w:val="001A1E40"/>
    <w:rsid w:val="001A1FC0"/>
    <w:rsid w:val="001A26A3"/>
    <w:rsid w:val="001A2909"/>
    <w:rsid w:val="001A2EC4"/>
    <w:rsid w:val="001A2F36"/>
    <w:rsid w:val="001A2F93"/>
    <w:rsid w:val="001A3039"/>
    <w:rsid w:val="001A30E8"/>
    <w:rsid w:val="001A312F"/>
    <w:rsid w:val="001A32A1"/>
    <w:rsid w:val="001A3370"/>
    <w:rsid w:val="001A3389"/>
    <w:rsid w:val="001A34C0"/>
    <w:rsid w:val="001A3E0B"/>
    <w:rsid w:val="001A41B4"/>
    <w:rsid w:val="001A4A71"/>
    <w:rsid w:val="001A4AD9"/>
    <w:rsid w:val="001A4C3C"/>
    <w:rsid w:val="001A529C"/>
    <w:rsid w:val="001A52F7"/>
    <w:rsid w:val="001A5496"/>
    <w:rsid w:val="001A58CB"/>
    <w:rsid w:val="001A5A28"/>
    <w:rsid w:val="001A5BCF"/>
    <w:rsid w:val="001A5F91"/>
    <w:rsid w:val="001A6055"/>
    <w:rsid w:val="001A614A"/>
    <w:rsid w:val="001A65C5"/>
    <w:rsid w:val="001A6829"/>
    <w:rsid w:val="001A6982"/>
    <w:rsid w:val="001A6B2A"/>
    <w:rsid w:val="001A6CD3"/>
    <w:rsid w:val="001A6E7D"/>
    <w:rsid w:val="001A6EAF"/>
    <w:rsid w:val="001A7017"/>
    <w:rsid w:val="001A718F"/>
    <w:rsid w:val="001A725F"/>
    <w:rsid w:val="001A7262"/>
    <w:rsid w:val="001A739C"/>
    <w:rsid w:val="001A74B0"/>
    <w:rsid w:val="001A75DD"/>
    <w:rsid w:val="001A760F"/>
    <w:rsid w:val="001A766D"/>
    <w:rsid w:val="001A77AE"/>
    <w:rsid w:val="001A783C"/>
    <w:rsid w:val="001A7988"/>
    <w:rsid w:val="001A7C32"/>
    <w:rsid w:val="001A7EF0"/>
    <w:rsid w:val="001A7F5E"/>
    <w:rsid w:val="001A7F6F"/>
    <w:rsid w:val="001B0211"/>
    <w:rsid w:val="001B02FE"/>
    <w:rsid w:val="001B0522"/>
    <w:rsid w:val="001B05E6"/>
    <w:rsid w:val="001B08F3"/>
    <w:rsid w:val="001B09B6"/>
    <w:rsid w:val="001B0B12"/>
    <w:rsid w:val="001B0CB1"/>
    <w:rsid w:val="001B107B"/>
    <w:rsid w:val="001B13CB"/>
    <w:rsid w:val="001B14AD"/>
    <w:rsid w:val="001B1532"/>
    <w:rsid w:val="001B1638"/>
    <w:rsid w:val="001B1652"/>
    <w:rsid w:val="001B1DBF"/>
    <w:rsid w:val="001B1E4C"/>
    <w:rsid w:val="001B20D4"/>
    <w:rsid w:val="001B2312"/>
    <w:rsid w:val="001B2522"/>
    <w:rsid w:val="001B270E"/>
    <w:rsid w:val="001B2A67"/>
    <w:rsid w:val="001B2CEB"/>
    <w:rsid w:val="001B2DCA"/>
    <w:rsid w:val="001B2E19"/>
    <w:rsid w:val="001B2E6F"/>
    <w:rsid w:val="001B2F6B"/>
    <w:rsid w:val="001B3389"/>
    <w:rsid w:val="001B37E0"/>
    <w:rsid w:val="001B393B"/>
    <w:rsid w:val="001B3D76"/>
    <w:rsid w:val="001B3E0A"/>
    <w:rsid w:val="001B3F94"/>
    <w:rsid w:val="001B4314"/>
    <w:rsid w:val="001B43BA"/>
    <w:rsid w:val="001B455A"/>
    <w:rsid w:val="001B471F"/>
    <w:rsid w:val="001B4A37"/>
    <w:rsid w:val="001B4BBD"/>
    <w:rsid w:val="001B508D"/>
    <w:rsid w:val="001B5493"/>
    <w:rsid w:val="001B5584"/>
    <w:rsid w:val="001B5B71"/>
    <w:rsid w:val="001B5D69"/>
    <w:rsid w:val="001B63C6"/>
    <w:rsid w:val="001B6541"/>
    <w:rsid w:val="001B6553"/>
    <w:rsid w:val="001B6741"/>
    <w:rsid w:val="001B68F2"/>
    <w:rsid w:val="001B704F"/>
    <w:rsid w:val="001B74A9"/>
    <w:rsid w:val="001B7566"/>
    <w:rsid w:val="001B7721"/>
    <w:rsid w:val="001B781E"/>
    <w:rsid w:val="001B7908"/>
    <w:rsid w:val="001B7A77"/>
    <w:rsid w:val="001C0033"/>
    <w:rsid w:val="001C01B9"/>
    <w:rsid w:val="001C037D"/>
    <w:rsid w:val="001C0521"/>
    <w:rsid w:val="001C1023"/>
    <w:rsid w:val="001C1048"/>
    <w:rsid w:val="001C113B"/>
    <w:rsid w:val="001C15E9"/>
    <w:rsid w:val="001C18D3"/>
    <w:rsid w:val="001C1BA3"/>
    <w:rsid w:val="001C1CC9"/>
    <w:rsid w:val="001C1D73"/>
    <w:rsid w:val="001C2C7D"/>
    <w:rsid w:val="001C2D02"/>
    <w:rsid w:val="001C2EBD"/>
    <w:rsid w:val="001C2EF7"/>
    <w:rsid w:val="001C2F36"/>
    <w:rsid w:val="001C35D5"/>
    <w:rsid w:val="001C3B79"/>
    <w:rsid w:val="001C3C1D"/>
    <w:rsid w:val="001C3C65"/>
    <w:rsid w:val="001C3EEF"/>
    <w:rsid w:val="001C3FA5"/>
    <w:rsid w:val="001C41BC"/>
    <w:rsid w:val="001C42CB"/>
    <w:rsid w:val="001C43B7"/>
    <w:rsid w:val="001C43C3"/>
    <w:rsid w:val="001C47AB"/>
    <w:rsid w:val="001C47AD"/>
    <w:rsid w:val="001C4C93"/>
    <w:rsid w:val="001C5417"/>
    <w:rsid w:val="001C5506"/>
    <w:rsid w:val="001C557E"/>
    <w:rsid w:val="001C5688"/>
    <w:rsid w:val="001C5DB5"/>
    <w:rsid w:val="001C5ED9"/>
    <w:rsid w:val="001C5FCD"/>
    <w:rsid w:val="001C611A"/>
    <w:rsid w:val="001C6135"/>
    <w:rsid w:val="001C6162"/>
    <w:rsid w:val="001C61B2"/>
    <w:rsid w:val="001C63F0"/>
    <w:rsid w:val="001C6436"/>
    <w:rsid w:val="001C6460"/>
    <w:rsid w:val="001C6724"/>
    <w:rsid w:val="001C6829"/>
    <w:rsid w:val="001C69C8"/>
    <w:rsid w:val="001C6C73"/>
    <w:rsid w:val="001C70AB"/>
    <w:rsid w:val="001C71CD"/>
    <w:rsid w:val="001C7719"/>
    <w:rsid w:val="001C7737"/>
    <w:rsid w:val="001C77D1"/>
    <w:rsid w:val="001C7D83"/>
    <w:rsid w:val="001D0033"/>
    <w:rsid w:val="001D00CC"/>
    <w:rsid w:val="001D00CE"/>
    <w:rsid w:val="001D0105"/>
    <w:rsid w:val="001D0324"/>
    <w:rsid w:val="001D07A4"/>
    <w:rsid w:val="001D0863"/>
    <w:rsid w:val="001D08A1"/>
    <w:rsid w:val="001D0A29"/>
    <w:rsid w:val="001D0D8F"/>
    <w:rsid w:val="001D0F48"/>
    <w:rsid w:val="001D109B"/>
    <w:rsid w:val="001D10EA"/>
    <w:rsid w:val="001D12FE"/>
    <w:rsid w:val="001D162A"/>
    <w:rsid w:val="001D1817"/>
    <w:rsid w:val="001D1A0D"/>
    <w:rsid w:val="001D1D23"/>
    <w:rsid w:val="001D2298"/>
    <w:rsid w:val="001D2601"/>
    <w:rsid w:val="001D30D0"/>
    <w:rsid w:val="001D327F"/>
    <w:rsid w:val="001D3345"/>
    <w:rsid w:val="001D3753"/>
    <w:rsid w:val="001D4087"/>
    <w:rsid w:val="001D49D4"/>
    <w:rsid w:val="001D51EF"/>
    <w:rsid w:val="001D53BC"/>
    <w:rsid w:val="001D5484"/>
    <w:rsid w:val="001D54C7"/>
    <w:rsid w:val="001D54D2"/>
    <w:rsid w:val="001D556B"/>
    <w:rsid w:val="001D5B53"/>
    <w:rsid w:val="001D5BD0"/>
    <w:rsid w:val="001D5C27"/>
    <w:rsid w:val="001D5D2C"/>
    <w:rsid w:val="001D5DA2"/>
    <w:rsid w:val="001D5EBA"/>
    <w:rsid w:val="001D6256"/>
    <w:rsid w:val="001D63D0"/>
    <w:rsid w:val="001D63DB"/>
    <w:rsid w:val="001D64D0"/>
    <w:rsid w:val="001D66C9"/>
    <w:rsid w:val="001D66EA"/>
    <w:rsid w:val="001D6C7A"/>
    <w:rsid w:val="001D6DDB"/>
    <w:rsid w:val="001D6E3B"/>
    <w:rsid w:val="001D7424"/>
    <w:rsid w:val="001D7EA6"/>
    <w:rsid w:val="001E00EB"/>
    <w:rsid w:val="001E0155"/>
    <w:rsid w:val="001E03F8"/>
    <w:rsid w:val="001E04A4"/>
    <w:rsid w:val="001E0515"/>
    <w:rsid w:val="001E0C9A"/>
    <w:rsid w:val="001E0CA2"/>
    <w:rsid w:val="001E0D10"/>
    <w:rsid w:val="001E0DD7"/>
    <w:rsid w:val="001E10FD"/>
    <w:rsid w:val="001E128B"/>
    <w:rsid w:val="001E1523"/>
    <w:rsid w:val="001E1739"/>
    <w:rsid w:val="001E19D6"/>
    <w:rsid w:val="001E1DD7"/>
    <w:rsid w:val="001E1DFE"/>
    <w:rsid w:val="001E1EBC"/>
    <w:rsid w:val="001E1F15"/>
    <w:rsid w:val="001E1FBF"/>
    <w:rsid w:val="001E200F"/>
    <w:rsid w:val="001E226C"/>
    <w:rsid w:val="001E2365"/>
    <w:rsid w:val="001E23A8"/>
    <w:rsid w:val="001E281E"/>
    <w:rsid w:val="001E2903"/>
    <w:rsid w:val="001E2F1A"/>
    <w:rsid w:val="001E2F83"/>
    <w:rsid w:val="001E34E0"/>
    <w:rsid w:val="001E35C4"/>
    <w:rsid w:val="001E35D4"/>
    <w:rsid w:val="001E362E"/>
    <w:rsid w:val="001E3BB7"/>
    <w:rsid w:val="001E3C4E"/>
    <w:rsid w:val="001E3FD5"/>
    <w:rsid w:val="001E4695"/>
    <w:rsid w:val="001E47D5"/>
    <w:rsid w:val="001E4810"/>
    <w:rsid w:val="001E482F"/>
    <w:rsid w:val="001E48F4"/>
    <w:rsid w:val="001E4960"/>
    <w:rsid w:val="001E4A83"/>
    <w:rsid w:val="001E4A89"/>
    <w:rsid w:val="001E4D97"/>
    <w:rsid w:val="001E517B"/>
    <w:rsid w:val="001E56AB"/>
    <w:rsid w:val="001E58F2"/>
    <w:rsid w:val="001E59F7"/>
    <w:rsid w:val="001E5A1C"/>
    <w:rsid w:val="001E5A7E"/>
    <w:rsid w:val="001E5ACC"/>
    <w:rsid w:val="001E5BE1"/>
    <w:rsid w:val="001E5C41"/>
    <w:rsid w:val="001E5D56"/>
    <w:rsid w:val="001E5DAB"/>
    <w:rsid w:val="001E6121"/>
    <w:rsid w:val="001E6150"/>
    <w:rsid w:val="001E6B82"/>
    <w:rsid w:val="001E6B8D"/>
    <w:rsid w:val="001E6BA7"/>
    <w:rsid w:val="001E6BFF"/>
    <w:rsid w:val="001E6DAD"/>
    <w:rsid w:val="001E6DC4"/>
    <w:rsid w:val="001E6E16"/>
    <w:rsid w:val="001E6FDA"/>
    <w:rsid w:val="001E7198"/>
    <w:rsid w:val="001E7312"/>
    <w:rsid w:val="001E7A40"/>
    <w:rsid w:val="001E7D83"/>
    <w:rsid w:val="001F030C"/>
    <w:rsid w:val="001F0616"/>
    <w:rsid w:val="001F07EA"/>
    <w:rsid w:val="001F0820"/>
    <w:rsid w:val="001F0A3E"/>
    <w:rsid w:val="001F0A56"/>
    <w:rsid w:val="001F0D1C"/>
    <w:rsid w:val="001F0D71"/>
    <w:rsid w:val="001F0F07"/>
    <w:rsid w:val="001F1364"/>
    <w:rsid w:val="001F13BD"/>
    <w:rsid w:val="001F13E5"/>
    <w:rsid w:val="001F1482"/>
    <w:rsid w:val="001F180C"/>
    <w:rsid w:val="001F1B6E"/>
    <w:rsid w:val="001F1BCA"/>
    <w:rsid w:val="001F1C34"/>
    <w:rsid w:val="001F1D7C"/>
    <w:rsid w:val="001F1FCB"/>
    <w:rsid w:val="001F1FEF"/>
    <w:rsid w:val="001F20C1"/>
    <w:rsid w:val="001F21DB"/>
    <w:rsid w:val="001F264C"/>
    <w:rsid w:val="001F2A77"/>
    <w:rsid w:val="001F3109"/>
    <w:rsid w:val="001F3365"/>
    <w:rsid w:val="001F35BA"/>
    <w:rsid w:val="001F375E"/>
    <w:rsid w:val="001F3889"/>
    <w:rsid w:val="001F3963"/>
    <w:rsid w:val="001F3C04"/>
    <w:rsid w:val="001F3CB6"/>
    <w:rsid w:val="001F3EC9"/>
    <w:rsid w:val="001F4192"/>
    <w:rsid w:val="001F41F5"/>
    <w:rsid w:val="001F42B9"/>
    <w:rsid w:val="001F47D3"/>
    <w:rsid w:val="001F48DF"/>
    <w:rsid w:val="001F48E6"/>
    <w:rsid w:val="001F4A4E"/>
    <w:rsid w:val="001F4F88"/>
    <w:rsid w:val="001F50B9"/>
    <w:rsid w:val="001F5227"/>
    <w:rsid w:val="001F5232"/>
    <w:rsid w:val="001F5892"/>
    <w:rsid w:val="001F5970"/>
    <w:rsid w:val="001F5B9D"/>
    <w:rsid w:val="001F5CDB"/>
    <w:rsid w:val="001F6104"/>
    <w:rsid w:val="001F66B7"/>
    <w:rsid w:val="001F6736"/>
    <w:rsid w:val="001F6792"/>
    <w:rsid w:val="001F6827"/>
    <w:rsid w:val="001F688C"/>
    <w:rsid w:val="001F68A4"/>
    <w:rsid w:val="001F695D"/>
    <w:rsid w:val="001F6A0D"/>
    <w:rsid w:val="001F6A96"/>
    <w:rsid w:val="001F6E97"/>
    <w:rsid w:val="001F6EDA"/>
    <w:rsid w:val="001F7053"/>
    <w:rsid w:val="001F72AE"/>
    <w:rsid w:val="001F77B4"/>
    <w:rsid w:val="001F7820"/>
    <w:rsid w:val="001F78D7"/>
    <w:rsid w:val="001F7C56"/>
    <w:rsid w:val="001F7E83"/>
    <w:rsid w:val="002002CC"/>
    <w:rsid w:val="002005C9"/>
    <w:rsid w:val="0020067C"/>
    <w:rsid w:val="0020069B"/>
    <w:rsid w:val="0020069E"/>
    <w:rsid w:val="002009CE"/>
    <w:rsid w:val="00200AF2"/>
    <w:rsid w:val="00200B7E"/>
    <w:rsid w:val="00200BCB"/>
    <w:rsid w:val="00200C74"/>
    <w:rsid w:val="00201024"/>
    <w:rsid w:val="00201146"/>
    <w:rsid w:val="0020140F"/>
    <w:rsid w:val="00201B78"/>
    <w:rsid w:val="00201BE8"/>
    <w:rsid w:val="00202480"/>
    <w:rsid w:val="0020249F"/>
    <w:rsid w:val="002024DF"/>
    <w:rsid w:val="002024ED"/>
    <w:rsid w:val="002026D4"/>
    <w:rsid w:val="00202768"/>
    <w:rsid w:val="00202AD0"/>
    <w:rsid w:val="00202FFF"/>
    <w:rsid w:val="002035DD"/>
    <w:rsid w:val="002035F4"/>
    <w:rsid w:val="0020380A"/>
    <w:rsid w:val="00203C90"/>
    <w:rsid w:val="00203F42"/>
    <w:rsid w:val="00203F92"/>
    <w:rsid w:val="002040A4"/>
    <w:rsid w:val="0020430A"/>
    <w:rsid w:val="0020460A"/>
    <w:rsid w:val="00204ADF"/>
    <w:rsid w:val="00204BF5"/>
    <w:rsid w:val="0020521D"/>
    <w:rsid w:val="00205248"/>
    <w:rsid w:val="002055AA"/>
    <w:rsid w:val="00205645"/>
    <w:rsid w:val="002056DF"/>
    <w:rsid w:val="002058CE"/>
    <w:rsid w:val="002058EC"/>
    <w:rsid w:val="00205C69"/>
    <w:rsid w:val="00205E48"/>
    <w:rsid w:val="00205F06"/>
    <w:rsid w:val="002061F4"/>
    <w:rsid w:val="00206210"/>
    <w:rsid w:val="002063A0"/>
    <w:rsid w:val="00206629"/>
    <w:rsid w:val="00206657"/>
    <w:rsid w:val="00206A57"/>
    <w:rsid w:val="00206BCE"/>
    <w:rsid w:val="00206E25"/>
    <w:rsid w:val="0020714B"/>
    <w:rsid w:val="002071E3"/>
    <w:rsid w:val="00207488"/>
    <w:rsid w:val="0020758F"/>
    <w:rsid w:val="00207879"/>
    <w:rsid w:val="00207B7B"/>
    <w:rsid w:val="00207F68"/>
    <w:rsid w:val="00207F9E"/>
    <w:rsid w:val="0021022E"/>
    <w:rsid w:val="00210545"/>
    <w:rsid w:val="00210833"/>
    <w:rsid w:val="0021095F"/>
    <w:rsid w:val="002109C8"/>
    <w:rsid w:val="00210AAD"/>
    <w:rsid w:val="00210AFF"/>
    <w:rsid w:val="00210B80"/>
    <w:rsid w:val="00210C3A"/>
    <w:rsid w:val="00210D74"/>
    <w:rsid w:val="00210EE2"/>
    <w:rsid w:val="00210F7E"/>
    <w:rsid w:val="00211383"/>
    <w:rsid w:val="0021139A"/>
    <w:rsid w:val="00211870"/>
    <w:rsid w:val="00211CD4"/>
    <w:rsid w:val="00211DA1"/>
    <w:rsid w:val="00211F08"/>
    <w:rsid w:val="00211FEB"/>
    <w:rsid w:val="00212267"/>
    <w:rsid w:val="002123E7"/>
    <w:rsid w:val="00212479"/>
    <w:rsid w:val="0021255D"/>
    <w:rsid w:val="0021281A"/>
    <w:rsid w:val="002129A3"/>
    <w:rsid w:val="002129ED"/>
    <w:rsid w:val="00212F99"/>
    <w:rsid w:val="00212FDF"/>
    <w:rsid w:val="00212FEE"/>
    <w:rsid w:val="00213088"/>
    <w:rsid w:val="0021355D"/>
    <w:rsid w:val="00213597"/>
    <w:rsid w:val="00213793"/>
    <w:rsid w:val="00213A0E"/>
    <w:rsid w:val="00213E04"/>
    <w:rsid w:val="00213F92"/>
    <w:rsid w:val="00214098"/>
    <w:rsid w:val="002140A2"/>
    <w:rsid w:val="0021418E"/>
    <w:rsid w:val="00214223"/>
    <w:rsid w:val="002145C5"/>
    <w:rsid w:val="00214625"/>
    <w:rsid w:val="002146EF"/>
    <w:rsid w:val="002147C1"/>
    <w:rsid w:val="002148B8"/>
    <w:rsid w:val="002149C6"/>
    <w:rsid w:val="00214A3A"/>
    <w:rsid w:val="00214B37"/>
    <w:rsid w:val="00214B9D"/>
    <w:rsid w:val="00214BBF"/>
    <w:rsid w:val="00214ED8"/>
    <w:rsid w:val="00214EDE"/>
    <w:rsid w:val="0021573D"/>
    <w:rsid w:val="002159FC"/>
    <w:rsid w:val="00215C59"/>
    <w:rsid w:val="0021631C"/>
    <w:rsid w:val="00216398"/>
    <w:rsid w:val="00216482"/>
    <w:rsid w:val="002165A9"/>
    <w:rsid w:val="002167AC"/>
    <w:rsid w:val="00216841"/>
    <w:rsid w:val="00216B51"/>
    <w:rsid w:val="00216B92"/>
    <w:rsid w:val="00216C8D"/>
    <w:rsid w:val="002172BB"/>
    <w:rsid w:val="002173F4"/>
    <w:rsid w:val="00217533"/>
    <w:rsid w:val="0021755F"/>
    <w:rsid w:val="002175E4"/>
    <w:rsid w:val="00217C42"/>
    <w:rsid w:val="00217D52"/>
    <w:rsid w:val="002201F1"/>
    <w:rsid w:val="002202C4"/>
    <w:rsid w:val="00220312"/>
    <w:rsid w:val="002205F9"/>
    <w:rsid w:val="00220DD7"/>
    <w:rsid w:val="00221217"/>
    <w:rsid w:val="00221318"/>
    <w:rsid w:val="0022175E"/>
    <w:rsid w:val="002218A8"/>
    <w:rsid w:val="00221ACB"/>
    <w:rsid w:val="00221C21"/>
    <w:rsid w:val="00221CA9"/>
    <w:rsid w:val="00221F1B"/>
    <w:rsid w:val="00222467"/>
    <w:rsid w:val="0022279F"/>
    <w:rsid w:val="002227C0"/>
    <w:rsid w:val="00222B7E"/>
    <w:rsid w:val="00222CF6"/>
    <w:rsid w:val="00222E01"/>
    <w:rsid w:val="00222E37"/>
    <w:rsid w:val="00223566"/>
    <w:rsid w:val="002235C3"/>
    <w:rsid w:val="0022388F"/>
    <w:rsid w:val="00223B0D"/>
    <w:rsid w:val="00223CE7"/>
    <w:rsid w:val="00223D13"/>
    <w:rsid w:val="002242C4"/>
    <w:rsid w:val="00224388"/>
    <w:rsid w:val="002243A8"/>
    <w:rsid w:val="002246FC"/>
    <w:rsid w:val="00224C36"/>
    <w:rsid w:val="0022517B"/>
    <w:rsid w:val="002253C0"/>
    <w:rsid w:val="00225627"/>
    <w:rsid w:val="002256E6"/>
    <w:rsid w:val="00225713"/>
    <w:rsid w:val="002257D3"/>
    <w:rsid w:val="00225B88"/>
    <w:rsid w:val="002261E5"/>
    <w:rsid w:val="00226259"/>
    <w:rsid w:val="002264B0"/>
    <w:rsid w:val="00226860"/>
    <w:rsid w:val="0022687D"/>
    <w:rsid w:val="00226EEE"/>
    <w:rsid w:val="00226F45"/>
    <w:rsid w:val="00227142"/>
    <w:rsid w:val="00227382"/>
    <w:rsid w:val="002275DA"/>
    <w:rsid w:val="0022768A"/>
    <w:rsid w:val="00227CA3"/>
    <w:rsid w:val="00230092"/>
    <w:rsid w:val="002300A3"/>
    <w:rsid w:val="0023011A"/>
    <w:rsid w:val="00230296"/>
    <w:rsid w:val="002302F1"/>
    <w:rsid w:val="00230317"/>
    <w:rsid w:val="002304CF"/>
    <w:rsid w:val="00230591"/>
    <w:rsid w:val="002306C1"/>
    <w:rsid w:val="00230C04"/>
    <w:rsid w:val="00230E5C"/>
    <w:rsid w:val="002310ED"/>
    <w:rsid w:val="0023123F"/>
    <w:rsid w:val="00231367"/>
    <w:rsid w:val="002313C9"/>
    <w:rsid w:val="002317DD"/>
    <w:rsid w:val="00231979"/>
    <w:rsid w:val="00231B1B"/>
    <w:rsid w:val="00232819"/>
    <w:rsid w:val="00232AB2"/>
    <w:rsid w:val="00232C79"/>
    <w:rsid w:val="00232CAA"/>
    <w:rsid w:val="00232DC3"/>
    <w:rsid w:val="00232E38"/>
    <w:rsid w:val="00233509"/>
    <w:rsid w:val="00233553"/>
    <w:rsid w:val="0023384A"/>
    <w:rsid w:val="0023406E"/>
    <w:rsid w:val="002342F2"/>
    <w:rsid w:val="00234377"/>
    <w:rsid w:val="00234463"/>
    <w:rsid w:val="0023448E"/>
    <w:rsid w:val="002345B1"/>
    <w:rsid w:val="00234979"/>
    <w:rsid w:val="0023499D"/>
    <w:rsid w:val="002349E2"/>
    <w:rsid w:val="00234C92"/>
    <w:rsid w:val="00234D53"/>
    <w:rsid w:val="00234D6A"/>
    <w:rsid w:val="00234E92"/>
    <w:rsid w:val="0023536E"/>
    <w:rsid w:val="00235627"/>
    <w:rsid w:val="002356CE"/>
    <w:rsid w:val="00235999"/>
    <w:rsid w:val="00235AC8"/>
    <w:rsid w:val="00235AF5"/>
    <w:rsid w:val="00235BBB"/>
    <w:rsid w:val="00235D9A"/>
    <w:rsid w:val="00236173"/>
    <w:rsid w:val="00236654"/>
    <w:rsid w:val="00236886"/>
    <w:rsid w:val="0023691A"/>
    <w:rsid w:val="00236E34"/>
    <w:rsid w:val="00236E5C"/>
    <w:rsid w:val="00236F58"/>
    <w:rsid w:val="002372F0"/>
    <w:rsid w:val="002373C8"/>
    <w:rsid w:val="00237667"/>
    <w:rsid w:val="00237982"/>
    <w:rsid w:val="00237C9E"/>
    <w:rsid w:val="00237EF2"/>
    <w:rsid w:val="00240305"/>
    <w:rsid w:val="00240401"/>
    <w:rsid w:val="002405C3"/>
    <w:rsid w:val="00240836"/>
    <w:rsid w:val="002408D2"/>
    <w:rsid w:val="0024090F"/>
    <w:rsid w:val="00240949"/>
    <w:rsid w:val="00240C13"/>
    <w:rsid w:val="00240D2E"/>
    <w:rsid w:val="00240E48"/>
    <w:rsid w:val="00241021"/>
    <w:rsid w:val="002410E9"/>
    <w:rsid w:val="00241265"/>
    <w:rsid w:val="002412F2"/>
    <w:rsid w:val="0024157E"/>
    <w:rsid w:val="0024161E"/>
    <w:rsid w:val="002417CB"/>
    <w:rsid w:val="002418C3"/>
    <w:rsid w:val="00241AF1"/>
    <w:rsid w:val="00241DFF"/>
    <w:rsid w:val="00241F15"/>
    <w:rsid w:val="002420FD"/>
    <w:rsid w:val="00242251"/>
    <w:rsid w:val="00242654"/>
    <w:rsid w:val="00242657"/>
    <w:rsid w:val="002427CC"/>
    <w:rsid w:val="002428BC"/>
    <w:rsid w:val="00242916"/>
    <w:rsid w:val="00242943"/>
    <w:rsid w:val="00242C2C"/>
    <w:rsid w:val="00242C45"/>
    <w:rsid w:val="00242CD1"/>
    <w:rsid w:val="00242FDE"/>
    <w:rsid w:val="00243447"/>
    <w:rsid w:val="002434D6"/>
    <w:rsid w:val="00243595"/>
    <w:rsid w:val="00243743"/>
    <w:rsid w:val="00243AD7"/>
    <w:rsid w:val="00243BC3"/>
    <w:rsid w:val="00243DB1"/>
    <w:rsid w:val="00243ECA"/>
    <w:rsid w:val="00243F33"/>
    <w:rsid w:val="00244269"/>
    <w:rsid w:val="002444BF"/>
    <w:rsid w:val="0024486B"/>
    <w:rsid w:val="0024518D"/>
    <w:rsid w:val="002451C2"/>
    <w:rsid w:val="0024521B"/>
    <w:rsid w:val="00245266"/>
    <w:rsid w:val="0024561F"/>
    <w:rsid w:val="0024568B"/>
    <w:rsid w:val="00245895"/>
    <w:rsid w:val="00245CBC"/>
    <w:rsid w:val="00245EF2"/>
    <w:rsid w:val="0024607A"/>
    <w:rsid w:val="00246183"/>
    <w:rsid w:val="002462E5"/>
    <w:rsid w:val="002464CA"/>
    <w:rsid w:val="002466B1"/>
    <w:rsid w:val="0024697B"/>
    <w:rsid w:val="00246BB5"/>
    <w:rsid w:val="00246EE6"/>
    <w:rsid w:val="00246F20"/>
    <w:rsid w:val="002470E7"/>
    <w:rsid w:val="00247341"/>
    <w:rsid w:val="00247660"/>
    <w:rsid w:val="00247754"/>
    <w:rsid w:val="0024789F"/>
    <w:rsid w:val="0024799C"/>
    <w:rsid w:val="00247BFB"/>
    <w:rsid w:val="00247C00"/>
    <w:rsid w:val="00247CA6"/>
    <w:rsid w:val="00247CC0"/>
    <w:rsid w:val="00247F23"/>
    <w:rsid w:val="00247F95"/>
    <w:rsid w:val="0025027D"/>
    <w:rsid w:val="00250474"/>
    <w:rsid w:val="002504AB"/>
    <w:rsid w:val="002505C3"/>
    <w:rsid w:val="002505C5"/>
    <w:rsid w:val="00250868"/>
    <w:rsid w:val="00250983"/>
    <w:rsid w:val="00250A05"/>
    <w:rsid w:val="00250BD8"/>
    <w:rsid w:val="00250CDC"/>
    <w:rsid w:val="00250E16"/>
    <w:rsid w:val="00250FF9"/>
    <w:rsid w:val="00251259"/>
    <w:rsid w:val="00251673"/>
    <w:rsid w:val="00251AAC"/>
    <w:rsid w:val="00251C19"/>
    <w:rsid w:val="00251DE1"/>
    <w:rsid w:val="00251EBE"/>
    <w:rsid w:val="0025225C"/>
    <w:rsid w:val="0025225F"/>
    <w:rsid w:val="00252566"/>
    <w:rsid w:val="002526D4"/>
    <w:rsid w:val="002528E1"/>
    <w:rsid w:val="00252907"/>
    <w:rsid w:val="00252E57"/>
    <w:rsid w:val="00252EA0"/>
    <w:rsid w:val="002532A5"/>
    <w:rsid w:val="00253339"/>
    <w:rsid w:val="0025362C"/>
    <w:rsid w:val="002536B9"/>
    <w:rsid w:val="00253753"/>
    <w:rsid w:val="00253759"/>
    <w:rsid w:val="0025399B"/>
    <w:rsid w:val="00253BFB"/>
    <w:rsid w:val="00253F7F"/>
    <w:rsid w:val="0025406B"/>
    <w:rsid w:val="00254288"/>
    <w:rsid w:val="00254515"/>
    <w:rsid w:val="00254658"/>
    <w:rsid w:val="00254673"/>
    <w:rsid w:val="002548A7"/>
    <w:rsid w:val="002549EF"/>
    <w:rsid w:val="00254BCD"/>
    <w:rsid w:val="00254CCB"/>
    <w:rsid w:val="00254CCD"/>
    <w:rsid w:val="00254F14"/>
    <w:rsid w:val="002554CD"/>
    <w:rsid w:val="002555AB"/>
    <w:rsid w:val="00255F18"/>
    <w:rsid w:val="00255FCA"/>
    <w:rsid w:val="002567B1"/>
    <w:rsid w:val="00256FC1"/>
    <w:rsid w:val="00257281"/>
    <w:rsid w:val="00257421"/>
    <w:rsid w:val="00257DCA"/>
    <w:rsid w:val="00257F78"/>
    <w:rsid w:val="00260125"/>
    <w:rsid w:val="002601D9"/>
    <w:rsid w:val="00260200"/>
    <w:rsid w:val="00260254"/>
    <w:rsid w:val="002605DD"/>
    <w:rsid w:val="00260A5B"/>
    <w:rsid w:val="00260BCC"/>
    <w:rsid w:val="00260BF2"/>
    <w:rsid w:val="00260D18"/>
    <w:rsid w:val="00261710"/>
    <w:rsid w:val="002618DA"/>
    <w:rsid w:val="00261B88"/>
    <w:rsid w:val="00262032"/>
    <w:rsid w:val="002624A6"/>
    <w:rsid w:val="00262817"/>
    <w:rsid w:val="00262AEB"/>
    <w:rsid w:val="00262D7A"/>
    <w:rsid w:val="00263089"/>
    <w:rsid w:val="00263279"/>
    <w:rsid w:val="00263662"/>
    <w:rsid w:val="00263874"/>
    <w:rsid w:val="00263880"/>
    <w:rsid w:val="002638C0"/>
    <w:rsid w:val="002638D9"/>
    <w:rsid w:val="00263F05"/>
    <w:rsid w:val="00263FCD"/>
    <w:rsid w:val="00264082"/>
    <w:rsid w:val="0026433B"/>
    <w:rsid w:val="002643A3"/>
    <w:rsid w:val="002645D0"/>
    <w:rsid w:val="00264AAC"/>
    <w:rsid w:val="00264AB4"/>
    <w:rsid w:val="00264F3B"/>
    <w:rsid w:val="00264FE9"/>
    <w:rsid w:val="00264FEE"/>
    <w:rsid w:val="00265414"/>
    <w:rsid w:val="0026553D"/>
    <w:rsid w:val="002655EC"/>
    <w:rsid w:val="00265777"/>
    <w:rsid w:val="0026580E"/>
    <w:rsid w:val="00265823"/>
    <w:rsid w:val="00265B93"/>
    <w:rsid w:val="00266158"/>
    <w:rsid w:val="00266331"/>
    <w:rsid w:val="002664B1"/>
    <w:rsid w:val="0026679C"/>
    <w:rsid w:val="00266894"/>
    <w:rsid w:val="002668DA"/>
    <w:rsid w:val="00266D01"/>
    <w:rsid w:val="002670C3"/>
    <w:rsid w:val="00267979"/>
    <w:rsid w:val="00267E73"/>
    <w:rsid w:val="002702F0"/>
    <w:rsid w:val="00270659"/>
    <w:rsid w:val="00270857"/>
    <w:rsid w:val="002709D1"/>
    <w:rsid w:val="00270C8B"/>
    <w:rsid w:val="00270F41"/>
    <w:rsid w:val="00270F78"/>
    <w:rsid w:val="0027151B"/>
    <w:rsid w:val="00271631"/>
    <w:rsid w:val="002716A7"/>
    <w:rsid w:val="002718A2"/>
    <w:rsid w:val="00271C0A"/>
    <w:rsid w:val="00271DFF"/>
    <w:rsid w:val="00271E0B"/>
    <w:rsid w:val="00271FB8"/>
    <w:rsid w:val="00271FF0"/>
    <w:rsid w:val="00272074"/>
    <w:rsid w:val="002725F2"/>
    <w:rsid w:val="002726EB"/>
    <w:rsid w:val="00272859"/>
    <w:rsid w:val="00272A92"/>
    <w:rsid w:val="002733B0"/>
    <w:rsid w:val="00273400"/>
    <w:rsid w:val="00273CCB"/>
    <w:rsid w:val="00273DF5"/>
    <w:rsid w:val="00273E19"/>
    <w:rsid w:val="00273FA2"/>
    <w:rsid w:val="00274054"/>
    <w:rsid w:val="00274B26"/>
    <w:rsid w:val="00274C83"/>
    <w:rsid w:val="00274C8E"/>
    <w:rsid w:val="00274EFE"/>
    <w:rsid w:val="00274FE5"/>
    <w:rsid w:val="00275320"/>
    <w:rsid w:val="00275C98"/>
    <w:rsid w:val="00275FBA"/>
    <w:rsid w:val="0027609F"/>
    <w:rsid w:val="0027616E"/>
    <w:rsid w:val="0027622A"/>
    <w:rsid w:val="00276725"/>
    <w:rsid w:val="002768D0"/>
    <w:rsid w:val="002769A6"/>
    <w:rsid w:val="00276B63"/>
    <w:rsid w:val="00276BC3"/>
    <w:rsid w:val="00276D1C"/>
    <w:rsid w:val="00276EFE"/>
    <w:rsid w:val="002770E0"/>
    <w:rsid w:val="00277363"/>
    <w:rsid w:val="002775A7"/>
    <w:rsid w:val="0027764D"/>
    <w:rsid w:val="002778DE"/>
    <w:rsid w:val="00277B4C"/>
    <w:rsid w:val="00277B5B"/>
    <w:rsid w:val="00277E1F"/>
    <w:rsid w:val="0028005D"/>
    <w:rsid w:val="0028055A"/>
    <w:rsid w:val="00280C19"/>
    <w:rsid w:val="00280E28"/>
    <w:rsid w:val="00281218"/>
    <w:rsid w:val="0028121C"/>
    <w:rsid w:val="00281257"/>
    <w:rsid w:val="00281847"/>
    <w:rsid w:val="002818B0"/>
    <w:rsid w:val="0028197B"/>
    <w:rsid w:val="00281B39"/>
    <w:rsid w:val="00281B89"/>
    <w:rsid w:val="00281BF1"/>
    <w:rsid w:val="00281EA6"/>
    <w:rsid w:val="00281FF4"/>
    <w:rsid w:val="00282076"/>
    <w:rsid w:val="0028242B"/>
    <w:rsid w:val="002825FF"/>
    <w:rsid w:val="00282682"/>
    <w:rsid w:val="0028269E"/>
    <w:rsid w:val="0028274B"/>
    <w:rsid w:val="002827EC"/>
    <w:rsid w:val="00282822"/>
    <w:rsid w:val="00282B54"/>
    <w:rsid w:val="00282CB2"/>
    <w:rsid w:val="00282DA5"/>
    <w:rsid w:val="00283052"/>
    <w:rsid w:val="00283529"/>
    <w:rsid w:val="00283694"/>
    <w:rsid w:val="00283D63"/>
    <w:rsid w:val="0028459D"/>
    <w:rsid w:val="002847AE"/>
    <w:rsid w:val="002847F4"/>
    <w:rsid w:val="00284A25"/>
    <w:rsid w:val="00284D56"/>
    <w:rsid w:val="002856B4"/>
    <w:rsid w:val="00285912"/>
    <w:rsid w:val="00285A9B"/>
    <w:rsid w:val="00285C1F"/>
    <w:rsid w:val="00285C61"/>
    <w:rsid w:val="002860C7"/>
    <w:rsid w:val="00286108"/>
    <w:rsid w:val="0028623B"/>
    <w:rsid w:val="002865DE"/>
    <w:rsid w:val="00286993"/>
    <w:rsid w:val="00286996"/>
    <w:rsid w:val="00286C08"/>
    <w:rsid w:val="00286FDA"/>
    <w:rsid w:val="00287020"/>
    <w:rsid w:val="0028752E"/>
    <w:rsid w:val="002875E1"/>
    <w:rsid w:val="0028784C"/>
    <w:rsid w:val="00287B3D"/>
    <w:rsid w:val="00287E4C"/>
    <w:rsid w:val="0029087F"/>
    <w:rsid w:val="00290C19"/>
    <w:rsid w:val="00290EE4"/>
    <w:rsid w:val="00291182"/>
    <w:rsid w:val="0029118C"/>
    <w:rsid w:val="00291563"/>
    <w:rsid w:val="00291571"/>
    <w:rsid w:val="00291595"/>
    <w:rsid w:val="00291732"/>
    <w:rsid w:val="002919E6"/>
    <w:rsid w:val="00291C51"/>
    <w:rsid w:val="00291E8A"/>
    <w:rsid w:val="00291EF7"/>
    <w:rsid w:val="00292045"/>
    <w:rsid w:val="002923FC"/>
    <w:rsid w:val="002926AB"/>
    <w:rsid w:val="002926F3"/>
    <w:rsid w:val="002928FE"/>
    <w:rsid w:val="00292A60"/>
    <w:rsid w:val="00292B81"/>
    <w:rsid w:val="00293223"/>
    <w:rsid w:val="002937A6"/>
    <w:rsid w:val="002937BE"/>
    <w:rsid w:val="002938E5"/>
    <w:rsid w:val="00293986"/>
    <w:rsid w:val="00293D72"/>
    <w:rsid w:val="00293E9E"/>
    <w:rsid w:val="00293F3F"/>
    <w:rsid w:val="00294304"/>
    <w:rsid w:val="002943F3"/>
    <w:rsid w:val="0029445C"/>
    <w:rsid w:val="0029446D"/>
    <w:rsid w:val="002945B2"/>
    <w:rsid w:val="002945F6"/>
    <w:rsid w:val="002947E0"/>
    <w:rsid w:val="00294E27"/>
    <w:rsid w:val="0029507F"/>
    <w:rsid w:val="002951D9"/>
    <w:rsid w:val="00295212"/>
    <w:rsid w:val="002953EB"/>
    <w:rsid w:val="0029548A"/>
    <w:rsid w:val="00295539"/>
    <w:rsid w:val="0029570F"/>
    <w:rsid w:val="0029571F"/>
    <w:rsid w:val="00295EAC"/>
    <w:rsid w:val="00295FF6"/>
    <w:rsid w:val="002962DF"/>
    <w:rsid w:val="00296716"/>
    <w:rsid w:val="00296B6D"/>
    <w:rsid w:val="00296C7E"/>
    <w:rsid w:val="00296CA0"/>
    <w:rsid w:val="002971B4"/>
    <w:rsid w:val="00297586"/>
    <w:rsid w:val="00297598"/>
    <w:rsid w:val="0029779C"/>
    <w:rsid w:val="002979E3"/>
    <w:rsid w:val="00297AB0"/>
    <w:rsid w:val="00297E71"/>
    <w:rsid w:val="00297EB7"/>
    <w:rsid w:val="002A00A7"/>
    <w:rsid w:val="002A02B8"/>
    <w:rsid w:val="002A057D"/>
    <w:rsid w:val="002A066D"/>
    <w:rsid w:val="002A07A7"/>
    <w:rsid w:val="002A08DD"/>
    <w:rsid w:val="002A0944"/>
    <w:rsid w:val="002A0AD9"/>
    <w:rsid w:val="002A0B2C"/>
    <w:rsid w:val="002A0B79"/>
    <w:rsid w:val="002A0B9C"/>
    <w:rsid w:val="002A0C78"/>
    <w:rsid w:val="002A0D72"/>
    <w:rsid w:val="002A0DCD"/>
    <w:rsid w:val="002A1782"/>
    <w:rsid w:val="002A1871"/>
    <w:rsid w:val="002A1A48"/>
    <w:rsid w:val="002A1B32"/>
    <w:rsid w:val="002A1D3E"/>
    <w:rsid w:val="002A1DE4"/>
    <w:rsid w:val="002A2028"/>
    <w:rsid w:val="002A207F"/>
    <w:rsid w:val="002A2088"/>
    <w:rsid w:val="002A2173"/>
    <w:rsid w:val="002A251B"/>
    <w:rsid w:val="002A255F"/>
    <w:rsid w:val="002A2A6E"/>
    <w:rsid w:val="002A2A75"/>
    <w:rsid w:val="002A2AFC"/>
    <w:rsid w:val="002A305C"/>
    <w:rsid w:val="002A3081"/>
    <w:rsid w:val="002A32B1"/>
    <w:rsid w:val="002A32B9"/>
    <w:rsid w:val="002A3A85"/>
    <w:rsid w:val="002A3F63"/>
    <w:rsid w:val="002A40AF"/>
    <w:rsid w:val="002A41E1"/>
    <w:rsid w:val="002A41FB"/>
    <w:rsid w:val="002A4A4B"/>
    <w:rsid w:val="002A52C5"/>
    <w:rsid w:val="002A5311"/>
    <w:rsid w:val="002A53E9"/>
    <w:rsid w:val="002A5408"/>
    <w:rsid w:val="002A577D"/>
    <w:rsid w:val="002A57AA"/>
    <w:rsid w:val="002A5B18"/>
    <w:rsid w:val="002A5B86"/>
    <w:rsid w:val="002A5C87"/>
    <w:rsid w:val="002A5CDC"/>
    <w:rsid w:val="002A5E5F"/>
    <w:rsid w:val="002A6347"/>
    <w:rsid w:val="002A6545"/>
    <w:rsid w:val="002A66BF"/>
    <w:rsid w:val="002A676D"/>
    <w:rsid w:val="002A6C82"/>
    <w:rsid w:val="002A6CA0"/>
    <w:rsid w:val="002A6CFF"/>
    <w:rsid w:val="002A6D00"/>
    <w:rsid w:val="002A711B"/>
    <w:rsid w:val="002A7220"/>
    <w:rsid w:val="002A7277"/>
    <w:rsid w:val="002A72E5"/>
    <w:rsid w:val="002A748C"/>
    <w:rsid w:val="002A7597"/>
    <w:rsid w:val="002A75A7"/>
    <w:rsid w:val="002A77E0"/>
    <w:rsid w:val="002A7857"/>
    <w:rsid w:val="002A7B71"/>
    <w:rsid w:val="002A7BAC"/>
    <w:rsid w:val="002A7CEC"/>
    <w:rsid w:val="002A7F1D"/>
    <w:rsid w:val="002B0780"/>
    <w:rsid w:val="002B084F"/>
    <w:rsid w:val="002B0B90"/>
    <w:rsid w:val="002B11E3"/>
    <w:rsid w:val="002B1221"/>
    <w:rsid w:val="002B1706"/>
    <w:rsid w:val="002B18D6"/>
    <w:rsid w:val="002B1BBC"/>
    <w:rsid w:val="002B1EA9"/>
    <w:rsid w:val="002B1F60"/>
    <w:rsid w:val="002B20F7"/>
    <w:rsid w:val="002B2254"/>
    <w:rsid w:val="002B2733"/>
    <w:rsid w:val="002B2B90"/>
    <w:rsid w:val="002B2C52"/>
    <w:rsid w:val="002B3549"/>
    <w:rsid w:val="002B39FD"/>
    <w:rsid w:val="002B3A62"/>
    <w:rsid w:val="002B3B0F"/>
    <w:rsid w:val="002B3B28"/>
    <w:rsid w:val="002B3BA9"/>
    <w:rsid w:val="002B43AA"/>
    <w:rsid w:val="002B459E"/>
    <w:rsid w:val="002B4621"/>
    <w:rsid w:val="002B4A76"/>
    <w:rsid w:val="002B4E0C"/>
    <w:rsid w:val="002B4F14"/>
    <w:rsid w:val="002B51FD"/>
    <w:rsid w:val="002B5207"/>
    <w:rsid w:val="002B576C"/>
    <w:rsid w:val="002B5C75"/>
    <w:rsid w:val="002B5D06"/>
    <w:rsid w:val="002B685B"/>
    <w:rsid w:val="002B68C4"/>
    <w:rsid w:val="002B75C4"/>
    <w:rsid w:val="002B7866"/>
    <w:rsid w:val="002B78AB"/>
    <w:rsid w:val="002B7962"/>
    <w:rsid w:val="002B7B81"/>
    <w:rsid w:val="002B7C58"/>
    <w:rsid w:val="002B7F29"/>
    <w:rsid w:val="002C0165"/>
    <w:rsid w:val="002C01CA"/>
    <w:rsid w:val="002C0215"/>
    <w:rsid w:val="002C0460"/>
    <w:rsid w:val="002C05A3"/>
    <w:rsid w:val="002C0637"/>
    <w:rsid w:val="002C0745"/>
    <w:rsid w:val="002C07E0"/>
    <w:rsid w:val="002C0912"/>
    <w:rsid w:val="002C1304"/>
    <w:rsid w:val="002C1533"/>
    <w:rsid w:val="002C1BA0"/>
    <w:rsid w:val="002C1C56"/>
    <w:rsid w:val="002C1CF2"/>
    <w:rsid w:val="002C1DC5"/>
    <w:rsid w:val="002C23FB"/>
    <w:rsid w:val="002C25EB"/>
    <w:rsid w:val="002C2891"/>
    <w:rsid w:val="002C29EE"/>
    <w:rsid w:val="002C301E"/>
    <w:rsid w:val="002C3416"/>
    <w:rsid w:val="002C346B"/>
    <w:rsid w:val="002C37C0"/>
    <w:rsid w:val="002C3835"/>
    <w:rsid w:val="002C38F8"/>
    <w:rsid w:val="002C39AC"/>
    <w:rsid w:val="002C39FC"/>
    <w:rsid w:val="002C3ABE"/>
    <w:rsid w:val="002C3B38"/>
    <w:rsid w:val="002C3C4B"/>
    <w:rsid w:val="002C3ECD"/>
    <w:rsid w:val="002C415B"/>
    <w:rsid w:val="002C4476"/>
    <w:rsid w:val="002C44A6"/>
    <w:rsid w:val="002C504D"/>
    <w:rsid w:val="002C5194"/>
    <w:rsid w:val="002C53EA"/>
    <w:rsid w:val="002C54FC"/>
    <w:rsid w:val="002C573E"/>
    <w:rsid w:val="002C5764"/>
    <w:rsid w:val="002C5B74"/>
    <w:rsid w:val="002C5BA3"/>
    <w:rsid w:val="002C5FA6"/>
    <w:rsid w:val="002C647E"/>
    <w:rsid w:val="002C649E"/>
    <w:rsid w:val="002C65A6"/>
    <w:rsid w:val="002C6649"/>
    <w:rsid w:val="002C6721"/>
    <w:rsid w:val="002C690C"/>
    <w:rsid w:val="002C6C35"/>
    <w:rsid w:val="002C6D49"/>
    <w:rsid w:val="002C6FEF"/>
    <w:rsid w:val="002C7132"/>
    <w:rsid w:val="002C7300"/>
    <w:rsid w:val="002C75D8"/>
    <w:rsid w:val="002C764D"/>
    <w:rsid w:val="002C76F1"/>
    <w:rsid w:val="002C7A1E"/>
    <w:rsid w:val="002C7AC2"/>
    <w:rsid w:val="002D05B9"/>
    <w:rsid w:val="002D08EE"/>
    <w:rsid w:val="002D097C"/>
    <w:rsid w:val="002D0B66"/>
    <w:rsid w:val="002D0D84"/>
    <w:rsid w:val="002D0D85"/>
    <w:rsid w:val="002D12D1"/>
    <w:rsid w:val="002D13AF"/>
    <w:rsid w:val="002D14B3"/>
    <w:rsid w:val="002D1D13"/>
    <w:rsid w:val="002D1D52"/>
    <w:rsid w:val="002D1EC1"/>
    <w:rsid w:val="002D1F46"/>
    <w:rsid w:val="002D232A"/>
    <w:rsid w:val="002D2493"/>
    <w:rsid w:val="002D2552"/>
    <w:rsid w:val="002D2595"/>
    <w:rsid w:val="002D2607"/>
    <w:rsid w:val="002D2A82"/>
    <w:rsid w:val="002D2E99"/>
    <w:rsid w:val="002D2F80"/>
    <w:rsid w:val="002D329B"/>
    <w:rsid w:val="002D3612"/>
    <w:rsid w:val="002D374E"/>
    <w:rsid w:val="002D37B4"/>
    <w:rsid w:val="002D3B77"/>
    <w:rsid w:val="002D3C9D"/>
    <w:rsid w:val="002D3F85"/>
    <w:rsid w:val="002D4427"/>
    <w:rsid w:val="002D4544"/>
    <w:rsid w:val="002D4596"/>
    <w:rsid w:val="002D478D"/>
    <w:rsid w:val="002D48D1"/>
    <w:rsid w:val="002D51AD"/>
    <w:rsid w:val="002D51FF"/>
    <w:rsid w:val="002D55A3"/>
    <w:rsid w:val="002D56B6"/>
    <w:rsid w:val="002D5C6A"/>
    <w:rsid w:val="002D5EC6"/>
    <w:rsid w:val="002D5F44"/>
    <w:rsid w:val="002D5F7F"/>
    <w:rsid w:val="002D64F7"/>
    <w:rsid w:val="002D6760"/>
    <w:rsid w:val="002D681B"/>
    <w:rsid w:val="002D69AF"/>
    <w:rsid w:val="002D6EF6"/>
    <w:rsid w:val="002D7386"/>
    <w:rsid w:val="002D7A0B"/>
    <w:rsid w:val="002D7A3A"/>
    <w:rsid w:val="002D7AD8"/>
    <w:rsid w:val="002D7C48"/>
    <w:rsid w:val="002E0186"/>
    <w:rsid w:val="002E02F7"/>
    <w:rsid w:val="002E0347"/>
    <w:rsid w:val="002E0585"/>
    <w:rsid w:val="002E08EF"/>
    <w:rsid w:val="002E0B6D"/>
    <w:rsid w:val="002E0C12"/>
    <w:rsid w:val="002E1215"/>
    <w:rsid w:val="002E12F1"/>
    <w:rsid w:val="002E176C"/>
    <w:rsid w:val="002E1A78"/>
    <w:rsid w:val="002E1BC6"/>
    <w:rsid w:val="002E246D"/>
    <w:rsid w:val="002E27DD"/>
    <w:rsid w:val="002E2836"/>
    <w:rsid w:val="002E29F1"/>
    <w:rsid w:val="002E2B99"/>
    <w:rsid w:val="002E3231"/>
    <w:rsid w:val="002E34E5"/>
    <w:rsid w:val="002E3553"/>
    <w:rsid w:val="002E3706"/>
    <w:rsid w:val="002E370C"/>
    <w:rsid w:val="002E3F4B"/>
    <w:rsid w:val="002E40FD"/>
    <w:rsid w:val="002E41AD"/>
    <w:rsid w:val="002E43C9"/>
    <w:rsid w:val="002E5389"/>
    <w:rsid w:val="002E5504"/>
    <w:rsid w:val="002E5516"/>
    <w:rsid w:val="002E56B4"/>
    <w:rsid w:val="002E5819"/>
    <w:rsid w:val="002E598C"/>
    <w:rsid w:val="002E5A4B"/>
    <w:rsid w:val="002E5A54"/>
    <w:rsid w:val="002E5A5A"/>
    <w:rsid w:val="002E5C77"/>
    <w:rsid w:val="002E5DAA"/>
    <w:rsid w:val="002E5E4D"/>
    <w:rsid w:val="002E5E86"/>
    <w:rsid w:val="002E5FFB"/>
    <w:rsid w:val="002E62D0"/>
    <w:rsid w:val="002E63BD"/>
    <w:rsid w:val="002E650B"/>
    <w:rsid w:val="002E66D3"/>
    <w:rsid w:val="002E690A"/>
    <w:rsid w:val="002E6FBF"/>
    <w:rsid w:val="002E7699"/>
    <w:rsid w:val="002E77EF"/>
    <w:rsid w:val="002E7D2B"/>
    <w:rsid w:val="002E7D34"/>
    <w:rsid w:val="002E7DD9"/>
    <w:rsid w:val="002E7ECC"/>
    <w:rsid w:val="002F0212"/>
    <w:rsid w:val="002F0387"/>
    <w:rsid w:val="002F046A"/>
    <w:rsid w:val="002F0631"/>
    <w:rsid w:val="002F099E"/>
    <w:rsid w:val="002F0A83"/>
    <w:rsid w:val="002F0C7B"/>
    <w:rsid w:val="002F0C99"/>
    <w:rsid w:val="002F0D02"/>
    <w:rsid w:val="002F0D40"/>
    <w:rsid w:val="002F0D46"/>
    <w:rsid w:val="002F10D9"/>
    <w:rsid w:val="002F118C"/>
    <w:rsid w:val="002F1788"/>
    <w:rsid w:val="002F1A10"/>
    <w:rsid w:val="002F1F9C"/>
    <w:rsid w:val="002F1FEC"/>
    <w:rsid w:val="002F20DB"/>
    <w:rsid w:val="002F2355"/>
    <w:rsid w:val="002F2377"/>
    <w:rsid w:val="002F23EE"/>
    <w:rsid w:val="002F25CF"/>
    <w:rsid w:val="002F25FC"/>
    <w:rsid w:val="002F26DC"/>
    <w:rsid w:val="002F2989"/>
    <w:rsid w:val="002F2A80"/>
    <w:rsid w:val="002F2B46"/>
    <w:rsid w:val="002F2E73"/>
    <w:rsid w:val="002F2EF9"/>
    <w:rsid w:val="002F302D"/>
    <w:rsid w:val="002F3292"/>
    <w:rsid w:val="002F3B69"/>
    <w:rsid w:val="002F3E9C"/>
    <w:rsid w:val="002F4171"/>
    <w:rsid w:val="002F44E2"/>
    <w:rsid w:val="002F4689"/>
    <w:rsid w:val="002F4738"/>
    <w:rsid w:val="002F48E7"/>
    <w:rsid w:val="002F4A6A"/>
    <w:rsid w:val="002F4BC2"/>
    <w:rsid w:val="002F4BDB"/>
    <w:rsid w:val="002F4CEF"/>
    <w:rsid w:val="002F4D22"/>
    <w:rsid w:val="002F4D4C"/>
    <w:rsid w:val="002F4DC4"/>
    <w:rsid w:val="002F5490"/>
    <w:rsid w:val="002F5502"/>
    <w:rsid w:val="002F5EC6"/>
    <w:rsid w:val="002F60F7"/>
    <w:rsid w:val="002F62A8"/>
    <w:rsid w:val="002F63BA"/>
    <w:rsid w:val="002F63C4"/>
    <w:rsid w:val="002F691D"/>
    <w:rsid w:val="002F6B95"/>
    <w:rsid w:val="002F6D39"/>
    <w:rsid w:val="002F6E04"/>
    <w:rsid w:val="002F6E9A"/>
    <w:rsid w:val="002F6F46"/>
    <w:rsid w:val="002F7734"/>
    <w:rsid w:val="002F77BF"/>
    <w:rsid w:val="002F7A4D"/>
    <w:rsid w:val="002F7BAF"/>
    <w:rsid w:val="002F7D11"/>
    <w:rsid w:val="002F7F56"/>
    <w:rsid w:val="00300172"/>
    <w:rsid w:val="0030070B"/>
    <w:rsid w:val="00300A91"/>
    <w:rsid w:val="00300AE8"/>
    <w:rsid w:val="00300B0C"/>
    <w:rsid w:val="00300BA8"/>
    <w:rsid w:val="00300ED8"/>
    <w:rsid w:val="00300FAF"/>
    <w:rsid w:val="003012B0"/>
    <w:rsid w:val="003013C9"/>
    <w:rsid w:val="00301622"/>
    <w:rsid w:val="00301840"/>
    <w:rsid w:val="00301A2D"/>
    <w:rsid w:val="00301A2F"/>
    <w:rsid w:val="00301AB7"/>
    <w:rsid w:val="00301BEF"/>
    <w:rsid w:val="00301D01"/>
    <w:rsid w:val="00301D7E"/>
    <w:rsid w:val="00301ECD"/>
    <w:rsid w:val="003020BC"/>
    <w:rsid w:val="0030271A"/>
    <w:rsid w:val="003027F5"/>
    <w:rsid w:val="00302A69"/>
    <w:rsid w:val="00302D96"/>
    <w:rsid w:val="00302DCC"/>
    <w:rsid w:val="003030BA"/>
    <w:rsid w:val="00303212"/>
    <w:rsid w:val="003032A9"/>
    <w:rsid w:val="003037D4"/>
    <w:rsid w:val="00303991"/>
    <w:rsid w:val="00303A0D"/>
    <w:rsid w:val="003040C5"/>
    <w:rsid w:val="00304196"/>
    <w:rsid w:val="003042F7"/>
    <w:rsid w:val="00304508"/>
    <w:rsid w:val="0030470F"/>
    <w:rsid w:val="003050FC"/>
    <w:rsid w:val="00305386"/>
    <w:rsid w:val="00305715"/>
    <w:rsid w:val="00305BD0"/>
    <w:rsid w:val="00305C7D"/>
    <w:rsid w:val="00305EAA"/>
    <w:rsid w:val="00306282"/>
    <w:rsid w:val="003064C4"/>
    <w:rsid w:val="003064F5"/>
    <w:rsid w:val="0030650A"/>
    <w:rsid w:val="00306598"/>
    <w:rsid w:val="003069D6"/>
    <w:rsid w:val="00306D15"/>
    <w:rsid w:val="00306D8D"/>
    <w:rsid w:val="00306EAB"/>
    <w:rsid w:val="003070FE"/>
    <w:rsid w:val="003072AC"/>
    <w:rsid w:val="003072F2"/>
    <w:rsid w:val="00307377"/>
    <w:rsid w:val="003074D9"/>
    <w:rsid w:val="0030770E"/>
    <w:rsid w:val="00307B7A"/>
    <w:rsid w:val="00307D8C"/>
    <w:rsid w:val="00307EA0"/>
    <w:rsid w:val="00307EEE"/>
    <w:rsid w:val="00310099"/>
    <w:rsid w:val="0031016C"/>
    <w:rsid w:val="00310274"/>
    <w:rsid w:val="0031053D"/>
    <w:rsid w:val="00310795"/>
    <w:rsid w:val="003108BD"/>
    <w:rsid w:val="003108CE"/>
    <w:rsid w:val="00310BA8"/>
    <w:rsid w:val="00310D0D"/>
    <w:rsid w:val="003112CF"/>
    <w:rsid w:val="00311702"/>
    <w:rsid w:val="00311775"/>
    <w:rsid w:val="003119A2"/>
    <w:rsid w:val="00311A45"/>
    <w:rsid w:val="00311B57"/>
    <w:rsid w:val="00311BB3"/>
    <w:rsid w:val="00311CF8"/>
    <w:rsid w:val="003120CA"/>
    <w:rsid w:val="00312846"/>
    <w:rsid w:val="0031295B"/>
    <w:rsid w:val="00312AF2"/>
    <w:rsid w:val="003132C6"/>
    <w:rsid w:val="00313561"/>
    <w:rsid w:val="0031366B"/>
    <w:rsid w:val="0031374B"/>
    <w:rsid w:val="003138AB"/>
    <w:rsid w:val="00313A93"/>
    <w:rsid w:val="00313AF2"/>
    <w:rsid w:val="00313B59"/>
    <w:rsid w:val="00314528"/>
    <w:rsid w:val="003145B7"/>
    <w:rsid w:val="00314A40"/>
    <w:rsid w:val="00314C38"/>
    <w:rsid w:val="00314C43"/>
    <w:rsid w:val="003154C4"/>
    <w:rsid w:val="00315B19"/>
    <w:rsid w:val="00315B9C"/>
    <w:rsid w:val="00315DDC"/>
    <w:rsid w:val="00315EF3"/>
    <w:rsid w:val="00315F16"/>
    <w:rsid w:val="003160FA"/>
    <w:rsid w:val="00316268"/>
    <w:rsid w:val="00316696"/>
    <w:rsid w:val="00316C1B"/>
    <w:rsid w:val="00316D61"/>
    <w:rsid w:val="00316E76"/>
    <w:rsid w:val="00316E9C"/>
    <w:rsid w:val="00316EB7"/>
    <w:rsid w:val="00316FC7"/>
    <w:rsid w:val="0031706F"/>
    <w:rsid w:val="00317147"/>
    <w:rsid w:val="00317364"/>
    <w:rsid w:val="003178BB"/>
    <w:rsid w:val="00317A98"/>
    <w:rsid w:val="00317E0E"/>
    <w:rsid w:val="00317E79"/>
    <w:rsid w:val="003200EB"/>
    <w:rsid w:val="003203A8"/>
    <w:rsid w:val="003205E8"/>
    <w:rsid w:val="00320A9D"/>
    <w:rsid w:val="00320CC5"/>
    <w:rsid w:val="00320F58"/>
    <w:rsid w:val="00321007"/>
    <w:rsid w:val="00321072"/>
    <w:rsid w:val="00321295"/>
    <w:rsid w:val="003212A0"/>
    <w:rsid w:val="003214B9"/>
    <w:rsid w:val="0032151D"/>
    <w:rsid w:val="003215AD"/>
    <w:rsid w:val="00321BDA"/>
    <w:rsid w:val="00321BE4"/>
    <w:rsid w:val="00321D26"/>
    <w:rsid w:val="00321FC0"/>
    <w:rsid w:val="003220B7"/>
    <w:rsid w:val="003220DF"/>
    <w:rsid w:val="0032216E"/>
    <w:rsid w:val="00322340"/>
    <w:rsid w:val="0032234A"/>
    <w:rsid w:val="003223A3"/>
    <w:rsid w:val="003223D4"/>
    <w:rsid w:val="003225E9"/>
    <w:rsid w:val="0032269F"/>
    <w:rsid w:val="00322700"/>
    <w:rsid w:val="0032280B"/>
    <w:rsid w:val="0032297A"/>
    <w:rsid w:val="003231BF"/>
    <w:rsid w:val="00323238"/>
    <w:rsid w:val="00323470"/>
    <w:rsid w:val="003236A6"/>
    <w:rsid w:val="003239EF"/>
    <w:rsid w:val="00323A96"/>
    <w:rsid w:val="00323AF1"/>
    <w:rsid w:val="00323BB3"/>
    <w:rsid w:val="00323CC1"/>
    <w:rsid w:val="00324354"/>
    <w:rsid w:val="003246AF"/>
    <w:rsid w:val="003246E7"/>
    <w:rsid w:val="00324727"/>
    <w:rsid w:val="00324BF0"/>
    <w:rsid w:val="00324C69"/>
    <w:rsid w:val="00324CCC"/>
    <w:rsid w:val="00324F2F"/>
    <w:rsid w:val="00325382"/>
    <w:rsid w:val="00325489"/>
    <w:rsid w:val="00325C7E"/>
    <w:rsid w:val="00325DCF"/>
    <w:rsid w:val="00325DE7"/>
    <w:rsid w:val="0032613E"/>
    <w:rsid w:val="00326181"/>
    <w:rsid w:val="00326184"/>
    <w:rsid w:val="00326243"/>
    <w:rsid w:val="0032649D"/>
    <w:rsid w:val="00326572"/>
    <w:rsid w:val="003265F9"/>
    <w:rsid w:val="0032669C"/>
    <w:rsid w:val="00326F48"/>
    <w:rsid w:val="00327163"/>
    <w:rsid w:val="0032718D"/>
    <w:rsid w:val="0032725E"/>
    <w:rsid w:val="0032755A"/>
    <w:rsid w:val="003275FC"/>
    <w:rsid w:val="00327786"/>
    <w:rsid w:val="00327995"/>
    <w:rsid w:val="0032799F"/>
    <w:rsid w:val="00327B59"/>
    <w:rsid w:val="00327B7D"/>
    <w:rsid w:val="00327C48"/>
    <w:rsid w:val="00330067"/>
    <w:rsid w:val="003303EF"/>
    <w:rsid w:val="00330876"/>
    <w:rsid w:val="00330899"/>
    <w:rsid w:val="00330A0C"/>
    <w:rsid w:val="00330BC8"/>
    <w:rsid w:val="00330C4F"/>
    <w:rsid w:val="003310BE"/>
    <w:rsid w:val="00331480"/>
    <w:rsid w:val="0033153D"/>
    <w:rsid w:val="00331950"/>
    <w:rsid w:val="00331B38"/>
    <w:rsid w:val="00332477"/>
    <w:rsid w:val="003324B8"/>
    <w:rsid w:val="003325B2"/>
    <w:rsid w:val="003325EE"/>
    <w:rsid w:val="003327AB"/>
    <w:rsid w:val="00332AEF"/>
    <w:rsid w:val="00332C94"/>
    <w:rsid w:val="00332E2A"/>
    <w:rsid w:val="00332F56"/>
    <w:rsid w:val="00333015"/>
    <w:rsid w:val="003331EC"/>
    <w:rsid w:val="00333372"/>
    <w:rsid w:val="003335A3"/>
    <w:rsid w:val="0033366C"/>
    <w:rsid w:val="00333B11"/>
    <w:rsid w:val="00333C91"/>
    <w:rsid w:val="00333D3B"/>
    <w:rsid w:val="0033407A"/>
    <w:rsid w:val="0033407D"/>
    <w:rsid w:val="0033424D"/>
    <w:rsid w:val="00334743"/>
    <w:rsid w:val="00334944"/>
    <w:rsid w:val="003349F9"/>
    <w:rsid w:val="00334A8C"/>
    <w:rsid w:val="00334E69"/>
    <w:rsid w:val="00335315"/>
    <w:rsid w:val="00335318"/>
    <w:rsid w:val="003354FB"/>
    <w:rsid w:val="003359DE"/>
    <w:rsid w:val="00335A39"/>
    <w:rsid w:val="00335C43"/>
    <w:rsid w:val="00335F49"/>
    <w:rsid w:val="0033606B"/>
    <w:rsid w:val="00336385"/>
    <w:rsid w:val="0033644E"/>
    <w:rsid w:val="003364E6"/>
    <w:rsid w:val="0033670B"/>
    <w:rsid w:val="003369DD"/>
    <w:rsid w:val="003370B7"/>
    <w:rsid w:val="0033714C"/>
    <w:rsid w:val="003371C3"/>
    <w:rsid w:val="003373E4"/>
    <w:rsid w:val="0033745A"/>
    <w:rsid w:val="003374B9"/>
    <w:rsid w:val="00337B74"/>
    <w:rsid w:val="00337BD6"/>
    <w:rsid w:val="00337E4E"/>
    <w:rsid w:val="00337E87"/>
    <w:rsid w:val="003406BA"/>
    <w:rsid w:val="00340761"/>
    <w:rsid w:val="003408DC"/>
    <w:rsid w:val="00340A41"/>
    <w:rsid w:val="00340E44"/>
    <w:rsid w:val="00341011"/>
    <w:rsid w:val="0034126E"/>
    <w:rsid w:val="00341404"/>
    <w:rsid w:val="0034170B"/>
    <w:rsid w:val="00341843"/>
    <w:rsid w:val="00341C93"/>
    <w:rsid w:val="00341DC4"/>
    <w:rsid w:val="00341F8F"/>
    <w:rsid w:val="0034238B"/>
    <w:rsid w:val="00342989"/>
    <w:rsid w:val="00342B93"/>
    <w:rsid w:val="00342DCA"/>
    <w:rsid w:val="00343105"/>
    <w:rsid w:val="003432EA"/>
    <w:rsid w:val="003432F7"/>
    <w:rsid w:val="003435E7"/>
    <w:rsid w:val="00343AC3"/>
    <w:rsid w:val="00343C19"/>
    <w:rsid w:val="00343E6B"/>
    <w:rsid w:val="003443BA"/>
    <w:rsid w:val="0034486C"/>
    <w:rsid w:val="003449B8"/>
    <w:rsid w:val="00344D4A"/>
    <w:rsid w:val="00344EEE"/>
    <w:rsid w:val="00344FD2"/>
    <w:rsid w:val="00345004"/>
    <w:rsid w:val="0034500D"/>
    <w:rsid w:val="003450B7"/>
    <w:rsid w:val="00345168"/>
    <w:rsid w:val="003451DD"/>
    <w:rsid w:val="00345266"/>
    <w:rsid w:val="003456C5"/>
    <w:rsid w:val="003457DE"/>
    <w:rsid w:val="00345ADB"/>
    <w:rsid w:val="00345B76"/>
    <w:rsid w:val="00345CB9"/>
    <w:rsid w:val="00345FEC"/>
    <w:rsid w:val="0034606D"/>
    <w:rsid w:val="00346115"/>
    <w:rsid w:val="003463A7"/>
    <w:rsid w:val="003465BE"/>
    <w:rsid w:val="003465DE"/>
    <w:rsid w:val="003469C5"/>
    <w:rsid w:val="00346F66"/>
    <w:rsid w:val="00347034"/>
    <w:rsid w:val="0034715C"/>
    <w:rsid w:val="003472BC"/>
    <w:rsid w:val="00347611"/>
    <w:rsid w:val="00347952"/>
    <w:rsid w:val="00347B42"/>
    <w:rsid w:val="00347D49"/>
    <w:rsid w:val="00347F4F"/>
    <w:rsid w:val="003505CA"/>
    <w:rsid w:val="0035084E"/>
    <w:rsid w:val="00350AE6"/>
    <w:rsid w:val="00350CAA"/>
    <w:rsid w:val="00350E1F"/>
    <w:rsid w:val="0035104D"/>
    <w:rsid w:val="00351139"/>
    <w:rsid w:val="00351158"/>
    <w:rsid w:val="00351399"/>
    <w:rsid w:val="00351581"/>
    <w:rsid w:val="003518AB"/>
    <w:rsid w:val="00351902"/>
    <w:rsid w:val="00351E16"/>
    <w:rsid w:val="00351F2C"/>
    <w:rsid w:val="003521FE"/>
    <w:rsid w:val="00352426"/>
    <w:rsid w:val="003529FB"/>
    <w:rsid w:val="00352C42"/>
    <w:rsid w:val="003535DD"/>
    <w:rsid w:val="003537C7"/>
    <w:rsid w:val="003537EB"/>
    <w:rsid w:val="00353BFA"/>
    <w:rsid w:val="00353D08"/>
    <w:rsid w:val="00354008"/>
    <w:rsid w:val="003540E2"/>
    <w:rsid w:val="00354217"/>
    <w:rsid w:val="00354514"/>
    <w:rsid w:val="00354568"/>
    <w:rsid w:val="00354854"/>
    <w:rsid w:val="0035508C"/>
    <w:rsid w:val="0035514C"/>
    <w:rsid w:val="003551BA"/>
    <w:rsid w:val="00355242"/>
    <w:rsid w:val="0035530C"/>
    <w:rsid w:val="00355534"/>
    <w:rsid w:val="00355683"/>
    <w:rsid w:val="003556EF"/>
    <w:rsid w:val="00355DA4"/>
    <w:rsid w:val="00355FA9"/>
    <w:rsid w:val="00356236"/>
    <w:rsid w:val="00356385"/>
    <w:rsid w:val="00356395"/>
    <w:rsid w:val="00356403"/>
    <w:rsid w:val="00356837"/>
    <w:rsid w:val="00356A29"/>
    <w:rsid w:val="00356A92"/>
    <w:rsid w:val="00356D74"/>
    <w:rsid w:val="00356ED8"/>
    <w:rsid w:val="00356FA8"/>
    <w:rsid w:val="00357033"/>
    <w:rsid w:val="003575BA"/>
    <w:rsid w:val="00357631"/>
    <w:rsid w:val="003577B4"/>
    <w:rsid w:val="00357931"/>
    <w:rsid w:val="00357936"/>
    <w:rsid w:val="00357CD9"/>
    <w:rsid w:val="00357E3A"/>
    <w:rsid w:val="00360391"/>
    <w:rsid w:val="00360396"/>
    <w:rsid w:val="00360959"/>
    <w:rsid w:val="00360B1A"/>
    <w:rsid w:val="00360DF3"/>
    <w:rsid w:val="00360EE7"/>
    <w:rsid w:val="00360EF0"/>
    <w:rsid w:val="003613C1"/>
    <w:rsid w:val="003613DE"/>
    <w:rsid w:val="00361618"/>
    <w:rsid w:val="003617FF"/>
    <w:rsid w:val="00361A1C"/>
    <w:rsid w:val="00362234"/>
    <w:rsid w:val="003624A7"/>
    <w:rsid w:val="003626A0"/>
    <w:rsid w:val="003626D0"/>
    <w:rsid w:val="0036276B"/>
    <w:rsid w:val="0036276D"/>
    <w:rsid w:val="003628D6"/>
    <w:rsid w:val="0036298A"/>
    <w:rsid w:val="00362DAA"/>
    <w:rsid w:val="00362E79"/>
    <w:rsid w:val="003631E1"/>
    <w:rsid w:val="00363698"/>
    <w:rsid w:val="003637A4"/>
    <w:rsid w:val="003637DF"/>
    <w:rsid w:val="00363944"/>
    <w:rsid w:val="00363B60"/>
    <w:rsid w:val="00363D13"/>
    <w:rsid w:val="0036401D"/>
    <w:rsid w:val="003640EF"/>
    <w:rsid w:val="003647F7"/>
    <w:rsid w:val="00364BD5"/>
    <w:rsid w:val="00364C82"/>
    <w:rsid w:val="00364CBE"/>
    <w:rsid w:val="00364F4C"/>
    <w:rsid w:val="003651F1"/>
    <w:rsid w:val="003657A6"/>
    <w:rsid w:val="00365988"/>
    <w:rsid w:val="00365B36"/>
    <w:rsid w:val="00365B87"/>
    <w:rsid w:val="00365C4A"/>
    <w:rsid w:val="00365D0B"/>
    <w:rsid w:val="00365E0D"/>
    <w:rsid w:val="00365E97"/>
    <w:rsid w:val="00365F26"/>
    <w:rsid w:val="00366B0C"/>
    <w:rsid w:val="00367279"/>
    <w:rsid w:val="00367A83"/>
    <w:rsid w:val="00370052"/>
    <w:rsid w:val="0037008D"/>
    <w:rsid w:val="0037035B"/>
    <w:rsid w:val="003707EE"/>
    <w:rsid w:val="003708C5"/>
    <w:rsid w:val="00370B2C"/>
    <w:rsid w:val="00370C36"/>
    <w:rsid w:val="00370E44"/>
    <w:rsid w:val="003711C0"/>
    <w:rsid w:val="003711ED"/>
    <w:rsid w:val="003714A5"/>
    <w:rsid w:val="003717BF"/>
    <w:rsid w:val="00371E14"/>
    <w:rsid w:val="003721EC"/>
    <w:rsid w:val="003721F5"/>
    <w:rsid w:val="003723B9"/>
    <w:rsid w:val="00372731"/>
    <w:rsid w:val="00372846"/>
    <w:rsid w:val="0037287B"/>
    <w:rsid w:val="00372B77"/>
    <w:rsid w:val="00372BF8"/>
    <w:rsid w:val="00372F5A"/>
    <w:rsid w:val="003730F7"/>
    <w:rsid w:val="003732EF"/>
    <w:rsid w:val="00373405"/>
    <w:rsid w:val="00373650"/>
    <w:rsid w:val="003736D9"/>
    <w:rsid w:val="00373A22"/>
    <w:rsid w:val="00373D4E"/>
    <w:rsid w:val="0037423E"/>
    <w:rsid w:val="003746EE"/>
    <w:rsid w:val="0037480C"/>
    <w:rsid w:val="003749E5"/>
    <w:rsid w:val="00374AB9"/>
    <w:rsid w:val="00374B8F"/>
    <w:rsid w:val="00374E12"/>
    <w:rsid w:val="00374EC7"/>
    <w:rsid w:val="003750BE"/>
    <w:rsid w:val="0037513E"/>
    <w:rsid w:val="00375220"/>
    <w:rsid w:val="0037535D"/>
    <w:rsid w:val="003753F9"/>
    <w:rsid w:val="003755AD"/>
    <w:rsid w:val="0037577D"/>
    <w:rsid w:val="003757E8"/>
    <w:rsid w:val="00376213"/>
    <w:rsid w:val="003766F7"/>
    <w:rsid w:val="00376760"/>
    <w:rsid w:val="00376935"/>
    <w:rsid w:val="00376A79"/>
    <w:rsid w:val="00376AA1"/>
    <w:rsid w:val="00376CC7"/>
    <w:rsid w:val="00376EEC"/>
    <w:rsid w:val="00376F07"/>
    <w:rsid w:val="00376FCA"/>
    <w:rsid w:val="00377154"/>
    <w:rsid w:val="0037736A"/>
    <w:rsid w:val="003773EB"/>
    <w:rsid w:val="003776C5"/>
    <w:rsid w:val="003779AA"/>
    <w:rsid w:val="00377D98"/>
    <w:rsid w:val="003802C1"/>
    <w:rsid w:val="003803C5"/>
    <w:rsid w:val="0038060A"/>
    <w:rsid w:val="0038061F"/>
    <w:rsid w:val="003808C9"/>
    <w:rsid w:val="003808F4"/>
    <w:rsid w:val="00380A86"/>
    <w:rsid w:val="00380B7E"/>
    <w:rsid w:val="00380B93"/>
    <w:rsid w:val="00380E68"/>
    <w:rsid w:val="00381157"/>
    <w:rsid w:val="003811E5"/>
    <w:rsid w:val="0038127A"/>
    <w:rsid w:val="00381404"/>
    <w:rsid w:val="0038150A"/>
    <w:rsid w:val="00381528"/>
    <w:rsid w:val="0038153E"/>
    <w:rsid w:val="003817BE"/>
    <w:rsid w:val="00381B3F"/>
    <w:rsid w:val="00381E08"/>
    <w:rsid w:val="00381F1F"/>
    <w:rsid w:val="00381F47"/>
    <w:rsid w:val="00382142"/>
    <w:rsid w:val="003821D2"/>
    <w:rsid w:val="003821E7"/>
    <w:rsid w:val="00382217"/>
    <w:rsid w:val="003822CB"/>
    <w:rsid w:val="00382365"/>
    <w:rsid w:val="003824DA"/>
    <w:rsid w:val="00382523"/>
    <w:rsid w:val="0038295F"/>
    <w:rsid w:val="00382B07"/>
    <w:rsid w:val="00382C23"/>
    <w:rsid w:val="00382DA1"/>
    <w:rsid w:val="00382DCE"/>
    <w:rsid w:val="003833A1"/>
    <w:rsid w:val="00383582"/>
    <w:rsid w:val="0038389F"/>
    <w:rsid w:val="00383D82"/>
    <w:rsid w:val="00383D9A"/>
    <w:rsid w:val="00383DC5"/>
    <w:rsid w:val="003840B5"/>
    <w:rsid w:val="00384376"/>
    <w:rsid w:val="00384395"/>
    <w:rsid w:val="0038439E"/>
    <w:rsid w:val="0038450F"/>
    <w:rsid w:val="003847EC"/>
    <w:rsid w:val="00384A7C"/>
    <w:rsid w:val="00384C49"/>
    <w:rsid w:val="00384C5C"/>
    <w:rsid w:val="00384D54"/>
    <w:rsid w:val="00384DDD"/>
    <w:rsid w:val="00384E22"/>
    <w:rsid w:val="003851AA"/>
    <w:rsid w:val="003857BB"/>
    <w:rsid w:val="003860B4"/>
    <w:rsid w:val="00386326"/>
    <w:rsid w:val="00386800"/>
    <w:rsid w:val="00386C00"/>
    <w:rsid w:val="00386CA5"/>
    <w:rsid w:val="00386EAF"/>
    <w:rsid w:val="00386F0E"/>
    <w:rsid w:val="0038704D"/>
    <w:rsid w:val="0038708E"/>
    <w:rsid w:val="00387881"/>
    <w:rsid w:val="00387D35"/>
    <w:rsid w:val="00387D44"/>
    <w:rsid w:val="00387EF6"/>
    <w:rsid w:val="00390349"/>
    <w:rsid w:val="00390924"/>
    <w:rsid w:val="003909C1"/>
    <w:rsid w:val="003909EB"/>
    <w:rsid w:val="00390A3F"/>
    <w:rsid w:val="00390AE9"/>
    <w:rsid w:val="00390B96"/>
    <w:rsid w:val="00390BD4"/>
    <w:rsid w:val="00390D07"/>
    <w:rsid w:val="00390D62"/>
    <w:rsid w:val="00390D6C"/>
    <w:rsid w:val="00390ECC"/>
    <w:rsid w:val="00390F8A"/>
    <w:rsid w:val="00391031"/>
    <w:rsid w:val="00391110"/>
    <w:rsid w:val="00391272"/>
    <w:rsid w:val="00391319"/>
    <w:rsid w:val="003915C4"/>
    <w:rsid w:val="003915EE"/>
    <w:rsid w:val="00391654"/>
    <w:rsid w:val="00391705"/>
    <w:rsid w:val="0039184A"/>
    <w:rsid w:val="0039189D"/>
    <w:rsid w:val="00391985"/>
    <w:rsid w:val="00391A75"/>
    <w:rsid w:val="00391C3A"/>
    <w:rsid w:val="00391D85"/>
    <w:rsid w:val="00391EDA"/>
    <w:rsid w:val="00391F60"/>
    <w:rsid w:val="0039201A"/>
    <w:rsid w:val="00392345"/>
    <w:rsid w:val="003923EC"/>
    <w:rsid w:val="00392565"/>
    <w:rsid w:val="003925EF"/>
    <w:rsid w:val="00392A3A"/>
    <w:rsid w:val="00392BD5"/>
    <w:rsid w:val="00392E90"/>
    <w:rsid w:val="00392F16"/>
    <w:rsid w:val="00392F1C"/>
    <w:rsid w:val="00393180"/>
    <w:rsid w:val="0039339F"/>
    <w:rsid w:val="003933C7"/>
    <w:rsid w:val="00393495"/>
    <w:rsid w:val="003937DC"/>
    <w:rsid w:val="00393A75"/>
    <w:rsid w:val="003940E2"/>
    <w:rsid w:val="003941EB"/>
    <w:rsid w:val="0039434F"/>
    <w:rsid w:val="003945E6"/>
    <w:rsid w:val="00394922"/>
    <w:rsid w:val="00394988"/>
    <w:rsid w:val="00394C9A"/>
    <w:rsid w:val="00394E5A"/>
    <w:rsid w:val="00395036"/>
    <w:rsid w:val="003953EF"/>
    <w:rsid w:val="00395609"/>
    <w:rsid w:val="003957DB"/>
    <w:rsid w:val="00395A57"/>
    <w:rsid w:val="00395A76"/>
    <w:rsid w:val="003961AF"/>
    <w:rsid w:val="00396410"/>
    <w:rsid w:val="00396486"/>
    <w:rsid w:val="0039652B"/>
    <w:rsid w:val="00396549"/>
    <w:rsid w:val="0039667B"/>
    <w:rsid w:val="003967C1"/>
    <w:rsid w:val="003968C0"/>
    <w:rsid w:val="003969DD"/>
    <w:rsid w:val="00396B16"/>
    <w:rsid w:val="00396E65"/>
    <w:rsid w:val="00396E7F"/>
    <w:rsid w:val="0039747A"/>
    <w:rsid w:val="0039789B"/>
    <w:rsid w:val="00397A21"/>
    <w:rsid w:val="00397DB1"/>
    <w:rsid w:val="003A03EC"/>
    <w:rsid w:val="003A04BE"/>
    <w:rsid w:val="003A05B2"/>
    <w:rsid w:val="003A06D5"/>
    <w:rsid w:val="003A08A1"/>
    <w:rsid w:val="003A0A5C"/>
    <w:rsid w:val="003A106E"/>
    <w:rsid w:val="003A12A9"/>
    <w:rsid w:val="003A15C8"/>
    <w:rsid w:val="003A1CD1"/>
    <w:rsid w:val="003A1D13"/>
    <w:rsid w:val="003A1E5E"/>
    <w:rsid w:val="003A2049"/>
    <w:rsid w:val="003A2336"/>
    <w:rsid w:val="003A24CB"/>
    <w:rsid w:val="003A25BE"/>
    <w:rsid w:val="003A2636"/>
    <w:rsid w:val="003A2B9C"/>
    <w:rsid w:val="003A2CC3"/>
    <w:rsid w:val="003A2D7F"/>
    <w:rsid w:val="003A2FBF"/>
    <w:rsid w:val="003A35B7"/>
    <w:rsid w:val="003A35DA"/>
    <w:rsid w:val="003A36D0"/>
    <w:rsid w:val="003A3902"/>
    <w:rsid w:val="003A3D7B"/>
    <w:rsid w:val="003A3E92"/>
    <w:rsid w:val="003A40C8"/>
    <w:rsid w:val="003A4308"/>
    <w:rsid w:val="003A4592"/>
    <w:rsid w:val="003A4982"/>
    <w:rsid w:val="003A4A08"/>
    <w:rsid w:val="003A4BD3"/>
    <w:rsid w:val="003A4E5C"/>
    <w:rsid w:val="003A53EF"/>
    <w:rsid w:val="003A559C"/>
    <w:rsid w:val="003A588A"/>
    <w:rsid w:val="003A589E"/>
    <w:rsid w:val="003A5901"/>
    <w:rsid w:val="003A5965"/>
    <w:rsid w:val="003A5A0F"/>
    <w:rsid w:val="003A5CEB"/>
    <w:rsid w:val="003A5CFF"/>
    <w:rsid w:val="003A5EA9"/>
    <w:rsid w:val="003A6210"/>
    <w:rsid w:val="003A6350"/>
    <w:rsid w:val="003A63BF"/>
    <w:rsid w:val="003A653C"/>
    <w:rsid w:val="003A67AC"/>
    <w:rsid w:val="003A68AD"/>
    <w:rsid w:val="003A6953"/>
    <w:rsid w:val="003A6A00"/>
    <w:rsid w:val="003A6A83"/>
    <w:rsid w:val="003A6D05"/>
    <w:rsid w:val="003A6F1B"/>
    <w:rsid w:val="003A7443"/>
    <w:rsid w:val="003A7B22"/>
    <w:rsid w:val="003A7D3C"/>
    <w:rsid w:val="003A7D88"/>
    <w:rsid w:val="003A7EC8"/>
    <w:rsid w:val="003A7F42"/>
    <w:rsid w:val="003B01C7"/>
    <w:rsid w:val="003B0600"/>
    <w:rsid w:val="003B0802"/>
    <w:rsid w:val="003B0966"/>
    <w:rsid w:val="003B09B4"/>
    <w:rsid w:val="003B0C65"/>
    <w:rsid w:val="003B0EA9"/>
    <w:rsid w:val="003B0EE0"/>
    <w:rsid w:val="003B1090"/>
    <w:rsid w:val="003B10BA"/>
    <w:rsid w:val="003B10C6"/>
    <w:rsid w:val="003B1155"/>
    <w:rsid w:val="003B1477"/>
    <w:rsid w:val="003B16AF"/>
    <w:rsid w:val="003B182D"/>
    <w:rsid w:val="003B19B9"/>
    <w:rsid w:val="003B1D32"/>
    <w:rsid w:val="003B1F5A"/>
    <w:rsid w:val="003B218D"/>
    <w:rsid w:val="003B236D"/>
    <w:rsid w:val="003B2489"/>
    <w:rsid w:val="003B2659"/>
    <w:rsid w:val="003B2805"/>
    <w:rsid w:val="003B2849"/>
    <w:rsid w:val="003B31C0"/>
    <w:rsid w:val="003B35A5"/>
    <w:rsid w:val="003B35F3"/>
    <w:rsid w:val="003B3DE1"/>
    <w:rsid w:val="003B4242"/>
    <w:rsid w:val="003B4413"/>
    <w:rsid w:val="003B4D5B"/>
    <w:rsid w:val="003B4F69"/>
    <w:rsid w:val="003B52E3"/>
    <w:rsid w:val="003B5669"/>
    <w:rsid w:val="003B5782"/>
    <w:rsid w:val="003B5875"/>
    <w:rsid w:val="003B5967"/>
    <w:rsid w:val="003B5A85"/>
    <w:rsid w:val="003B5D54"/>
    <w:rsid w:val="003B6236"/>
    <w:rsid w:val="003B6309"/>
    <w:rsid w:val="003B649E"/>
    <w:rsid w:val="003B6D9C"/>
    <w:rsid w:val="003B6DF3"/>
    <w:rsid w:val="003B6E7A"/>
    <w:rsid w:val="003B6ED0"/>
    <w:rsid w:val="003B7125"/>
    <w:rsid w:val="003B7288"/>
    <w:rsid w:val="003B7486"/>
    <w:rsid w:val="003B778C"/>
    <w:rsid w:val="003B785D"/>
    <w:rsid w:val="003B7D79"/>
    <w:rsid w:val="003C010F"/>
    <w:rsid w:val="003C0280"/>
    <w:rsid w:val="003C0406"/>
    <w:rsid w:val="003C0C42"/>
    <w:rsid w:val="003C0D24"/>
    <w:rsid w:val="003C0E88"/>
    <w:rsid w:val="003C0FC9"/>
    <w:rsid w:val="003C116F"/>
    <w:rsid w:val="003C1297"/>
    <w:rsid w:val="003C1464"/>
    <w:rsid w:val="003C1529"/>
    <w:rsid w:val="003C15F1"/>
    <w:rsid w:val="003C16B2"/>
    <w:rsid w:val="003C185A"/>
    <w:rsid w:val="003C1875"/>
    <w:rsid w:val="003C194A"/>
    <w:rsid w:val="003C1BBD"/>
    <w:rsid w:val="003C1C46"/>
    <w:rsid w:val="003C2072"/>
    <w:rsid w:val="003C2320"/>
    <w:rsid w:val="003C241A"/>
    <w:rsid w:val="003C26FC"/>
    <w:rsid w:val="003C2769"/>
    <w:rsid w:val="003C28C8"/>
    <w:rsid w:val="003C2A2D"/>
    <w:rsid w:val="003C2C48"/>
    <w:rsid w:val="003C2D39"/>
    <w:rsid w:val="003C2D4F"/>
    <w:rsid w:val="003C2D97"/>
    <w:rsid w:val="003C2E07"/>
    <w:rsid w:val="003C3093"/>
    <w:rsid w:val="003C3A09"/>
    <w:rsid w:val="003C3B15"/>
    <w:rsid w:val="003C3BBB"/>
    <w:rsid w:val="003C3CA8"/>
    <w:rsid w:val="003C3F14"/>
    <w:rsid w:val="003C3FC8"/>
    <w:rsid w:val="003C3FDD"/>
    <w:rsid w:val="003C49B6"/>
    <w:rsid w:val="003C5369"/>
    <w:rsid w:val="003C54A5"/>
    <w:rsid w:val="003C5576"/>
    <w:rsid w:val="003C55D9"/>
    <w:rsid w:val="003C55EC"/>
    <w:rsid w:val="003C5728"/>
    <w:rsid w:val="003C58A8"/>
    <w:rsid w:val="003C5ADA"/>
    <w:rsid w:val="003C5F8E"/>
    <w:rsid w:val="003C5F9F"/>
    <w:rsid w:val="003C6031"/>
    <w:rsid w:val="003C62AE"/>
    <w:rsid w:val="003C62F4"/>
    <w:rsid w:val="003C6301"/>
    <w:rsid w:val="003C6372"/>
    <w:rsid w:val="003C662B"/>
    <w:rsid w:val="003C6B87"/>
    <w:rsid w:val="003C6C7A"/>
    <w:rsid w:val="003C6D06"/>
    <w:rsid w:val="003C6D6F"/>
    <w:rsid w:val="003C719F"/>
    <w:rsid w:val="003C7260"/>
    <w:rsid w:val="003C730F"/>
    <w:rsid w:val="003C7369"/>
    <w:rsid w:val="003C7375"/>
    <w:rsid w:val="003C739A"/>
    <w:rsid w:val="003C75CA"/>
    <w:rsid w:val="003C7805"/>
    <w:rsid w:val="003C7CEE"/>
    <w:rsid w:val="003D03C0"/>
    <w:rsid w:val="003D04F8"/>
    <w:rsid w:val="003D0AE1"/>
    <w:rsid w:val="003D0D60"/>
    <w:rsid w:val="003D0D8B"/>
    <w:rsid w:val="003D0F56"/>
    <w:rsid w:val="003D1101"/>
    <w:rsid w:val="003D11CC"/>
    <w:rsid w:val="003D120E"/>
    <w:rsid w:val="003D1413"/>
    <w:rsid w:val="003D1A08"/>
    <w:rsid w:val="003D1AA8"/>
    <w:rsid w:val="003D1AFF"/>
    <w:rsid w:val="003D1DCF"/>
    <w:rsid w:val="003D1E12"/>
    <w:rsid w:val="003D2013"/>
    <w:rsid w:val="003D24EA"/>
    <w:rsid w:val="003D25E9"/>
    <w:rsid w:val="003D290A"/>
    <w:rsid w:val="003D2A57"/>
    <w:rsid w:val="003D2EF0"/>
    <w:rsid w:val="003D3042"/>
    <w:rsid w:val="003D3670"/>
    <w:rsid w:val="003D3695"/>
    <w:rsid w:val="003D3787"/>
    <w:rsid w:val="003D38D6"/>
    <w:rsid w:val="003D39A7"/>
    <w:rsid w:val="003D3ECE"/>
    <w:rsid w:val="003D3F6A"/>
    <w:rsid w:val="003D434E"/>
    <w:rsid w:val="003D43DC"/>
    <w:rsid w:val="003D4594"/>
    <w:rsid w:val="003D45A5"/>
    <w:rsid w:val="003D4EC1"/>
    <w:rsid w:val="003D50A6"/>
    <w:rsid w:val="003D5181"/>
    <w:rsid w:val="003D5248"/>
    <w:rsid w:val="003D537E"/>
    <w:rsid w:val="003D5582"/>
    <w:rsid w:val="003D579F"/>
    <w:rsid w:val="003D5AF1"/>
    <w:rsid w:val="003D5C81"/>
    <w:rsid w:val="003D60A5"/>
    <w:rsid w:val="003D62DB"/>
    <w:rsid w:val="003D63A2"/>
    <w:rsid w:val="003D63E7"/>
    <w:rsid w:val="003D6953"/>
    <w:rsid w:val="003D6AD5"/>
    <w:rsid w:val="003D6BC6"/>
    <w:rsid w:val="003D6C99"/>
    <w:rsid w:val="003D6E72"/>
    <w:rsid w:val="003D729B"/>
    <w:rsid w:val="003D74E3"/>
    <w:rsid w:val="003D7922"/>
    <w:rsid w:val="003D7AB0"/>
    <w:rsid w:val="003D7C24"/>
    <w:rsid w:val="003D7D07"/>
    <w:rsid w:val="003D7E18"/>
    <w:rsid w:val="003E020B"/>
    <w:rsid w:val="003E0318"/>
    <w:rsid w:val="003E05AF"/>
    <w:rsid w:val="003E08C1"/>
    <w:rsid w:val="003E1127"/>
    <w:rsid w:val="003E130E"/>
    <w:rsid w:val="003E148A"/>
    <w:rsid w:val="003E1C11"/>
    <w:rsid w:val="003E1C8C"/>
    <w:rsid w:val="003E1C95"/>
    <w:rsid w:val="003E1DF8"/>
    <w:rsid w:val="003E1FD2"/>
    <w:rsid w:val="003E2047"/>
    <w:rsid w:val="003E22F5"/>
    <w:rsid w:val="003E28EA"/>
    <w:rsid w:val="003E2A1E"/>
    <w:rsid w:val="003E2C98"/>
    <w:rsid w:val="003E2E1F"/>
    <w:rsid w:val="003E2E2A"/>
    <w:rsid w:val="003E2F4D"/>
    <w:rsid w:val="003E2FC9"/>
    <w:rsid w:val="003E2FEF"/>
    <w:rsid w:val="003E31DE"/>
    <w:rsid w:val="003E346C"/>
    <w:rsid w:val="003E34DE"/>
    <w:rsid w:val="003E3867"/>
    <w:rsid w:val="003E3915"/>
    <w:rsid w:val="003E392E"/>
    <w:rsid w:val="003E39CA"/>
    <w:rsid w:val="003E3DDE"/>
    <w:rsid w:val="003E3F20"/>
    <w:rsid w:val="003E4010"/>
    <w:rsid w:val="003E40B0"/>
    <w:rsid w:val="003E4478"/>
    <w:rsid w:val="003E44A0"/>
    <w:rsid w:val="003E45B4"/>
    <w:rsid w:val="003E4963"/>
    <w:rsid w:val="003E4A30"/>
    <w:rsid w:val="003E4EA0"/>
    <w:rsid w:val="003E5040"/>
    <w:rsid w:val="003E5295"/>
    <w:rsid w:val="003E53A1"/>
    <w:rsid w:val="003E5485"/>
    <w:rsid w:val="003E56EB"/>
    <w:rsid w:val="003E5B97"/>
    <w:rsid w:val="003E5C8D"/>
    <w:rsid w:val="003E5E77"/>
    <w:rsid w:val="003E61A7"/>
    <w:rsid w:val="003E62EC"/>
    <w:rsid w:val="003E6A30"/>
    <w:rsid w:val="003E6B19"/>
    <w:rsid w:val="003E6B65"/>
    <w:rsid w:val="003E7004"/>
    <w:rsid w:val="003E72C7"/>
    <w:rsid w:val="003E752F"/>
    <w:rsid w:val="003E7808"/>
    <w:rsid w:val="003E782E"/>
    <w:rsid w:val="003E794F"/>
    <w:rsid w:val="003E7AE1"/>
    <w:rsid w:val="003E7C05"/>
    <w:rsid w:val="003E7C4A"/>
    <w:rsid w:val="003E7C9E"/>
    <w:rsid w:val="003E7D42"/>
    <w:rsid w:val="003F0753"/>
    <w:rsid w:val="003F09CA"/>
    <w:rsid w:val="003F0E22"/>
    <w:rsid w:val="003F1412"/>
    <w:rsid w:val="003F18A1"/>
    <w:rsid w:val="003F1900"/>
    <w:rsid w:val="003F1B60"/>
    <w:rsid w:val="003F1E5D"/>
    <w:rsid w:val="003F2227"/>
    <w:rsid w:val="003F24EF"/>
    <w:rsid w:val="003F252B"/>
    <w:rsid w:val="003F253E"/>
    <w:rsid w:val="003F26A6"/>
    <w:rsid w:val="003F289D"/>
    <w:rsid w:val="003F28C7"/>
    <w:rsid w:val="003F2A8E"/>
    <w:rsid w:val="003F2B72"/>
    <w:rsid w:val="003F2BE9"/>
    <w:rsid w:val="003F2C23"/>
    <w:rsid w:val="003F2E32"/>
    <w:rsid w:val="003F2EAD"/>
    <w:rsid w:val="003F2FDE"/>
    <w:rsid w:val="003F334E"/>
    <w:rsid w:val="003F3966"/>
    <w:rsid w:val="003F3ABB"/>
    <w:rsid w:val="003F3E31"/>
    <w:rsid w:val="003F4202"/>
    <w:rsid w:val="003F440C"/>
    <w:rsid w:val="003F46BD"/>
    <w:rsid w:val="003F4852"/>
    <w:rsid w:val="003F5026"/>
    <w:rsid w:val="003F50C9"/>
    <w:rsid w:val="003F51C4"/>
    <w:rsid w:val="003F54A8"/>
    <w:rsid w:val="003F5AB1"/>
    <w:rsid w:val="003F5CD8"/>
    <w:rsid w:val="003F5EA0"/>
    <w:rsid w:val="003F5FA0"/>
    <w:rsid w:val="003F6076"/>
    <w:rsid w:val="003F6C49"/>
    <w:rsid w:val="003F6C75"/>
    <w:rsid w:val="003F6E2C"/>
    <w:rsid w:val="003F7050"/>
    <w:rsid w:val="003F7132"/>
    <w:rsid w:val="003F71BA"/>
    <w:rsid w:val="003F7352"/>
    <w:rsid w:val="003F736E"/>
    <w:rsid w:val="003F7457"/>
    <w:rsid w:val="003F75A7"/>
    <w:rsid w:val="003F75E9"/>
    <w:rsid w:val="003F7BB5"/>
    <w:rsid w:val="003F7EA8"/>
    <w:rsid w:val="0040016E"/>
    <w:rsid w:val="004004CB"/>
    <w:rsid w:val="004004E1"/>
    <w:rsid w:val="00400554"/>
    <w:rsid w:val="00400703"/>
    <w:rsid w:val="004008EC"/>
    <w:rsid w:val="00400AE2"/>
    <w:rsid w:val="00400BBE"/>
    <w:rsid w:val="00400F0C"/>
    <w:rsid w:val="00400F16"/>
    <w:rsid w:val="00400F82"/>
    <w:rsid w:val="00400FB5"/>
    <w:rsid w:val="00401103"/>
    <w:rsid w:val="0040111E"/>
    <w:rsid w:val="0040114B"/>
    <w:rsid w:val="0040114F"/>
    <w:rsid w:val="004012C9"/>
    <w:rsid w:val="00401322"/>
    <w:rsid w:val="0040134C"/>
    <w:rsid w:val="004015F1"/>
    <w:rsid w:val="004019C1"/>
    <w:rsid w:val="004019C8"/>
    <w:rsid w:val="00401AF0"/>
    <w:rsid w:val="00401BEF"/>
    <w:rsid w:val="00401EBF"/>
    <w:rsid w:val="00401EF0"/>
    <w:rsid w:val="0040200B"/>
    <w:rsid w:val="0040200E"/>
    <w:rsid w:val="0040201F"/>
    <w:rsid w:val="00402066"/>
    <w:rsid w:val="0040249E"/>
    <w:rsid w:val="004026FE"/>
    <w:rsid w:val="00402807"/>
    <w:rsid w:val="004028BE"/>
    <w:rsid w:val="004029A2"/>
    <w:rsid w:val="00402A25"/>
    <w:rsid w:val="00402B11"/>
    <w:rsid w:val="00402C1E"/>
    <w:rsid w:val="00402E94"/>
    <w:rsid w:val="00402EAC"/>
    <w:rsid w:val="00403482"/>
    <w:rsid w:val="004034DC"/>
    <w:rsid w:val="004035B2"/>
    <w:rsid w:val="004036FE"/>
    <w:rsid w:val="00403D91"/>
    <w:rsid w:val="00403E72"/>
    <w:rsid w:val="00403FE5"/>
    <w:rsid w:val="0040412D"/>
    <w:rsid w:val="0040416B"/>
    <w:rsid w:val="00404BA8"/>
    <w:rsid w:val="00404DCD"/>
    <w:rsid w:val="004055B6"/>
    <w:rsid w:val="00405610"/>
    <w:rsid w:val="0040579A"/>
    <w:rsid w:val="00405823"/>
    <w:rsid w:val="00405ACD"/>
    <w:rsid w:val="00405D2D"/>
    <w:rsid w:val="00405E44"/>
    <w:rsid w:val="00405E5A"/>
    <w:rsid w:val="00405E94"/>
    <w:rsid w:val="00405F10"/>
    <w:rsid w:val="004061D1"/>
    <w:rsid w:val="00406232"/>
    <w:rsid w:val="004062A5"/>
    <w:rsid w:val="0040640A"/>
    <w:rsid w:val="00406546"/>
    <w:rsid w:val="004065E8"/>
    <w:rsid w:val="0040692E"/>
    <w:rsid w:val="00406CD3"/>
    <w:rsid w:val="00406F66"/>
    <w:rsid w:val="004071B3"/>
    <w:rsid w:val="004071CE"/>
    <w:rsid w:val="00407413"/>
    <w:rsid w:val="004077CF"/>
    <w:rsid w:val="00407C59"/>
    <w:rsid w:val="004100BB"/>
    <w:rsid w:val="004100BE"/>
    <w:rsid w:val="004100D8"/>
    <w:rsid w:val="004102A2"/>
    <w:rsid w:val="00410303"/>
    <w:rsid w:val="00410395"/>
    <w:rsid w:val="004105F9"/>
    <w:rsid w:val="00410717"/>
    <w:rsid w:val="004107D4"/>
    <w:rsid w:val="004107DD"/>
    <w:rsid w:val="00410804"/>
    <w:rsid w:val="00410A9B"/>
    <w:rsid w:val="00410FAF"/>
    <w:rsid w:val="00411190"/>
    <w:rsid w:val="00411368"/>
    <w:rsid w:val="00411374"/>
    <w:rsid w:val="00411446"/>
    <w:rsid w:val="00411488"/>
    <w:rsid w:val="004117DB"/>
    <w:rsid w:val="00411912"/>
    <w:rsid w:val="004119BE"/>
    <w:rsid w:val="00411BD6"/>
    <w:rsid w:val="00411CBB"/>
    <w:rsid w:val="0041205B"/>
    <w:rsid w:val="00412451"/>
    <w:rsid w:val="004135AB"/>
    <w:rsid w:val="00413662"/>
    <w:rsid w:val="004137CF"/>
    <w:rsid w:val="00413BE4"/>
    <w:rsid w:val="00413C1F"/>
    <w:rsid w:val="0041407C"/>
    <w:rsid w:val="004141B0"/>
    <w:rsid w:val="004141D1"/>
    <w:rsid w:val="00414286"/>
    <w:rsid w:val="004145D0"/>
    <w:rsid w:val="00414866"/>
    <w:rsid w:val="00414C23"/>
    <w:rsid w:val="00414D07"/>
    <w:rsid w:val="004151A7"/>
    <w:rsid w:val="00415594"/>
    <w:rsid w:val="0041559B"/>
    <w:rsid w:val="004158CA"/>
    <w:rsid w:val="00415A76"/>
    <w:rsid w:val="00415E7D"/>
    <w:rsid w:val="004162FD"/>
    <w:rsid w:val="004163C1"/>
    <w:rsid w:val="00416576"/>
    <w:rsid w:val="00416594"/>
    <w:rsid w:val="00416AA0"/>
    <w:rsid w:val="00416CC1"/>
    <w:rsid w:val="00416D26"/>
    <w:rsid w:val="00416E27"/>
    <w:rsid w:val="0041726F"/>
    <w:rsid w:val="0041766C"/>
    <w:rsid w:val="00417756"/>
    <w:rsid w:val="004177F1"/>
    <w:rsid w:val="0041780D"/>
    <w:rsid w:val="00417EA8"/>
    <w:rsid w:val="00417F18"/>
    <w:rsid w:val="0042030D"/>
    <w:rsid w:val="0042070B"/>
    <w:rsid w:val="00420964"/>
    <w:rsid w:val="00420BFB"/>
    <w:rsid w:val="00420D6D"/>
    <w:rsid w:val="00420E98"/>
    <w:rsid w:val="00420EAA"/>
    <w:rsid w:val="00420F07"/>
    <w:rsid w:val="004211C6"/>
    <w:rsid w:val="0042135E"/>
    <w:rsid w:val="004213A4"/>
    <w:rsid w:val="0042183F"/>
    <w:rsid w:val="0042186B"/>
    <w:rsid w:val="00421A26"/>
    <w:rsid w:val="00421A59"/>
    <w:rsid w:val="00421DD1"/>
    <w:rsid w:val="00422190"/>
    <w:rsid w:val="0042234E"/>
    <w:rsid w:val="00422822"/>
    <w:rsid w:val="0042288F"/>
    <w:rsid w:val="00422995"/>
    <w:rsid w:val="00422A36"/>
    <w:rsid w:val="00422B95"/>
    <w:rsid w:val="00423192"/>
    <w:rsid w:val="004236CD"/>
    <w:rsid w:val="004237D5"/>
    <w:rsid w:val="00423961"/>
    <w:rsid w:val="00423A8F"/>
    <w:rsid w:val="00423B5A"/>
    <w:rsid w:val="00423B6C"/>
    <w:rsid w:val="00423BCE"/>
    <w:rsid w:val="00423EC4"/>
    <w:rsid w:val="0042413B"/>
    <w:rsid w:val="0042423F"/>
    <w:rsid w:val="00424B65"/>
    <w:rsid w:val="00424BE9"/>
    <w:rsid w:val="00424CAD"/>
    <w:rsid w:val="00424D89"/>
    <w:rsid w:val="00424F06"/>
    <w:rsid w:val="0042526C"/>
    <w:rsid w:val="00425313"/>
    <w:rsid w:val="0042556E"/>
    <w:rsid w:val="004255FF"/>
    <w:rsid w:val="004258A8"/>
    <w:rsid w:val="0042590B"/>
    <w:rsid w:val="00425AF7"/>
    <w:rsid w:val="00425BED"/>
    <w:rsid w:val="00425F4F"/>
    <w:rsid w:val="00426250"/>
    <w:rsid w:val="004262C6"/>
    <w:rsid w:val="0042640C"/>
    <w:rsid w:val="00426622"/>
    <w:rsid w:val="0042679E"/>
    <w:rsid w:val="004268A4"/>
    <w:rsid w:val="004268B7"/>
    <w:rsid w:val="00426A28"/>
    <w:rsid w:val="00426FD2"/>
    <w:rsid w:val="0042718E"/>
    <w:rsid w:val="0042720D"/>
    <w:rsid w:val="00427515"/>
    <w:rsid w:val="00427598"/>
    <w:rsid w:val="00427A75"/>
    <w:rsid w:val="00427EA6"/>
    <w:rsid w:val="004300B1"/>
    <w:rsid w:val="004301F5"/>
    <w:rsid w:val="00430254"/>
    <w:rsid w:val="0043026A"/>
    <w:rsid w:val="0043045B"/>
    <w:rsid w:val="004304D2"/>
    <w:rsid w:val="00431221"/>
    <w:rsid w:val="00431449"/>
    <w:rsid w:val="0043146E"/>
    <w:rsid w:val="004316CA"/>
    <w:rsid w:val="004316F9"/>
    <w:rsid w:val="004317BC"/>
    <w:rsid w:val="004318C0"/>
    <w:rsid w:val="00431B92"/>
    <w:rsid w:val="00431EE3"/>
    <w:rsid w:val="00431FDA"/>
    <w:rsid w:val="00432397"/>
    <w:rsid w:val="004324F5"/>
    <w:rsid w:val="004325B4"/>
    <w:rsid w:val="00432E2E"/>
    <w:rsid w:val="00432F80"/>
    <w:rsid w:val="004332A9"/>
    <w:rsid w:val="00433345"/>
    <w:rsid w:val="00433453"/>
    <w:rsid w:val="0043355E"/>
    <w:rsid w:val="004336E0"/>
    <w:rsid w:val="004338BA"/>
    <w:rsid w:val="00433C14"/>
    <w:rsid w:val="00433DC8"/>
    <w:rsid w:val="00433E2E"/>
    <w:rsid w:val="00433EA5"/>
    <w:rsid w:val="0043430D"/>
    <w:rsid w:val="0043433D"/>
    <w:rsid w:val="00434482"/>
    <w:rsid w:val="0043456C"/>
    <w:rsid w:val="0043462D"/>
    <w:rsid w:val="0043477A"/>
    <w:rsid w:val="00434974"/>
    <w:rsid w:val="00434A3D"/>
    <w:rsid w:val="00435563"/>
    <w:rsid w:val="0043577C"/>
    <w:rsid w:val="00435859"/>
    <w:rsid w:val="00435A6D"/>
    <w:rsid w:val="0043601D"/>
    <w:rsid w:val="00436308"/>
    <w:rsid w:val="00436373"/>
    <w:rsid w:val="004369DF"/>
    <w:rsid w:val="00436AE0"/>
    <w:rsid w:val="00436D82"/>
    <w:rsid w:val="00436E8E"/>
    <w:rsid w:val="00436E93"/>
    <w:rsid w:val="00436EDE"/>
    <w:rsid w:val="0043757E"/>
    <w:rsid w:val="00437DF5"/>
    <w:rsid w:val="00437EB1"/>
    <w:rsid w:val="00437EFA"/>
    <w:rsid w:val="00440273"/>
    <w:rsid w:val="0044041F"/>
    <w:rsid w:val="0044044C"/>
    <w:rsid w:val="004407B3"/>
    <w:rsid w:val="004408CE"/>
    <w:rsid w:val="00440D58"/>
    <w:rsid w:val="00440D6F"/>
    <w:rsid w:val="00440E7E"/>
    <w:rsid w:val="00441238"/>
    <w:rsid w:val="00441547"/>
    <w:rsid w:val="004415C2"/>
    <w:rsid w:val="0044178A"/>
    <w:rsid w:val="00441910"/>
    <w:rsid w:val="0044195E"/>
    <w:rsid w:val="00442153"/>
    <w:rsid w:val="00442200"/>
    <w:rsid w:val="0044258B"/>
    <w:rsid w:val="0044285C"/>
    <w:rsid w:val="00442BD7"/>
    <w:rsid w:val="0044306C"/>
    <w:rsid w:val="0044341E"/>
    <w:rsid w:val="004434FB"/>
    <w:rsid w:val="0044376E"/>
    <w:rsid w:val="0044383B"/>
    <w:rsid w:val="00443AE5"/>
    <w:rsid w:val="0044424C"/>
    <w:rsid w:val="0044461B"/>
    <w:rsid w:val="00444819"/>
    <w:rsid w:val="00444A27"/>
    <w:rsid w:val="00444A8A"/>
    <w:rsid w:val="00444B6C"/>
    <w:rsid w:val="0044547F"/>
    <w:rsid w:val="00445631"/>
    <w:rsid w:val="004456AD"/>
    <w:rsid w:val="004456ED"/>
    <w:rsid w:val="004456FD"/>
    <w:rsid w:val="00445990"/>
    <w:rsid w:val="004459D2"/>
    <w:rsid w:val="00445B1D"/>
    <w:rsid w:val="00445BC5"/>
    <w:rsid w:val="00445DEC"/>
    <w:rsid w:val="00445EAC"/>
    <w:rsid w:val="004460CD"/>
    <w:rsid w:val="0044622A"/>
    <w:rsid w:val="00446293"/>
    <w:rsid w:val="0044657C"/>
    <w:rsid w:val="004465B1"/>
    <w:rsid w:val="004465D9"/>
    <w:rsid w:val="00446647"/>
    <w:rsid w:val="00446916"/>
    <w:rsid w:val="00446B3B"/>
    <w:rsid w:val="00446D21"/>
    <w:rsid w:val="00446DAE"/>
    <w:rsid w:val="004470E8"/>
    <w:rsid w:val="00447506"/>
    <w:rsid w:val="004475D0"/>
    <w:rsid w:val="004477F6"/>
    <w:rsid w:val="00447A1F"/>
    <w:rsid w:val="00447E23"/>
    <w:rsid w:val="00447F23"/>
    <w:rsid w:val="00447F4F"/>
    <w:rsid w:val="00450362"/>
    <w:rsid w:val="004507A1"/>
    <w:rsid w:val="004507C5"/>
    <w:rsid w:val="0045088F"/>
    <w:rsid w:val="0045092C"/>
    <w:rsid w:val="00450962"/>
    <w:rsid w:val="0045096E"/>
    <w:rsid w:val="00450DD7"/>
    <w:rsid w:val="00450F4D"/>
    <w:rsid w:val="004510F2"/>
    <w:rsid w:val="00451515"/>
    <w:rsid w:val="0045174C"/>
    <w:rsid w:val="0045193F"/>
    <w:rsid w:val="00452464"/>
    <w:rsid w:val="00452841"/>
    <w:rsid w:val="004528B8"/>
    <w:rsid w:val="0045297A"/>
    <w:rsid w:val="00452A5D"/>
    <w:rsid w:val="00452DEB"/>
    <w:rsid w:val="00453004"/>
    <w:rsid w:val="004536A0"/>
    <w:rsid w:val="004537DD"/>
    <w:rsid w:val="00453802"/>
    <w:rsid w:val="0045399A"/>
    <w:rsid w:val="004539EE"/>
    <w:rsid w:val="00453A70"/>
    <w:rsid w:val="00453A9E"/>
    <w:rsid w:val="00453C26"/>
    <w:rsid w:val="004540FC"/>
    <w:rsid w:val="00454139"/>
    <w:rsid w:val="004544FC"/>
    <w:rsid w:val="00454773"/>
    <w:rsid w:val="004548D9"/>
    <w:rsid w:val="00454C37"/>
    <w:rsid w:val="00454C8D"/>
    <w:rsid w:val="00454CA0"/>
    <w:rsid w:val="00454CB4"/>
    <w:rsid w:val="00454E09"/>
    <w:rsid w:val="00454EFF"/>
    <w:rsid w:val="00454F80"/>
    <w:rsid w:val="00455794"/>
    <w:rsid w:val="00455914"/>
    <w:rsid w:val="0045594D"/>
    <w:rsid w:val="00455AC7"/>
    <w:rsid w:val="00455AFA"/>
    <w:rsid w:val="00455BC1"/>
    <w:rsid w:val="00455D46"/>
    <w:rsid w:val="00455D74"/>
    <w:rsid w:val="00455F4D"/>
    <w:rsid w:val="004560E1"/>
    <w:rsid w:val="004565B8"/>
    <w:rsid w:val="00456A77"/>
    <w:rsid w:val="00456B27"/>
    <w:rsid w:val="00456C75"/>
    <w:rsid w:val="00456ED5"/>
    <w:rsid w:val="00456F01"/>
    <w:rsid w:val="004575F9"/>
    <w:rsid w:val="004577F2"/>
    <w:rsid w:val="00457849"/>
    <w:rsid w:val="00457A01"/>
    <w:rsid w:val="00457B06"/>
    <w:rsid w:val="00457C74"/>
    <w:rsid w:val="00457E17"/>
    <w:rsid w:val="0046045D"/>
    <w:rsid w:val="004605EF"/>
    <w:rsid w:val="0046066D"/>
    <w:rsid w:val="004607C3"/>
    <w:rsid w:val="00460A0B"/>
    <w:rsid w:val="00460BC6"/>
    <w:rsid w:val="00461011"/>
    <w:rsid w:val="004610BC"/>
    <w:rsid w:val="00461445"/>
    <w:rsid w:val="00461522"/>
    <w:rsid w:val="00461673"/>
    <w:rsid w:val="00461A28"/>
    <w:rsid w:val="00462267"/>
    <w:rsid w:val="004624D3"/>
    <w:rsid w:val="004625A9"/>
    <w:rsid w:val="0046265B"/>
    <w:rsid w:val="004629DA"/>
    <w:rsid w:val="004629EB"/>
    <w:rsid w:val="00462B77"/>
    <w:rsid w:val="00462F58"/>
    <w:rsid w:val="00463024"/>
    <w:rsid w:val="004633B7"/>
    <w:rsid w:val="004636EB"/>
    <w:rsid w:val="004637C7"/>
    <w:rsid w:val="004637FD"/>
    <w:rsid w:val="00463847"/>
    <w:rsid w:val="0046391F"/>
    <w:rsid w:val="004639D4"/>
    <w:rsid w:val="00463B3C"/>
    <w:rsid w:val="00463D16"/>
    <w:rsid w:val="0046439F"/>
    <w:rsid w:val="00464504"/>
    <w:rsid w:val="00464784"/>
    <w:rsid w:val="004648B4"/>
    <w:rsid w:val="00464B17"/>
    <w:rsid w:val="00464BDF"/>
    <w:rsid w:val="00464C66"/>
    <w:rsid w:val="0046552C"/>
    <w:rsid w:val="004655AB"/>
    <w:rsid w:val="004655EC"/>
    <w:rsid w:val="00465603"/>
    <w:rsid w:val="00465847"/>
    <w:rsid w:val="00465AD8"/>
    <w:rsid w:val="00465EC1"/>
    <w:rsid w:val="00466443"/>
    <w:rsid w:val="004664E4"/>
    <w:rsid w:val="0046687E"/>
    <w:rsid w:val="00466B22"/>
    <w:rsid w:val="00466E16"/>
    <w:rsid w:val="00467109"/>
    <w:rsid w:val="0046732E"/>
    <w:rsid w:val="00467660"/>
    <w:rsid w:val="004678A7"/>
    <w:rsid w:val="00467C10"/>
    <w:rsid w:val="00467F13"/>
    <w:rsid w:val="00467FAB"/>
    <w:rsid w:val="0047047C"/>
    <w:rsid w:val="00470530"/>
    <w:rsid w:val="00470614"/>
    <w:rsid w:val="004706EE"/>
    <w:rsid w:val="0047076C"/>
    <w:rsid w:val="00470A22"/>
    <w:rsid w:val="00470BF6"/>
    <w:rsid w:val="00470C48"/>
    <w:rsid w:val="00470FB9"/>
    <w:rsid w:val="00471005"/>
    <w:rsid w:val="00471120"/>
    <w:rsid w:val="00471216"/>
    <w:rsid w:val="00471256"/>
    <w:rsid w:val="0047140B"/>
    <w:rsid w:val="00471416"/>
    <w:rsid w:val="00471532"/>
    <w:rsid w:val="004717E2"/>
    <w:rsid w:val="00471B18"/>
    <w:rsid w:val="00471B99"/>
    <w:rsid w:val="00471E5E"/>
    <w:rsid w:val="00472091"/>
    <w:rsid w:val="0047267F"/>
    <w:rsid w:val="004728D1"/>
    <w:rsid w:val="004729AB"/>
    <w:rsid w:val="00472A90"/>
    <w:rsid w:val="00472BDE"/>
    <w:rsid w:val="00472BF4"/>
    <w:rsid w:val="004730E7"/>
    <w:rsid w:val="00473375"/>
    <w:rsid w:val="00473A57"/>
    <w:rsid w:val="00473B66"/>
    <w:rsid w:val="00473C96"/>
    <w:rsid w:val="00473D7D"/>
    <w:rsid w:val="00473E4B"/>
    <w:rsid w:val="00473ED7"/>
    <w:rsid w:val="00474158"/>
    <w:rsid w:val="00474271"/>
    <w:rsid w:val="004743AD"/>
    <w:rsid w:val="004744C0"/>
    <w:rsid w:val="00474B89"/>
    <w:rsid w:val="00474EC3"/>
    <w:rsid w:val="0047513C"/>
    <w:rsid w:val="0047555C"/>
    <w:rsid w:val="00475650"/>
    <w:rsid w:val="00475793"/>
    <w:rsid w:val="00475ABE"/>
    <w:rsid w:val="0047604F"/>
    <w:rsid w:val="00476109"/>
    <w:rsid w:val="004761F3"/>
    <w:rsid w:val="00476278"/>
    <w:rsid w:val="004764B8"/>
    <w:rsid w:val="00476524"/>
    <w:rsid w:val="00476635"/>
    <w:rsid w:val="0047682E"/>
    <w:rsid w:val="00476A5B"/>
    <w:rsid w:val="00476BDA"/>
    <w:rsid w:val="00476F22"/>
    <w:rsid w:val="00477541"/>
    <w:rsid w:val="004779FB"/>
    <w:rsid w:val="00477C02"/>
    <w:rsid w:val="00477CA5"/>
    <w:rsid w:val="00477F34"/>
    <w:rsid w:val="00480328"/>
    <w:rsid w:val="004803B7"/>
    <w:rsid w:val="004804A5"/>
    <w:rsid w:val="00480FAA"/>
    <w:rsid w:val="004810FA"/>
    <w:rsid w:val="0048122B"/>
    <w:rsid w:val="0048124C"/>
    <w:rsid w:val="004813F9"/>
    <w:rsid w:val="00481E9B"/>
    <w:rsid w:val="0048216E"/>
    <w:rsid w:val="004822FB"/>
    <w:rsid w:val="004823FF"/>
    <w:rsid w:val="0048288D"/>
    <w:rsid w:val="004828AC"/>
    <w:rsid w:val="00482F38"/>
    <w:rsid w:val="00483007"/>
    <w:rsid w:val="004833DD"/>
    <w:rsid w:val="00483516"/>
    <w:rsid w:val="004839C3"/>
    <w:rsid w:val="00483EFC"/>
    <w:rsid w:val="00483FB4"/>
    <w:rsid w:val="004843B0"/>
    <w:rsid w:val="00484596"/>
    <w:rsid w:val="00484789"/>
    <w:rsid w:val="0048505B"/>
    <w:rsid w:val="00485090"/>
    <w:rsid w:val="0048536C"/>
    <w:rsid w:val="0048542D"/>
    <w:rsid w:val="0048551A"/>
    <w:rsid w:val="0048581A"/>
    <w:rsid w:val="004858FE"/>
    <w:rsid w:val="00485A81"/>
    <w:rsid w:val="00485CFC"/>
    <w:rsid w:val="00485D46"/>
    <w:rsid w:val="00486549"/>
    <w:rsid w:val="00486562"/>
    <w:rsid w:val="00486568"/>
    <w:rsid w:val="004868C6"/>
    <w:rsid w:val="004869A5"/>
    <w:rsid w:val="00486B1B"/>
    <w:rsid w:val="00487032"/>
    <w:rsid w:val="00487840"/>
    <w:rsid w:val="004879AD"/>
    <w:rsid w:val="0049064C"/>
    <w:rsid w:val="00490671"/>
    <w:rsid w:val="0049076A"/>
    <w:rsid w:val="00490934"/>
    <w:rsid w:val="00490BB8"/>
    <w:rsid w:val="00490D0C"/>
    <w:rsid w:val="00490E5E"/>
    <w:rsid w:val="00491100"/>
    <w:rsid w:val="004911AB"/>
    <w:rsid w:val="00491463"/>
    <w:rsid w:val="00491E0B"/>
    <w:rsid w:val="004921D3"/>
    <w:rsid w:val="004921FB"/>
    <w:rsid w:val="0049296B"/>
    <w:rsid w:val="00492A78"/>
    <w:rsid w:val="00492A91"/>
    <w:rsid w:val="00492BB3"/>
    <w:rsid w:val="00492E1A"/>
    <w:rsid w:val="00492EA6"/>
    <w:rsid w:val="0049316F"/>
    <w:rsid w:val="0049352B"/>
    <w:rsid w:val="004935E6"/>
    <w:rsid w:val="00493670"/>
    <w:rsid w:val="0049391E"/>
    <w:rsid w:val="00493B03"/>
    <w:rsid w:val="00493B70"/>
    <w:rsid w:val="00493BAB"/>
    <w:rsid w:val="00493C59"/>
    <w:rsid w:val="00493E13"/>
    <w:rsid w:val="004940BE"/>
    <w:rsid w:val="0049473F"/>
    <w:rsid w:val="00494812"/>
    <w:rsid w:val="0049499F"/>
    <w:rsid w:val="00494FCD"/>
    <w:rsid w:val="004950D4"/>
    <w:rsid w:val="004950DB"/>
    <w:rsid w:val="00495174"/>
    <w:rsid w:val="0049520C"/>
    <w:rsid w:val="004952B4"/>
    <w:rsid w:val="00495416"/>
    <w:rsid w:val="00495681"/>
    <w:rsid w:val="00495904"/>
    <w:rsid w:val="00495A18"/>
    <w:rsid w:val="00495EFF"/>
    <w:rsid w:val="00495F2D"/>
    <w:rsid w:val="0049624D"/>
    <w:rsid w:val="00496699"/>
    <w:rsid w:val="00496B77"/>
    <w:rsid w:val="00496D7D"/>
    <w:rsid w:val="00496E0E"/>
    <w:rsid w:val="00496E2D"/>
    <w:rsid w:val="00496F0B"/>
    <w:rsid w:val="00496F43"/>
    <w:rsid w:val="004970CF"/>
    <w:rsid w:val="00497207"/>
    <w:rsid w:val="00497428"/>
    <w:rsid w:val="00497578"/>
    <w:rsid w:val="0049768C"/>
    <w:rsid w:val="00497743"/>
    <w:rsid w:val="004978B0"/>
    <w:rsid w:val="00497952"/>
    <w:rsid w:val="00497B28"/>
    <w:rsid w:val="00497CEA"/>
    <w:rsid w:val="00497E76"/>
    <w:rsid w:val="00497F1B"/>
    <w:rsid w:val="004A0241"/>
    <w:rsid w:val="004A0446"/>
    <w:rsid w:val="004A09AD"/>
    <w:rsid w:val="004A0A99"/>
    <w:rsid w:val="004A0B5E"/>
    <w:rsid w:val="004A0B61"/>
    <w:rsid w:val="004A0C91"/>
    <w:rsid w:val="004A0D5D"/>
    <w:rsid w:val="004A0E5A"/>
    <w:rsid w:val="004A10A1"/>
    <w:rsid w:val="004A12B9"/>
    <w:rsid w:val="004A14AE"/>
    <w:rsid w:val="004A2035"/>
    <w:rsid w:val="004A2278"/>
    <w:rsid w:val="004A227E"/>
    <w:rsid w:val="004A254A"/>
    <w:rsid w:val="004A2714"/>
    <w:rsid w:val="004A2AC7"/>
    <w:rsid w:val="004A2B46"/>
    <w:rsid w:val="004A382C"/>
    <w:rsid w:val="004A38FC"/>
    <w:rsid w:val="004A3A07"/>
    <w:rsid w:val="004A3A8A"/>
    <w:rsid w:val="004A3A92"/>
    <w:rsid w:val="004A3FE1"/>
    <w:rsid w:val="004A4165"/>
    <w:rsid w:val="004A4352"/>
    <w:rsid w:val="004A44F8"/>
    <w:rsid w:val="004A46E8"/>
    <w:rsid w:val="004A476F"/>
    <w:rsid w:val="004A4837"/>
    <w:rsid w:val="004A49C9"/>
    <w:rsid w:val="004A4B65"/>
    <w:rsid w:val="004A4BCC"/>
    <w:rsid w:val="004A4C07"/>
    <w:rsid w:val="004A4C0F"/>
    <w:rsid w:val="004A5013"/>
    <w:rsid w:val="004A524B"/>
    <w:rsid w:val="004A54CE"/>
    <w:rsid w:val="004A5537"/>
    <w:rsid w:val="004A5551"/>
    <w:rsid w:val="004A5573"/>
    <w:rsid w:val="004A6061"/>
    <w:rsid w:val="004A60FD"/>
    <w:rsid w:val="004A6250"/>
    <w:rsid w:val="004A676C"/>
    <w:rsid w:val="004A693D"/>
    <w:rsid w:val="004A6A76"/>
    <w:rsid w:val="004A6BAA"/>
    <w:rsid w:val="004A703B"/>
    <w:rsid w:val="004A708C"/>
    <w:rsid w:val="004A730D"/>
    <w:rsid w:val="004A7378"/>
    <w:rsid w:val="004A7399"/>
    <w:rsid w:val="004A74A9"/>
    <w:rsid w:val="004A76A9"/>
    <w:rsid w:val="004A7726"/>
    <w:rsid w:val="004A7760"/>
    <w:rsid w:val="004A785E"/>
    <w:rsid w:val="004A79A4"/>
    <w:rsid w:val="004A7BF5"/>
    <w:rsid w:val="004A7DD7"/>
    <w:rsid w:val="004A7F24"/>
    <w:rsid w:val="004B0026"/>
    <w:rsid w:val="004B00EB"/>
    <w:rsid w:val="004B022F"/>
    <w:rsid w:val="004B048C"/>
    <w:rsid w:val="004B04E0"/>
    <w:rsid w:val="004B051A"/>
    <w:rsid w:val="004B05D8"/>
    <w:rsid w:val="004B09D1"/>
    <w:rsid w:val="004B0C1A"/>
    <w:rsid w:val="004B0D7E"/>
    <w:rsid w:val="004B104A"/>
    <w:rsid w:val="004B10C4"/>
    <w:rsid w:val="004B1198"/>
    <w:rsid w:val="004B13D1"/>
    <w:rsid w:val="004B13E9"/>
    <w:rsid w:val="004B14FF"/>
    <w:rsid w:val="004B17E7"/>
    <w:rsid w:val="004B185C"/>
    <w:rsid w:val="004B1AC4"/>
    <w:rsid w:val="004B20C3"/>
    <w:rsid w:val="004B20DB"/>
    <w:rsid w:val="004B2345"/>
    <w:rsid w:val="004B2636"/>
    <w:rsid w:val="004B283D"/>
    <w:rsid w:val="004B29F3"/>
    <w:rsid w:val="004B2BB7"/>
    <w:rsid w:val="004B2CDF"/>
    <w:rsid w:val="004B2D76"/>
    <w:rsid w:val="004B31C7"/>
    <w:rsid w:val="004B35D0"/>
    <w:rsid w:val="004B35FC"/>
    <w:rsid w:val="004B3DBB"/>
    <w:rsid w:val="004B3DC6"/>
    <w:rsid w:val="004B3FED"/>
    <w:rsid w:val="004B4256"/>
    <w:rsid w:val="004B43AF"/>
    <w:rsid w:val="004B478B"/>
    <w:rsid w:val="004B4B5F"/>
    <w:rsid w:val="004B4BC7"/>
    <w:rsid w:val="004B4C96"/>
    <w:rsid w:val="004B4EE1"/>
    <w:rsid w:val="004B5170"/>
    <w:rsid w:val="004B526F"/>
    <w:rsid w:val="004B532E"/>
    <w:rsid w:val="004B5499"/>
    <w:rsid w:val="004B570F"/>
    <w:rsid w:val="004B579D"/>
    <w:rsid w:val="004B57FB"/>
    <w:rsid w:val="004B580A"/>
    <w:rsid w:val="004B5B41"/>
    <w:rsid w:val="004B5E32"/>
    <w:rsid w:val="004B5FC9"/>
    <w:rsid w:val="004B6067"/>
    <w:rsid w:val="004B6207"/>
    <w:rsid w:val="004B6584"/>
    <w:rsid w:val="004B66F2"/>
    <w:rsid w:val="004B6729"/>
    <w:rsid w:val="004B6A0F"/>
    <w:rsid w:val="004B6C1C"/>
    <w:rsid w:val="004B6D0A"/>
    <w:rsid w:val="004B6DA3"/>
    <w:rsid w:val="004B6F82"/>
    <w:rsid w:val="004B705E"/>
    <w:rsid w:val="004B713E"/>
    <w:rsid w:val="004B7141"/>
    <w:rsid w:val="004B7440"/>
    <w:rsid w:val="004B77C1"/>
    <w:rsid w:val="004B77ED"/>
    <w:rsid w:val="004B7B92"/>
    <w:rsid w:val="004C0041"/>
    <w:rsid w:val="004C02DF"/>
    <w:rsid w:val="004C039E"/>
    <w:rsid w:val="004C03FA"/>
    <w:rsid w:val="004C047D"/>
    <w:rsid w:val="004C06CE"/>
    <w:rsid w:val="004C0EF6"/>
    <w:rsid w:val="004C0F2A"/>
    <w:rsid w:val="004C10D2"/>
    <w:rsid w:val="004C14E7"/>
    <w:rsid w:val="004C1656"/>
    <w:rsid w:val="004C18B0"/>
    <w:rsid w:val="004C1A3A"/>
    <w:rsid w:val="004C1DBF"/>
    <w:rsid w:val="004C1E89"/>
    <w:rsid w:val="004C1EDF"/>
    <w:rsid w:val="004C205A"/>
    <w:rsid w:val="004C211D"/>
    <w:rsid w:val="004C23A5"/>
    <w:rsid w:val="004C27F5"/>
    <w:rsid w:val="004C2F53"/>
    <w:rsid w:val="004C2F5F"/>
    <w:rsid w:val="004C2FD5"/>
    <w:rsid w:val="004C31E0"/>
    <w:rsid w:val="004C395C"/>
    <w:rsid w:val="004C3D77"/>
    <w:rsid w:val="004C42D5"/>
    <w:rsid w:val="004C4383"/>
    <w:rsid w:val="004C44E5"/>
    <w:rsid w:val="004C4599"/>
    <w:rsid w:val="004C4715"/>
    <w:rsid w:val="004C47B5"/>
    <w:rsid w:val="004C47F3"/>
    <w:rsid w:val="004C4BD7"/>
    <w:rsid w:val="004C4EAB"/>
    <w:rsid w:val="004C533A"/>
    <w:rsid w:val="004C5412"/>
    <w:rsid w:val="004C5648"/>
    <w:rsid w:val="004C57EC"/>
    <w:rsid w:val="004C5888"/>
    <w:rsid w:val="004C5B5D"/>
    <w:rsid w:val="004C5C4D"/>
    <w:rsid w:val="004C5C67"/>
    <w:rsid w:val="004C5D2F"/>
    <w:rsid w:val="004C5FA7"/>
    <w:rsid w:val="004C62ED"/>
    <w:rsid w:val="004C6326"/>
    <w:rsid w:val="004C63F7"/>
    <w:rsid w:val="004C65E6"/>
    <w:rsid w:val="004C6822"/>
    <w:rsid w:val="004C6CE8"/>
    <w:rsid w:val="004C6EC0"/>
    <w:rsid w:val="004C716A"/>
    <w:rsid w:val="004C77E2"/>
    <w:rsid w:val="004C78CA"/>
    <w:rsid w:val="004C7A35"/>
    <w:rsid w:val="004C7C3B"/>
    <w:rsid w:val="004C7E22"/>
    <w:rsid w:val="004C7E61"/>
    <w:rsid w:val="004D0026"/>
    <w:rsid w:val="004D01B6"/>
    <w:rsid w:val="004D0925"/>
    <w:rsid w:val="004D0A1C"/>
    <w:rsid w:val="004D0A86"/>
    <w:rsid w:val="004D0B00"/>
    <w:rsid w:val="004D0B12"/>
    <w:rsid w:val="004D0FD3"/>
    <w:rsid w:val="004D136A"/>
    <w:rsid w:val="004D1885"/>
    <w:rsid w:val="004D18D6"/>
    <w:rsid w:val="004D18E8"/>
    <w:rsid w:val="004D19C0"/>
    <w:rsid w:val="004D2192"/>
    <w:rsid w:val="004D21BA"/>
    <w:rsid w:val="004D262D"/>
    <w:rsid w:val="004D263C"/>
    <w:rsid w:val="004D2662"/>
    <w:rsid w:val="004D26F6"/>
    <w:rsid w:val="004D2707"/>
    <w:rsid w:val="004D2E6C"/>
    <w:rsid w:val="004D32EA"/>
    <w:rsid w:val="004D3343"/>
    <w:rsid w:val="004D385C"/>
    <w:rsid w:val="004D3892"/>
    <w:rsid w:val="004D3AB0"/>
    <w:rsid w:val="004D3CA2"/>
    <w:rsid w:val="004D3CBE"/>
    <w:rsid w:val="004D3E07"/>
    <w:rsid w:val="004D3F6D"/>
    <w:rsid w:val="004D40BC"/>
    <w:rsid w:val="004D4406"/>
    <w:rsid w:val="004D4AA3"/>
    <w:rsid w:val="004D4BA6"/>
    <w:rsid w:val="004D4F42"/>
    <w:rsid w:val="004D5184"/>
    <w:rsid w:val="004D51CD"/>
    <w:rsid w:val="004D5308"/>
    <w:rsid w:val="004D5503"/>
    <w:rsid w:val="004D5548"/>
    <w:rsid w:val="004D560A"/>
    <w:rsid w:val="004D5AE3"/>
    <w:rsid w:val="004D5EC9"/>
    <w:rsid w:val="004D5F46"/>
    <w:rsid w:val="004D607B"/>
    <w:rsid w:val="004D64E3"/>
    <w:rsid w:val="004D6C44"/>
    <w:rsid w:val="004D6CA5"/>
    <w:rsid w:val="004D6E7D"/>
    <w:rsid w:val="004D6F44"/>
    <w:rsid w:val="004D71C5"/>
    <w:rsid w:val="004D72DC"/>
    <w:rsid w:val="004D7497"/>
    <w:rsid w:val="004D74F1"/>
    <w:rsid w:val="004D7554"/>
    <w:rsid w:val="004D76E1"/>
    <w:rsid w:val="004D7713"/>
    <w:rsid w:val="004D794C"/>
    <w:rsid w:val="004D7AA6"/>
    <w:rsid w:val="004D7B6A"/>
    <w:rsid w:val="004D7F7A"/>
    <w:rsid w:val="004E02D2"/>
    <w:rsid w:val="004E070D"/>
    <w:rsid w:val="004E087F"/>
    <w:rsid w:val="004E0A79"/>
    <w:rsid w:val="004E0B30"/>
    <w:rsid w:val="004E0CC8"/>
    <w:rsid w:val="004E15F0"/>
    <w:rsid w:val="004E175F"/>
    <w:rsid w:val="004E1CF9"/>
    <w:rsid w:val="004E1DAB"/>
    <w:rsid w:val="004E1E9F"/>
    <w:rsid w:val="004E2346"/>
    <w:rsid w:val="004E23DC"/>
    <w:rsid w:val="004E27F1"/>
    <w:rsid w:val="004E29DF"/>
    <w:rsid w:val="004E2A1D"/>
    <w:rsid w:val="004E2A5D"/>
    <w:rsid w:val="004E2D60"/>
    <w:rsid w:val="004E2D83"/>
    <w:rsid w:val="004E2F1E"/>
    <w:rsid w:val="004E3206"/>
    <w:rsid w:val="004E3314"/>
    <w:rsid w:val="004E3776"/>
    <w:rsid w:val="004E3996"/>
    <w:rsid w:val="004E3AC9"/>
    <w:rsid w:val="004E3BE9"/>
    <w:rsid w:val="004E40C8"/>
    <w:rsid w:val="004E4503"/>
    <w:rsid w:val="004E4543"/>
    <w:rsid w:val="004E46FF"/>
    <w:rsid w:val="004E5194"/>
    <w:rsid w:val="004E55AF"/>
    <w:rsid w:val="004E59E6"/>
    <w:rsid w:val="004E5AB0"/>
    <w:rsid w:val="004E5DDA"/>
    <w:rsid w:val="004E5E49"/>
    <w:rsid w:val="004E5FF8"/>
    <w:rsid w:val="004E6104"/>
    <w:rsid w:val="004E61AA"/>
    <w:rsid w:val="004E6358"/>
    <w:rsid w:val="004E63C8"/>
    <w:rsid w:val="004E65EA"/>
    <w:rsid w:val="004E66A9"/>
    <w:rsid w:val="004E685D"/>
    <w:rsid w:val="004E6B97"/>
    <w:rsid w:val="004E6CAB"/>
    <w:rsid w:val="004E711B"/>
    <w:rsid w:val="004E7392"/>
    <w:rsid w:val="004E7C1A"/>
    <w:rsid w:val="004E7C2C"/>
    <w:rsid w:val="004E7CF8"/>
    <w:rsid w:val="004E7FDD"/>
    <w:rsid w:val="004F0102"/>
    <w:rsid w:val="004F0181"/>
    <w:rsid w:val="004F018C"/>
    <w:rsid w:val="004F01C7"/>
    <w:rsid w:val="004F028A"/>
    <w:rsid w:val="004F047D"/>
    <w:rsid w:val="004F0606"/>
    <w:rsid w:val="004F0703"/>
    <w:rsid w:val="004F0775"/>
    <w:rsid w:val="004F081A"/>
    <w:rsid w:val="004F099F"/>
    <w:rsid w:val="004F0CC2"/>
    <w:rsid w:val="004F0D7F"/>
    <w:rsid w:val="004F0DC5"/>
    <w:rsid w:val="004F0EC7"/>
    <w:rsid w:val="004F12A9"/>
    <w:rsid w:val="004F1550"/>
    <w:rsid w:val="004F1F0F"/>
    <w:rsid w:val="004F1F5B"/>
    <w:rsid w:val="004F1FE5"/>
    <w:rsid w:val="004F2448"/>
    <w:rsid w:val="004F26AF"/>
    <w:rsid w:val="004F2765"/>
    <w:rsid w:val="004F2801"/>
    <w:rsid w:val="004F283C"/>
    <w:rsid w:val="004F2B60"/>
    <w:rsid w:val="004F2BD4"/>
    <w:rsid w:val="004F2D0A"/>
    <w:rsid w:val="004F2EA0"/>
    <w:rsid w:val="004F318C"/>
    <w:rsid w:val="004F3249"/>
    <w:rsid w:val="004F3252"/>
    <w:rsid w:val="004F3497"/>
    <w:rsid w:val="004F377E"/>
    <w:rsid w:val="004F39AD"/>
    <w:rsid w:val="004F3E15"/>
    <w:rsid w:val="004F413B"/>
    <w:rsid w:val="004F4198"/>
    <w:rsid w:val="004F442E"/>
    <w:rsid w:val="004F4436"/>
    <w:rsid w:val="004F444A"/>
    <w:rsid w:val="004F4578"/>
    <w:rsid w:val="004F475E"/>
    <w:rsid w:val="004F4870"/>
    <w:rsid w:val="004F48FA"/>
    <w:rsid w:val="004F4948"/>
    <w:rsid w:val="004F4E2D"/>
    <w:rsid w:val="004F4F55"/>
    <w:rsid w:val="004F5170"/>
    <w:rsid w:val="004F5237"/>
    <w:rsid w:val="004F5271"/>
    <w:rsid w:val="004F557F"/>
    <w:rsid w:val="004F55E4"/>
    <w:rsid w:val="004F5730"/>
    <w:rsid w:val="004F58E2"/>
    <w:rsid w:val="004F59DE"/>
    <w:rsid w:val="004F5B2D"/>
    <w:rsid w:val="004F5B7A"/>
    <w:rsid w:val="004F5D47"/>
    <w:rsid w:val="004F5DB1"/>
    <w:rsid w:val="004F61BD"/>
    <w:rsid w:val="004F634E"/>
    <w:rsid w:val="004F63B3"/>
    <w:rsid w:val="004F63F7"/>
    <w:rsid w:val="004F64BA"/>
    <w:rsid w:val="004F6995"/>
    <w:rsid w:val="004F6E0F"/>
    <w:rsid w:val="004F70E2"/>
    <w:rsid w:val="004F71BB"/>
    <w:rsid w:val="004F7303"/>
    <w:rsid w:val="004F75FC"/>
    <w:rsid w:val="004F7685"/>
    <w:rsid w:val="004F7763"/>
    <w:rsid w:val="004F7828"/>
    <w:rsid w:val="004F79C8"/>
    <w:rsid w:val="004F7F1A"/>
    <w:rsid w:val="00500044"/>
    <w:rsid w:val="00500106"/>
    <w:rsid w:val="00500240"/>
    <w:rsid w:val="00500327"/>
    <w:rsid w:val="00500685"/>
    <w:rsid w:val="00501229"/>
    <w:rsid w:val="00501272"/>
    <w:rsid w:val="00501274"/>
    <w:rsid w:val="0050130D"/>
    <w:rsid w:val="00501367"/>
    <w:rsid w:val="005016F7"/>
    <w:rsid w:val="00501725"/>
    <w:rsid w:val="00501CC9"/>
    <w:rsid w:val="00501DC8"/>
    <w:rsid w:val="00501E36"/>
    <w:rsid w:val="0050207D"/>
    <w:rsid w:val="005023EB"/>
    <w:rsid w:val="00502407"/>
    <w:rsid w:val="005024A5"/>
    <w:rsid w:val="005026BC"/>
    <w:rsid w:val="00502C7E"/>
    <w:rsid w:val="0050328A"/>
    <w:rsid w:val="00503516"/>
    <w:rsid w:val="00503745"/>
    <w:rsid w:val="00503890"/>
    <w:rsid w:val="00503893"/>
    <w:rsid w:val="005038EA"/>
    <w:rsid w:val="00503D70"/>
    <w:rsid w:val="0050411B"/>
    <w:rsid w:val="0050418D"/>
    <w:rsid w:val="005044BB"/>
    <w:rsid w:val="005048BA"/>
    <w:rsid w:val="00504A33"/>
    <w:rsid w:val="00504DE5"/>
    <w:rsid w:val="00504E0F"/>
    <w:rsid w:val="005055F5"/>
    <w:rsid w:val="005057CF"/>
    <w:rsid w:val="00505947"/>
    <w:rsid w:val="005059E6"/>
    <w:rsid w:val="00505D93"/>
    <w:rsid w:val="00505DB6"/>
    <w:rsid w:val="00505F08"/>
    <w:rsid w:val="00506123"/>
    <w:rsid w:val="005066B2"/>
    <w:rsid w:val="00506F8A"/>
    <w:rsid w:val="00507431"/>
    <w:rsid w:val="00507482"/>
    <w:rsid w:val="00507500"/>
    <w:rsid w:val="0050751B"/>
    <w:rsid w:val="005076A0"/>
    <w:rsid w:val="005078EC"/>
    <w:rsid w:val="00507FF9"/>
    <w:rsid w:val="005105F5"/>
    <w:rsid w:val="00510858"/>
    <w:rsid w:val="00510BD0"/>
    <w:rsid w:val="00510C37"/>
    <w:rsid w:val="00510E15"/>
    <w:rsid w:val="00510F3A"/>
    <w:rsid w:val="00511226"/>
    <w:rsid w:val="00511554"/>
    <w:rsid w:val="00511EF3"/>
    <w:rsid w:val="00512011"/>
    <w:rsid w:val="00512424"/>
    <w:rsid w:val="005126C1"/>
    <w:rsid w:val="00512791"/>
    <w:rsid w:val="005127C0"/>
    <w:rsid w:val="00512A38"/>
    <w:rsid w:val="00512A69"/>
    <w:rsid w:val="00512B76"/>
    <w:rsid w:val="00512C14"/>
    <w:rsid w:val="00512C16"/>
    <w:rsid w:val="00512C42"/>
    <w:rsid w:val="00512EFA"/>
    <w:rsid w:val="005132A5"/>
    <w:rsid w:val="0051343F"/>
    <w:rsid w:val="005135CC"/>
    <w:rsid w:val="00513EBF"/>
    <w:rsid w:val="005142C2"/>
    <w:rsid w:val="00514313"/>
    <w:rsid w:val="00514504"/>
    <w:rsid w:val="00514647"/>
    <w:rsid w:val="005146A9"/>
    <w:rsid w:val="00514B32"/>
    <w:rsid w:val="00514C0D"/>
    <w:rsid w:val="00514C33"/>
    <w:rsid w:val="00514D4D"/>
    <w:rsid w:val="0051528A"/>
    <w:rsid w:val="005157F4"/>
    <w:rsid w:val="005158FF"/>
    <w:rsid w:val="005159A2"/>
    <w:rsid w:val="00516048"/>
    <w:rsid w:val="005160FA"/>
    <w:rsid w:val="005161F1"/>
    <w:rsid w:val="005162F7"/>
    <w:rsid w:val="00516728"/>
    <w:rsid w:val="00516825"/>
    <w:rsid w:val="00516DEE"/>
    <w:rsid w:val="00516E16"/>
    <w:rsid w:val="00516FB9"/>
    <w:rsid w:val="0051705B"/>
    <w:rsid w:val="00517246"/>
    <w:rsid w:val="00517579"/>
    <w:rsid w:val="0051773C"/>
    <w:rsid w:val="005178E6"/>
    <w:rsid w:val="00517CE6"/>
    <w:rsid w:val="00520167"/>
    <w:rsid w:val="0052025E"/>
    <w:rsid w:val="00520432"/>
    <w:rsid w:val="00520492"/>
    <w:rsid w:val="00520859"/>
    <w:rsid w:val="005209B3"/>
    <w:rsid w:val="00520AAA"/>
    <w:rsid w:val="00520BE6"/>
    <w:rsid w:val="005211E1"/>
    <w:rsid w:val="00521467"/>
    <w:rsid w:val="005214C0"/>
    <w:rsid w:val="005215A8"/>
    <w:rsid w:val="005215FD"/>
    <w:rsid w:val="005216A7"/>
    <w:rsid w:val="00521B4F"/>
    <w:rsid w:val="005225F2"/>
    <w:rsid w:val="005226CE"/>
    <w:rsid w:val="00522728"/>
    <w:rsid w:val="00522944"/>
    <w:rsid w:val="00522980"/>
    <w:rsid w:val="005229EA"/>
    <w:rsid w:val="00522A4B"/>
    <w:rsid w:val="00522B67"/>
    <w:rsid w:val="00522C0C"/>
    <w:rsid w:val="00522CE8"/>
    <w:rsid w:val="00522CEB"/>
    <w:rsid w:val="00522DD7"/>
    <w:rsid w:val="00523078"/>
    <w:rsid w:val="005231E9"/>
    <w:rsid w:val="005231FF"/>
    <w:rsid w:val="00523239"/>
    <w:rsid w:val="005232E8"/>
    <w:rsid w:val="005239DF"/>
    <w:rsid w:val="00523ADC"/>
    <w:rsid w:val="0052446F"/>
    <w:rsid w:val="0052466C"/>
    <w:rsid w:val="00524714"/>
    <w:rsid w:val="00524DCE"/>
    <w:rsid w:val="005252A6"/>
    <w:rsid w:val="0052530E"/>
    <w:rsid w:val="00525441"/>
    <w:rsid w:val="0052546D"/>
    <w:rsid w:val="00525577"/>
    <w:rsid w:val="005257B5"/>
    <w:rsid w:val="005258E3"/>
    <w:rsid w:val="00525AF8"/>
    <w:rsid w:val="00525C2C"/>
    <w:rsid w:val="00525CC6"/>
    <w:rsid w:val="00525F55"/>
    <w:rsid w:val="005260F9"/>
    <w:rsid w:val="00526251"/>
    <w:rsid w:val="00526314"/>
    <w:rsid w:val="00526530"/>
    <w:rsid w:val="005265DD"/>
    <w:rsid w:val="00526659"/>
    <w:rsid w:val="00526ED0"/>
    <w:rsid w:val="00526F60"/>
    <w:rsid w:val="00526FAB"/>
    <w:rsid w:val="005270BD"/>
    <w:rsid w:val="005271BA"/>
    <w:rsid w:val="0052727D"/>
    <w:rsid w:val="005275CF"/>
    <w:rsid w:val="005277B6"/>
    <w:rsid w:val="005279B4"/>
    <w:rsid w:val="00527C75"/>
    <w:rsid w:val="0053015A"/>
    <w:rsid w:val="00530240"/>
    <w:rsid w:val="00530290"/>
    <w:rsid w:val="00530498"/>
    <w:rsid w:val="0053056B"/>
    <w:rsid w:val="005306E9"/>
    <w:rsid w:val="00530720"/>
    <w:rsid w:val="00530753"/>
    <w:rsid w:val="005309EC"/>
    <w:rsid w:val="00530C96"/>
    <w:rsid w:val="00530E13"/>
    <w:rsid w:val="005314C9"/>
    <w:rsid w:val="005319E0"/>
    <w:rsid w:val="00531C05"/>
    <w:rsid w:val="00531E05"/>
    <w:rsid w:val="00531FFC"/>
    <w:rsid w:val="0053204B"/>
    <w:rsid w:val="005322A1"/>
    <w:rsid w:val="0053240E"/>
    <w:rsid w:val="00532414"/>
    <w:rsid w:val="00532459"/>
    <w:rsid w:val="005329C0"/>
    <w:rsid w:val="0053355F"/>
    <w:rsid w:val="005336E3"/>
    <w:rsid w:val="00533FE0"/>
    <w:rsid w:val="0053409A"/>
    <w:rsid w:val="005340B1"/>
    <w:rsid w:val="00534959"/>
    <w:rsid w:val="0053498F"/>
    <w:rsid w:val="00534BF9"/>
    <w:rsid w:val="00534E1A"/>
    <w:rsid w:val="0053504A"/>
    <w:rsid w:val="0053568A"/>
    <w:rsid w:val="005356CD"/>
    <w:rsid w:val="00535879"/>
    <w:rsid w:val="005358EC"/>
    <w:rsid w:val="005359F4"/>
    <w:rsid w:val="00535AEB"/>
    <w:rsid w:val="00535DD8"/>
    <w:rsid w:val="00535F24"/>
    <w:rsid w:val="00535F6A"/>
    <w:rsid w:val="00536112"/>
    <w:rsid w:val="00536205"/>
    <w:rsid w:val="0053629E"/>
    <w:rsid w:val="005362DA"/>
    <w:rsid w:val="00536444"/>
    <w:rsid w:val="00536605"/>
    <w:rsid w:val="00536930"/>
    <w:rsid w:val="00536CAE"/>
    <w:rsid w:val="00536DC6"/>
    <w:rsid w:val="00536DEA"/>
    <w:rsid w:val="00536EDC"/>
    <w:rsid w:val="0053703B"/>
    <w:rsid w:val="00537156"/>
    <w:rsid w:val="0053743D"/>
    <w:rsid w:val="00537688"/>
    <w:rsid w:val="0053784E"/>
    <w:rsid w:val="005378E3"/>
    <w:rsid w:val="00537CC9"/>
    <w:rsid w:val="00537D04"/>
    <w:rsid w:val="00537F6C"/>
    <w:rsid w:val="00537FE8"/>
    <w:rsid w:val="005400FD"/>
    <w:rsid w:val="005401C2"/>
    <w:rsid w:val="0054023C"/>
    <w:rsid w:val="00540333"/>
    <w:rsid w:val="00540349"/>
    <w:rsid w:val="0054070A"/>
    <w:rsid w:val="005407F3"/>
    <w:rsid w:val="00540DBA"/>
    <w:rsid w:val="0054117B"/>
    <w:rsid w:val="0054120C"/>
    <w:rsid w:val="0054121B"/>
    <w:rsid w:val="0054135A"/>
    <w:rsid w:val="0054139B"/>
    <w:rsid w:val="0054177B"/>
    <w:rsid w:val="005417FA"/>
    <w:rsid w:val="00541806"/>
    <w:rsid w:val="005418A7"/>
    <w:rsid w:val="005418AB"/>
    <w:rsid w:val="00541A1F"/>
    <w:rsid w:val="00541C1E"/>
    <w:rsid w:val="00541E93"/>
    <w:rsid w:val="00541EE6"/>
    <w:rsid w:val="005421E1"/>
    <w:rsid w:val="00542874"/>
    <w:rsid w:val="0054287B"/>
    <w:rsid w:val="005429FA"/>
    <w:rsid w:val="00542C5D"/>
    <w:rsid w:val="00543229"/>
    <w:rsid w:val="005434C2"/>
    <w:rsid w:val="005437C8"/>
    <w:rsid w:val="00543B95"/>
    <w:rsid w:val="00543F8D"/>
    <w:rsid w:val="00543FD5"/>
    <w:rsid w:val="005443F1"/>
    <w:rsid w:val="005445C6"/>
    <w:rsid w:val="005446F3"/>
    <w:rsid w:val="00544827"/>
    <w:rsid w:val="005448BF"/>
    <w:rsid w:val="00544B46"/>
    <w:rsid w:val="00544FE0"/>
    <w:rsid w:val="00545104"/>
    <w:rsid w:val="005451BF"/>
    <w:rsid w:val="00545574"/>
    <w:rsid w:val="00545C76"/>
    <w:rsid w:val="005466CC"/>
    <w:rsid w:val="00546987"/>
    <w:rsid w:val="00546B5F"/>
    <w:rsid w:val="00546CE5"/>
    <w:rsid w:val="005470D7"/>
    <w:rsid w:val="00547429"/>
    <w:rsid w:val="005474A1"/>
    <w:rsid w:val="005474AC"/>
    <w:rsid w:val="00547A14"/>
    <w:rsid w:val="00547CB1"/>
    <w:rsid w:val="00547CD8"/>
    <w:rsid w:val="00547D92"/>
    <w:rsid w:val="00547F2F"/>
    <w:rsid w:val="0055040C"/>
    <w:rsid w:val="0055045F"/>
    <w:rsid w:val="0055064D"/>
    <w:rsid w:val="00550C0B"/>
    <w:rsid w:val="00550CC9"/>
    <w:rsid w:val="00550FBF"/>
    <w:rsid w:val="005510DC"/>
    <w:rsid w:val="00551271"/>
    <w:rsid w:val="0055141E"/>
    <w:rsid w:val="005515C4"/>
    <w:rsid w:val="005517CA"/>
    <w:rsid w:val="00551D6D"/>
    <w:rsid w:val="00551D72"/>
    <w:rsid w:val="00551F32"/>
    <w:rsid w:val="00551FB5"/>
    <w:rsid w:val="0055210C"/>
    <w:rsid w:val="00552111"/>
    <w:rsid w:val="0055274E"/>
    <w:rsid w:val="005529F7"/>
    <w:rsid w:val="00552C4A"/>
    <w:rsid w:val="00552F27"/>
    <w:rsid w:val="0055307E"/>
    <w:rsid w:val="00553478"/>
    <w:rsid w:val="00553552"/>
    <w:rsid w:val="005536A0"/>
    <w:rsid w:val="00553AA6"/>
    <w:rsid w:val="00553C7E"/>
    <w:rsid w:val="00553C8F"/>
    <w:rsid w:val="00554580"/>
    <w:rsid w:val="00554766"/>
    <w:rsid w:val="005547DD"/>
    <w:rsid w:val="0055488C"/>
    <w:rsid w:val="005548BA"/>
    <w:rsid w:val="0055494C"/>
    <w:rsid w:val="00554B14"/>
    <w:rsid w:val="00554E9A"/>
    <w:rsid w:val="00555053"/>
    <w:rsid w:val="005553C3"/>
    <w:rsid w:val="005558D5"/>
    <w:rsid w:val="005558FE"/>
    <w:rsid w:val="00555C0F"/>
    <w:rsid w:val="00555D2D"/>
    <w:rsid w:val="00555D42"/>
    <w:rsid w:val="00555FC6"/>
    <w:rsid w:val="00556176"/>
    <w:rsid w:val="005561A2"/>
    <w:rsid w:val="0055634F"/>
    <w:rsid w:val="0055662F"/>
    <w:rsid w:val="00556985"/>
    <w:rsid w:val="00556CB8"/>
    <w:rsid w:val="005570ED"/>
    <w:rsid w:val="00557151"/>
    <w:rsid w:val="005573F7"/>
    <w:rsid w:val="0055741B"/>
    <w:rsid w:val="00557599"/>
    <w:rsid w:val="00557796"/>
    <w:rsid w:val="005577FB"/>
    <w:rsid w:val="005579F2"/>
    <w:rsid w:val="00557F0C"/>
    <w:rsid w:val="00557FE4"/>
    <w:rsid w:val="0056006E"/>
    <w:rsid w:val="00560367"/>
    <w:rsid w:val="00560549"/>
    <w:rsid w:val="00560568"/>
    <w:rsid w:val="00560713"/>
    <w:rsid w:val="00560755"/>
    <w:rsid w:val="00560AE0"/>
    <w:rsid w:val="00560D5A"/>
    <w:rsid w:val="00560DBC"/>
    <w:rsid w:val="0056100A"/>
    <w:rsid w:val="00561442"/>
    <w:rsid w:val="00561626"/>
    <w:rsid w:val="005616A6"/>
    <w:rsid w:val="00561AD3"/>
    <w:rsid w:val="00562004"/>
    <w:rsid w:val="00562027"/>
    <w:rsid w:val="0056210D"/>
    <w:rsid w:val="005621CB"/>
    <w:rsid w:val="00562258"/>
    <w:rsid w:val="00562263"/>
    <w:rsid w:val="00562387"/>
    <w:rsid w:val="005624D8"/>
    <w:rsid w:val="00562A06"/>
    <w:rsid w:val="00562F1C"/>
    <w:rsid w:val="00563487"/>
    <w:rsid w:val="005637DE"/>
    <w:rsid w:val="00563B81"/>
    <w:rsid w:val="00563C4C"/>
    <w:rsid w:val="005648B5"/>
    <w:rsid w:val="005650FB"/>
    <w:rsid w:val="005652A6"/>
    <w:rsid w:val="00565622"/>
    <w:rsid w:val="0056594A"/>
    <w:rsid w:val="005659EA"/>
    <w:rsid w:val="00565D09"/>
    <w:rsid w:val="00565DBB"/>
    <w:rsid w:val="00565E3C"/>
    <w:rsid w:val="005660A6"/>
    <w:rsid w:val="00566164"/>
    <w:rsid w:val="005661B4"/>
    <w:rsid w:val="0056629E"/>
    <w:rsid w:val="005662DA"/>
    <w:rsid w:val="005664C3"/>
    <w:rsid w:val="005665A4"/>
    <w:rsid w:val="005665AC"/>
    <w:rsid w:val="005665C3"/>
    <w:rsid w:val="00566667"/>
    <w:rsid w:val="005667D7"/>
    <w:rsid w:val="00566912"/>
    <w:rsid w:val="0056699F"/>
    <w:rsid w:val="00566A77"/>
    <w:rsid w:val="00566ADD"/>
    <w:rsid w:val="00566D1B"/>
    <w:rsid w:val="00566DB2"/>
    <w:rsid w:val="00566EDF"/>
    <w:rsid w:val="00566FDE"/>
    <w:rsid w:val="005671E6"/>
    <w:rsid w:val="00567484"/>
    <w:rsid w:val="00567522"/>
    <w:rsid w:val="00567844"/>
    <w:rsid w:val="0056794C"/>
    <w:rsid w:val="00567B1E"/>
    <w:rsid w:val="00567E15"/>
    <w:rsid w:val="0057016D"/>
    <w:rsid w:val="00570740"/>
    <w:rsid w:val="005709B5"/>
    <w:rsid w:val="00570C1A"/>
    <w:rsid w:val="00570D0E"/>
    <w:rsid w:val="00570F44"/>
    <w:rsid w:val="00570FEC"/>
    <w:rsid w:val="00571195"/>
    <w:rsid w:val="00571253"/>
    <w:rsid w:val="0057131F"/>
    <w:rsid w:val="005720F3"/>
    <w:rsid w:val="0057210C"/>
    <w:rsid w:val="00572654"/>
    <w:rsid w:val="00572901"/>
    <w:rsid w:val="00572920"/>
    <w:rsid w:val="00572BE0"/>
    <w:rsid w:val="00572F13"/>
    <w:rsid w:val="005731F9"/>
    <w:rsid w:val="005732F6"/>
    <w:rsid w:val="00573340"/>
    <w:rsid w:val="0057348B"/>
    <w:rsid w:val="005737F6"/>
    <w:rsid w:val="00573CE2"/>
    <w:rsid w:val="00574113"/>
    <w:rsid w:val="0057438C"/>
    <w:rsid w:val="005744FC"/>
    <w:rsid w:val="005746E9"/>
    <w:rsid w:val="005748AF"/>
    <w:rsid w:val="00574B5F"/>
    <w:rsid w:val="00574B79"/>
    <w:rsid w:val="00575214"/>
    <w:rsid w:val="0057564D"/>
    <w:rsid w:val="005757E4"/>
    <w:rsid w:val="00575A38"/>
    <w:rsid w:val="00575AF3"/>
    <w:rsid w:val="00575DDD"/>
    <w:rsid w:val="00575F82"/>
    <w:rsid w:val="005763EF"/>
    <w:rsid w:val="005764B8"/>
    <w:rsid w:val="00576535"/>
    <w:rsid w:val="0057669A"/>
    <w:rsid w:val="005767D4"/>
    <w:rsid w:val="005769E9"/>
    <w:rsid w:val="00576ABB"/>
    <w:rsid w:val="00576AF2"/>
    <w:rsid w:val="00576B69"/>
    <w:rsid w:val="00576D4E"/>
    <w:rsid w:val="00576E16"/>
    <w:rsid w:val="005774D0"/>
    <w:rsid w:val="00577657"/>
    <w:rsid w:val="00577CC3"/>
    <w:rsid w:val="00577D7F"/>
    <w:rsid w:val="00577E9C"/>
    <w:rsid w:val="00577FE2"/>
    <w:rsid w:val="00580210"/>
    <w:rsid w:val="005803A9"/>
    <w:rsid w:val="00580511"/>
    <w:rsid w:val="00580876"/>
    <w:rsid w:val="00580A08"/>
    <w:rsid w:val="00580C16"/>
    <w:rsid w:val="00580C99"/>
    <w:rsid w:val="00580E39"/>
    <w:rsid w:val="00581174"/>
    <w:rsid w:val="005811D9"/>
    <w:rsid w:val="005812C4"/>
    <w:rsid w:val="00581340"/>
    <w:rsid w:val="00581526"/>
    <w:rsid w:val="00581AE5"/>
    <w:rsid w:val="0058229D"/>
    <w:rsid w:val="005824C0"/>
    <w:rsid w:val="0058274F"/>
    <w:rsid w:val="00582AC2"/>
    <w:rsid w:val="00582D6D"/>
    <w:rsid w:val="00582DBA"/>
    <w:rsid w:val="005830BA"/>
    <w:rsid w:val="005833EC"/>
    <w:rsid w:val="00583595"/>
    <w:rsid w:val="005835E7"/>
    <w:rsid w:val="005837CA"/>
    <w:rsid w:val="005838A3"/>
    <w:rsid w:val="00583A85"/>
    <w:rsid w:val="00583D0F"/>
    <w:rsid w:val="00583E5A"/>
    <w:rsid w:val="00583E79"/>
    <w:rsid w:val="00583F39"/>
    <w:rsid w:val="00583FEF"/>
    <w:rsid w:val="005840DF"/>
    <w:rsid w:val="00584181"/>
    <w:rsid w:val="00584440"/>
    <w:rsid w:val="00584727"/>
    <w:rsid w:val="00584BB4"/>
    <w:rsid w:val="005851CF"/>
    <w:rsid w:val="00585517"/>
    <w:rsid w:val="005856D0"/>
    <w:rsid w:val="0058574C"/>
    <w:rsid w:val="005859E5"/>
    <w:rsid w:val="00585A27"/>
    <w:rsid w:val="00585CDC"/>
    <w:rsid w:val="00585DB2"/>
    <w:rsid w:val="00586301"/>
    <w:rsid w:val="00586511"/>
    <w:rsid w:val="0058664E"/>
    <w:rsid w:val="00586AA1"/>
    <w:rsid w:val="00586C26"/>
    <w:rsid w:val="00586FE8"/>
    <w:rsid w:val="0058702E"/>
    <w:rsid w:val="005871C6"/>
    <w:rsid w:val="005871F8"/>
    <w:rsid w:val="00587332"/>
    <w:rsid w:val="00587811"/>
    <w:rsid w:val="00587B93"/>
    <w:rsid w:val="00587E6A"/>
    <w:rsid w:val="00587EBD"/>
    <w:rsid w:val="0059007C"/>
    <w:rsid w:val="00590595"/>
    <w:rsid w:val="0059080A"/>
    <w:rsid w:val="00590B9C"/>
    <w:rsid w:val="00590E92"/>
    <w:rsid w:val="00590EA5"/>
    <w:rsid w:val="005910F6"/>
    <w:rsid w:val="005911E3"/>
    <w:rsid w:val="005914A5"/>
    <w:rsid w:val="0059180B"/>
    <w:rsid w:val="0059196C"/>
    <w:rsid w:val="005919D9"/>
    <w:rsid w:val="00591A36"/>
    <w:rsid w:val="00592080"/>
    <w:rsid w:val="005928D3"/>
    <w:rsid w:val="00592953"/>
    <w:rsid w:val="00592955"/>
    <w:rsid w:val="00592A6E"/>
    <w:rsid w:val="00592B65"/>
    <w:rsid w:val="00592C66"/>
    <w:rsid w:val="00592D3B"/>
    <w:rsid w:val="00592F5F"/>
    <w:rsid w:val="00592FB7"/>
    <w:rsid w:val="00593164"/>
    <w:rsid w:val="0059320F"/>
    <w:rsid w:val="0059336D"/>
    <w:rsid w:val="00593559"/>
    <w:rsid w:val="005936BE"/>
    <w:rsid w:val="00593A51"/>
    <w:rsid w:val="00593B9E"/>
    <w:rsid w:val="00593C1A"/>
    <w:rsid w:val="0059455B"/>
    <w:rsid w:val="00594893"/>
    <w:rsid w:val="0059497D"/>
    <w:rsid w:val="00594A27"/>
    <w:rsid w:val="00594F54"/>
    <w:rsid w:val="00595031"/>
    <w:rsid w:val="0059545B"/>
    <w:rsid w:val="00595548"/>
    <w:rsid w:val="0059554A"/>
    <w:rsid w:val="0059564A"/>
    <w:rsid w:val="005956DD"/>
    <w:rsid w:val="00595C38"/>
    <w:rsid w:val="00595E85"/>
    <w:rsid w:val="00595F20"/>
    <w:rsid w:val="00596011"/>
    <w:rsid w:val="00596057"/>
    <w:rsid w:val="005960B9"/>
    <w:rsid w:val="005961DC"/>
    <w:rsid w:val="005961F8"/>
    <w:rsid w:val="0059637B"/>
    <w:rsid w:val="005964BC"/>
    <w:rsid w:val="005965FA"/>
    <w:rsid w:val="005967C9"/>
    <w:rsid w:val="005968D3"/>
    <w:rsid w:val="00596DE4"/>
    <w:rsid w:val="00596F2F"/>
    <w:rsid w:val="00596F6C"/>
    <w:rsid w:val="00596FE4"/>
    <w:rsid w:val="00597176"/>
    <w:rsid w:val="00597341"/>
    <w:rsid w:val="0059746B"/>
    <w:rsid w:val="005975E3"/>
    <w:rsid w:val="00597731"/>
    <w:rsid w:val="00597753"/>
    <w:rsid w:val="005977C1"/>
    <w:rsid w:val="005977FF"/>
    <w:rsid w:val="00597C22"/>
    <w:rsid w:val="00597C88"/>
    <w:rsid w:val="005A032D"/>
    <w:rsid w:val="005A03A2"/>
    <w:rsid w:val="005A0632"/>
    <w:rsid w:val="005A06ED"/>
    <w:rsid w:val="005A0886"/>
    <w:rsid w:val="005A0A06"/>
    <w:rsid w:val="005A0A8B"/>
    <w:rsid w:val="005A0C26"/>
    <w:rsid w:val="005A0E3D"/>
    <w:rsid w:val="005A0F4F"/>
    <w:rsid w:val="005A10B8"/>
    <w:rsid w:val="005A11D4"/>
    <w:rsid w:val="005A1470"/>
    <w:rsid w:val="005A18A2"/>
    <w:rsid w:val="005A2880"/>
    <w:rsid w:val="005A2B52"/>
    <w:rsid w:val="005A2E52"/>
    <w:rsid w:val="005A2FA8"/>
    <w:rsid w:val="005A2FD2"/>
    <w:rsid w:val="005A30C3"/>
    <w:rsid w:val="005A38C7"/>
    <w:rsid w:val="005A3926"/>
    <w:rsid w:val="005A3936"/>
    <w:rsid w:val="005A3AFE"/>
    <w:rsid w:val="005A3B15"/>
    <w:rsid w:val="005A3C87"/>
    <w:rsid w:val="005A3FC8"/>
    <w:rsid w:val="005A40E3"/>
    <w:rsid w:val="005A41A9"/>
    <w:rsid w:val="005A42D8"/>
    <w:rsid w:val="005A435E"/>
    <w:rsid w:val="005A4922"/>
    <w:rsid w:val="005A4A01"/>
    <w:rsid w:val="005A4B20"/>
    <w:rsid w:val="005A4C81"/>
    <w:rsid w:val="005A4FF0"/>
    <w:rsid w:val="005A5116"/>
    <w:rsid w:val="005A5432"/>
    <w:rsid w:val="005A54AB"/>
    <w:rsid w:val="005A551E"/>
    <w:rsid w:val="005A558A"/>
    <w:rsid w:val="005A568F"/>
    <w:rsid w:val="005A581B"/>
    <w:rsid w:val="005A5A5B"/>
    <w:rsid w:val="005A5C6A"/>
    <w:rsid w:val="005A6757"/>
    <w:rsid w:val="005A6774"/>
    <w:rsid w:val="005A6900"/>
    <w:rsid w:val="005A6955"/>
    <w:rsid w:val="005A6C21"/>
    <w:rsid w:val="005A6C83"/>
    <w:rsid w:val="005A6CAC"/>
    <w:rsid w:val="005A7289"/>
    <w:rsid w:val="005A7ACF"/>
    <w:rsid w:val="005A7B31"/>
    <w:rsid w:val="005A7BC7"/>
    <w:rsid w:val="005A7DF8"/>
    <w:rsid w:val="005A7E9A"/>
    <w:rsid w:val="005B0314"/>
    <w:rsid w:val="005B0627"/>
    <w:rsid w:val="005B075D"/>
    <w:rsid w:val="005B080A"/>
    <w:rsid w:val="005B0A26"/>
    <w:rsid w:val="005B0E93"/>
    <w:rsid w:val="005B0F1B"/>
    <w:rsid w:val="005B14FF"/>
    <w:rsid w:val="005B18B4"/>
    <w:rsid w:val="005B1A20"/>
    <w:rsid w:val="005B1E20"/>
    <w:rsid w:val="005B1F49"/>
    <w:rsid w:val="005B29B4"/>
    <w:rsid w:val="005B2A8C"/>
    <w:rsid w:val="005B2AA9"/>
    <w:rsid w:val="005B2AB7"/>
    <w:rsid w:val="005B2C72"/>
    <w:rsid w:val="005B2D79"/>
    <w:rsid w:val="005B2E20"/>
    <w:rsid w:val="005B2FB2"/>
    <w:rsid w:val="005B3A04"/>
    <w:rsid w:val="005B3AD3"/>
    <w:rsid w:val="005B3D10"/>
    <w:rsid w:val="005B3D30"/>
    <w:rsid w:val="005B3D53"/>
    <w:rsid w:val="005B3D7F"/>
    <w:rsid w:val="005B3E5E"/>
    <w:rsid w:val="005B3F06"/>
    <w:rsid w:val="005B411E"/>
    <w:rsid w:val="005B4340"/>
    <w:rsid w:val="005B4537"/>
    <w:rsid w:val="005B46B5"/>
    <w:rsid w:val="005B46B9"/>
    <w:rsid w:val="005B4BAB"/>
    <w:rsid w:val="005B4BCE"/>
    <w:rsid w:val="005B4C24"/>
    <w:rsid w:val="005B4D08"/>
    <w:rsid w:val="005B50A2"/>
    <w:rsid w:val="005B5220"/>
    <w:rsid w:val="005B5554"/>
    <w:rsid w:val="005B5605"/>
    <w:rsid w:val="005B5625"/>
    <w:rsid w:val="005B5762"/>
    <w:rsid w:val="005B57F3"/>
    <w:rsid w:val="005B5AB5"/>
    <w:rsid w:val="005B5C0B"/>
    <w:rsid w:val="005B5C7C"/>
    <w:rsid w:val="005B607C"/>
    <w:rsid w:val="005B6259"/>
    <w:rsid w:val="005B6593"/>
    <w:rsid w:val="005B696D"/>
    <w:rsid w:val="005B69E7"/>
    <w:rsid w:val="005B6DE5"/>
    <w:rsid w:val="005B71D9"/>
    <w:rsid w:val="005B734B"/>
    <w:rsid w:val="005B789F"/>
    <w:rsid w:val="005B793A"/>
    <w:rsid w:val="005B7AD6"/>
    <w:rsid w:val="005B7B94"/>
    <w:rsid w:val="005B7CA1"/>
    <w:rsid w:val="005B7D48"/>
    <w:rsid w:val="005B7E59"/>
    <w:rsid w:val="005B7FD1"/>
    <w:rsid w:val="005C052F"/>
    <w:rsid w:val="005C0668"/>
    <w:rsid w:val="005C06F1"/>
    <w:rsid w:val="005C0981"/>
    <w:rsid w:val="005C0FCE"/>
    <w:rsid w:val="005C1042"/>
    <w:rsid w:val="005C13F9"/>
    <w:rsid w:val="005C14FD"/>
    <w:rsid w:val="005C1747"/>
    <w:rsid w:val="005C18D9"/>
    <w:rsid w:val="005C1BA1"/>
    <w:rsid w:val="005C1EBE"/>
    <w:rsid w:val="005C1F9C"/>
    <w:rsid w:val="005C2105"/>
    <w:rsid w:val="005C227B"/>
    <w:rsid w:val="005C281D"/>
    <w:rsid w:val="005C28A4"/>
    <w:rsid w:val="005C2B47"/>
    <w:rsid w:val="005C2D9B"/>
    <w:rsid w:val="005C3509"/>
    <w:rsid w:val="005C38CD"/>
    <w:rsid w:val="005C3A6C"/>
    <w:rsid w:val="005C3C2B"/>
    <w:rsid w:val="005C3C7A"/>
    <w:rsid w:val="005C3CBB"/>
    <w:rsid w:val="005C4039"/>
    <w:rsid w:val="005C4160"/>
    <w:rsid w:val="005C4755"/>
    <w:rsid w:val="005C48A7"/>
    <w:rsid w:val="005C4D8E"/>
    <w:rsid w:val="005C4E45"/>
    <w:rsid w:val="005C569F"/>
    <w:rsid w:val="005C577C"/>
    <w:rsid w:val="005C57C9"/>
    <w:rsid w:val="005C5A58"/>
    <w:rsid w:val="005C5A7C"/>
    <w:rsid w:val="005C5B77"/>
    <w:rsid w:val="005C5D62"/>
    <w:rsid w:val="005C607E"/>
    <w:rsid w:val="005C61D7"/>
    <w:rsid w:val="005C632D"/>
    <w:rsid w:val="005C635F"/>
    <w:rsid w:val="005C637C"/>
    <w:rsid w:val="005C66CB"/>
    <w:rsid w:val="005C69E8"/>
    <w:rsid w:val="005C6C64"/>
    <w:rsid w:val="005C7074"/>
    <w:rsid w:val="005C708D"/>
    <w:rsid w:val="005C70E2"/>
    <w:rsid w:val="005C72A8"/>
    <w:rsid w:val="005C7319"/>
    <w:rsid w:val="005C73B9"/>
    <w:rsid w:val="005C741F"/>
    <w:rsid w:val="005C7457"/>
    <w:rsid w:val="005C74C2"/>
    <w:rsid w:val="005C76F4"/>
    <w:rsid w:val="005C77DA"/>
    <w:rsid w:val="005C7887"/>
    <w:rsid w:val="005C78FE"/>
    <w:rsid w:val="005C7901"/>
    <w:rsid w:val="005D0160"/>
    <w:rsid w:val="005D0698"/>
    <w:rsid w:val="005D07B2"/>
    <w:rsid w:val="005D09BA"/>
    <w:rsid w:val="005D0A60"/>
    <w:rsid w:val="005D0AA7"/>
    <w:rsid w:val="005D0BC2"/>
    <w:rsid w:val="005D0E2D"/>
    <w:rsid w:val="005D1169"/>
    <w:rsid w:val="005D1234"/>
    <w:rsid w:val="005D133D"/>
    <w:rsid w:val="005D169B"/>
    <w:rsid w:val="005D16FE"/>
    <w:rsid w:val="005D1776"/>
    <w:rsid w:val="005D18FF"/>
    <w:rsid w:val="005D19A1"/>
    <w:rsid w:val="005D1A2A"/>
    <w:rsid w:val="005D1D38"/>
    <w:rsid w:val="005D1D4D"/>
    <w:rsid w:val="005D1E2D"/>
    <w:rsid w:val="005D1FD3"/>
    <w:rsid w:val="005D238A"/>
    <w:rsid w:val="005D240B"/>
    <w:rsid w:val="005D25D8"/>
    <w:rsid w:val="005D273C"/>
    <w:rsid w:val="005D2822"/>
    <w:rsid w:val="005D28B6"/>
    <w:rsid w:val="005D2941"/>
    <w:rsid w:val="005D2A17"/>
    <w:rsid w:val="005D2A39"/>
    <w:rsid w:val="005D2B1B"/>
    <w:rsid w:val="005D2B4B"/>
    <w:rsid w:val="005D2E39"/>
    <w:rsid w:val="005D2FFA"/>
    <w:rsid w:val="005D3245"/>
    <w:rsid w:val="005D328A"/>
    <w:rsid w:val="005D388B"/>
    <w:rsid w:val="005D3C5A"/>
    <w:rsid w:val="005D41B6"/>
    <w:rsid w:val="005D4290"/>
    <w:rsid w:val="005D450A"/>
    <w:rsid w:val="005D460B"/>
    <w:rsid w:val="005D4BB4"/>
    <w:rsid w:val="005D4BBD"/>
    <w:rsid w:val="005D4CBA"/>
    <w:rsid w:val="005D4CFF"/>
    <w:rsid w:val="005D4E35"/>
    <w:rsid w:val="005D50AD"/>
    <w:rsid w:val="005D529A"/>
    <w:rsid w:val="005D5310"/>
    <w:rsid w:val="005D5351"/>
    <w:rsid w:val="005D5B53"/>
    <w:rsid w:val="005D5CB5"/>
    <w:rsid w:val="005D623E"/>
    <w:rsid w:val="005D62C3"/>
    <w:rsid w:val="005D6324"/>
    <w:rsid w:val="005D6353"/>
    <w:rsid w:val="005D6375"/>
    <w:rsid w:val="005D6597"/>
    <w:rsid w:val="005D67AE"/>
    <w:rsid w:val="005D6D86"/>
    <w:rsid w:val="005D6DA2"/>
    <w:rsid w:val="005D748A"/>
    <w:rsid w:val="005D7561"/>
    <w:rsid w:val="005D7891"/>
    <w:rsid w:val="005D7C86"/>
    <w:rsid w:val="005D7E11"/>
    <w:rsid w:val="005E0051"/>
    <w:rsid w:val="005E0240"/>
    <w:rsid w:val="005E042F"/>
    <w:rsid w:val="005E07E4"/>
    <w:rsid w:val="005E09D0"/>
    <w:rsid w:val="005E09D1"/>
    <w:rsid w:val="005E0B8A"/>
    <w:rsid w:val="005E0B97"/>
    <w:rsid w:val="005E0E75"/>
    <w:rsid w:val="005E10FA"/>
    <w:rsid w:val="005E11DC"/>
    <w:rsid w:val="005E138C"/>
    <w:rsid w:val="005E16A0"/>
    <w:rsid w:val="005E1C49"/>
    <w:rsid w:val="005E1F23"/>
    <w:rsid w:val="005E214E"/>
    <w:rsid w:val="005E22D2"/>
    <w:rsid w:val="005E2981"/>
    <w:rsid w:val="005E2BFB"/>
    <w:rsid w:val="005E2F30"/>
    <w:rsid w:val="005E33B7"/>
    <w:rsid w:val="005E34C2"/>
    <w:rsid w:val="005E3696"/>
    <w:rsid w:val="005E3740"/>
    <w:rsid w:val="005E3917"/>
    <w:rsid w:val="005E3A52"/>
    <w:rsid w:val="005E3D76"/>
    <w:rsid w:val="005E3FAE"/>
    <w:rsid w:val="005E403D"/>
    <w:rsid w:val="005E4094"/>
    <w:rsid w:val="005E4269"/>
    <w:rsid w:val="005E4386"/>
    <w:rsid w:val="005E446F"/>
    <w:rsid w:val="005E462D"/>
    <w:rsid w:val="005E4F3A"/>
    <w:rsid w:val="005E4FF2"/>
    <w:rsid w:val="005E524E"/>
    <w:rsid w:val="005E5431"/>
    <w:rsid w:val="005E5467"/>
    <w:rsid w:val="005E56A3"/>
    <w:rsid w:val="005E5888"/>
    <w:rsid w:val="005E58F2"/>
    <w:rsid w:val="005E5AEF"/>
    <w:rsid w:val="005E5B7B"/>
    <w:rsid w:val="005E5C25"/>
    <w:rsid w:val="005E5EEF"/>
    <w:rsid w:val="005E612C"/>
    <w:rsid w:val="005E613B"/>
    <w:rsid w:val="005E640F"/>
    <w:rsid w:val="005E643C"/>
    <w:rsid w:val="005E6A20"/>
    <w:rsid w:val="005E6D37"/>
    <w:rsid w:val="005E707C"/>
    <w:rsid w:val="005E7557"/>
    <w:rsid w:val="005E7A0B"/>
    <w:rsid w:val="005E7BA3"/>
    <w:rsid w:val="005E7CC6"/>
    <w:rsid w:val="005E7E52"/>
    <w:rsid w:val="005E7ED1"/>
    <w:rsid w:val="005E7FA4"/>
    <w:rsid w:val="005F0268"/>
    <w:rsid w:val="005F057A"/>
    <w:rsid w:val="005F08E2"/>
    <w:rsid w:val="005F0BAA"/>
    <w:rsid w:val="005F0BC8"/>
    <w:rsid w:val="005F0C9D"/>
    <w:rsid w:val="005F0FC0"/>
    <w:rsid w:val="005F101D"/>
    <w:rsid w:val="005F1356"/>
    <w:rsid w:val="005F1B1A"/>
    <w:rsid w:val="005F1CF9"/>
    <w:rsid w:val="005F1D18"/>
    <w:rsid w:val="005F20A0"/>
    <w:rsid w:val="005F20B1"/>
    <w:rsid w:val="005F2517"/>
    <w:rsid w:val="005F2630"/>
    <w:rsid w:val="005F2677"/>
    <w:rsid w:val="005F2750"/>
    <w:rsid w:val="005F27BD"/>
    <w:rsid w:val="005F29AB"/>
    <w:rsid w:val="005F2C89"/>
    <w:rsid w:val="005F2D7B"/>
    <w:rsid w:val="005F3503"/>
    <w:rsid w:val="005F3549"/>
    <w:rsid w:val="005F39DD"/>
    <w:rsid w:val="005F4235"/>
    <w:rsid w:val="005F42B3"/>
    <w:rsid w:val="005F44D9"/>
    <w:rsid w:val="005F46D2"/>
    <w:rsid w:val="005F47D3"/>
    <w:rsid w:val="005F49A7"/>
    <w:rsid w:val="005F4B66"/>
    <w:rsid w:val="005F4B6D"/>
    <w:rsid w:val="005F4C8C"/>
    <w:rsid w:val="005F4D49"/>
    <w:rsid w:val="005F4DED"/>
    <w:rsid w:val="005F570A"/>
    <w:rsid w:val="005F57F1"/>
    <w:rsid w:val="005F5926"/>
    <w:rsid w:val="005F5A1F"/>
    <w:rsid w:val="005F5BFD"/>
    <w:rsid w:val="005F5C50"/>
    <w:rsid w:val="005F5C53"/>
    <w:rsid w:val="005F6106"/>
    <w:rsid w:val="005F67A6"/>
    <w:rsid w:val="005F67B3"/>
    <w:rsid w:val="005F6917"/>
    <w:rsid w:val="005F6922"/>
    <w:rsid w:val="005F6B56"/>
    <w:rsid w:val="005F6BE6"/>
    <w:rsid w:val="005F6C9F"/>
    <w:rsid w:val="005F6E35"/>
    <w:rsid w:val="005F6F52"/>
    <w:rsid w:val="005F7177"/>
    <w:rsid w:val="005F7246"/>
    <w:rsid w:val="005F7345"/>
    <w:rsid w:val="005F7380"/>
    <w:rsid w:val="005F741B"/>
    <w:rsid w:val="005F7489"/>
    <w:rsid w:val="005F755F"/>
    <w:rsid w:val="005F76D4"/>
    <w:rsid w:val="005F7AE2"/>
    <w:rsid w:val="005F7BB9"/>
    <w:rsid w:val="005F7D17"/>
    <w:rsid w:val="005F7DFE"/>
    <w:rsid w:val="005F7FCB"/>
    <w:rsid w:val="006001A9"/>
    <w:rsid w:val="0060046A"/>
    <w:rsid w:val="006005A7"/>
    <w:rsid w:val="00600752"/>
    <w:rsid w:val="00600AB5"/>
    <w:rsid w:val="00600AEF"/>
    <w:rsid w:val="00600C81"/>
    <w:rsid w:val="00600E30"/>
    <w:rsid w:val="00600E4B"/>
    <w:rsid w:val="00601058"/>
    <w:rsid w:val="00601682"/>
    <w:rsid w:val="0060189C"/>
    <w:rsid w:val="00601A63"/>
    <w:rsid w:val="00601C0B"/>
    <w:rsid w:val="00601FAC"/>
    <w:rsid w:val="00601FE7"/>
    <w:rsid w:val="006020CB"/>
    <w:rsid w:val="006022D1"/>
    <w:rsid w:val="00602376"/>
    <w:rsid w:val="0060246B"/>
    <w:rsid w:val="006027F6"/>
    <w:rsid w:val="00602C93"/>
    <w:rsid w:val="00602E0C"/>
    <w:rsid w:val="00603058"/>
    <w:rsid w:val="0060332D"/>
    <w:rsid w:val="00603394"/>
    <w:rsid w:val="006033A5"/>
    <w:rsid w:val="006034E0"/>
    <w:rsid w:val="006035AC"/>
    <w:rsid w:val="00603981"/>
    <w:rsid w:val="00603B06"/>
    <w:rsid w:val="00603E30"/>
    <w:rsid w:val="00604131"/>
    <w:rsid w:val="0060467E"/>
    <w:rsid w:val="006046FB"/>
    <w:rsid w:val="006047A9"/>
    <w:rsid w:val="006049A6"/>
    <w:rsid w:val="006049E0"/>
    <w:rsid w:val="0060518C"/>
    <w:rsid w:val="006051AC"/>
    <w:rsid w:val="006051D6"/>
    <w:rsid w:val="00605ABF"/>
    <w:rsid w:val="00605B40"/>
    <w:rsid w:val="00605EE9"/>
    <w:rsid w:val="00605F72"/>
    <w:rsid w:val="006064D8"/>
    <w:rsid w:val="00606A05"/>
    <w:rsid w:val="00606A8D"/>
    <w:rsid w:val="00606EC0"/>
    <w:rsid w:val="00606F42"/>
    <w:rsid w:val="006070C7"/>
    <w:rsid w:val="00607159"/>
    <w:rsid w:val="0060719C"/>
    <w:rsid w:val="006075CC"/>
    <w:rsid w:val="0060775F"/>
    <w:rsid w:val="006079D4"/>
    <w:rsid w:val="00607E24"/>
    <w:rsid w:val="00607E8B"/>
    <w:rsid w:val="00610019"/>
    <w:rsid w:val="0061011D"/>
    <w:rsid w:val="00610337"/>
    <w:rsid w:val="006105AA"/>
    <w:rsid w:val="00610924"/>
    <w:rsid w:val="00610A37"/>
    <w:rsid w:val="00610DD2"/>
    <w:rsid w:val="00610FE1"/>
    <w:rsid w:val="006112B2"/>
    <w:rsid w:val="00611510"/>
    <w:rsid w:val="006115ED"/>
    <w:rsid w:val="006115F4"/>
    <w:rsid w:val="00611D20"/>
    <w:rsid w:val="00611D93"/>
    <w:rsid w:val="00612396"/>
    <w:rsid w:val="00612612"/>
    <w:rsid w:val="0061290D"/>
    <w:rsid w:val="00612B6D"/>
    <w:rsid w:val="00612B89"/>
    <w:rsid w:val="00612BE0"/>
    <w:rsid w:val="006132C2"/>
    <w:rsid w:val="00613681"/>
    <w:rsid w:val="00613732"/>
    <w:rsid w:val="006137EB"/>
    <w:rsid w:val="00613843"/>
    <w:rsid w:val="00613938"/>
    <w:rsid w:val="00613D82"/>
    <w:rsid w:val="00613EBC"/>
    <w:rsid w:val="0061413D"/>
    <w:rsid w:val="0061424C"/>
    <w:rsid w:val="0061431D"/>
    <w:rsid w:val="006143FC"/>
    <w:rsid w:val="00614424"/>
    <w:rsid w:val="0061443F"/>
    <w:rsid w:val="0061454C"/>
    <w:rsid w:val="00614637"/>
    <w:rsid w:val="00614B0C"/>
    <w:rsid w:val="006150CE"/>
    <w:rsid w:val="0061526A"/>
    <w:rsid w:val="00615283"/>
    <w:rsid w:val="006154F7"/>
    <w:rsid w:val="006156CD"/>
    <w:rsid w:val="0061579F"/>
    <w:rsid w:val="006158B2"/>
    <w:rsid w:val="00615B31"/>
    <w:rsid w:val="00615C40"/>
    <w:rsid w:val="00615DA3"/>
    <w:rsid w:val="00615F20"/>
    <w:rsid w:val="00615F9A"/>
    <w:rsid w:val="0061628C"/>
    <w:rsid w:val="00616B09"/>
    <w:rsid w:val="00616C10"/>
    <w:rsid w:val="00617035"/>
    <w:rsid w:val="00617515"/>
    <w:rsid w:val="00617583"/>
    <w:rsid w:val="006175A5"/>
    <w:rsid w:val="00617B7B"/>
    <w:rsid w:val="00617CC6"/>
    <w:rsid w:val="006200EB"/>
    <w:rsid w:val="00620136"/>
    <w:rsid w:val="006202B0"/>
    <w:rsid w:val="00620393"/>
    <w:rsid w:val="0062052A"/>
    <w:rsid w:val="00620645"/>
    <w:rsid w:val="0062099C"/>
    <w:rsid w:val="00620BEE"/>
    <w:rsid w:val="00620CD2"/>
    <w:rsid w:val="00620D8F"/>
    <w:rsid w:val="00620E83"/>
    <w:rsid w:val="00621238"/>
    <w:rsid w:val="00621534"/>
    <w:rsid w:val="00621843"/>
    <w:rsid w:val="00621A2C"/>
    <w:rsid w:val="00621AAC"/>
    <w:rsid w:val="00621DDB"/>
    <w:rsid w:val="00621E07"/>
    <w:rsid w:val="00621E25"/>
    <w:rsid w:val="00621F20"/>
    <w:rsid w:val="00621FEB"/>
    <w:rsid w:val="00622122"/>
    <w:rsid w:val="00622189"/>
    <w:rsid w:val="0062229D"/>
    <w:rsid w:val="00622300"/>
    <w:rsid w:val="0062247C"/>
    <w:rsid w:val="0062277C"/>
    <w:rsid w:val="006227BF"/>
    <w:rsid w:val="0062298C"/>
    <w:rsid w:val="00622B82"/>
    <w:rsid w:val="00622D4A"/>
    <w:rsid w:val="00622E88"/>
    <w:rsid w:val="00623104"/>
    <w:rsid w:val="00623575"/>
    <w:rsid w:val="0062388A"/>
    <w:rsid w:val="00623D44"/>
    <w:rsid w:val="00623DD4"/>
    <w:rsid w:val="00624728"/>
    <w:rsid w:val="00624779"/>
    <w:rsid w:val="00624F7B"/>
    <w:rsid w:val="00624F8C"/>
    <w:rsid w:val="00625290"/>
    <w:rsid w:val="0062547D"/>
    <w:rsid w:val="006254B6"/>
    <w:rsid w:val="00625556"/>
    <w:rsid w:val="00625643"/>
    <w:rsid w:val="006259BA"/>
    <w:rsid w:val="00625FF1"/>
    <w:rsid w:val="0062629A"/>
    <w:rsid w:val="006263F6"/>
    <w:rsid w:val="00626506"/>
    <w:rsid w:val="006268D5"/>
    <w:rsid w:val="006268E2"/>
    <w:rsid w:val="00626B23"/>
    <w:rsid w:val="00626BD3"/>
    <w:rsid w:val="00626D6E"/>
    <w:rsid w:val="00626DAE"/>
    <w:rsid w:val="00626F84"/>
    <w:rsid w:val="0062707C"/>
    <w:rsid w:val="0062726B"/>
    <w:rsid w:val="00627351"/>
    <w:rsid w:val="006275EB"/>
    <w:rsid w:val="006276A8"/>
    <w:rsid w:val="00627736"/>
    <w:rsid w:val="006278E1"/>
    <w:rsid w:val="00627D69"/>
    <w:rsid w:val="00630048"/>
    <w:rsid w:val="00630309"/>
    <w:rsid w:val="00630412"/>
    <w:rsid w:val="006304E7"/>
    <w:rsid w:val="00630792"/>
    <w:rsid w:val="00630A02"/>
    <w:rsid w:val="00630F94"/>
    <w:rsid w:val="006316D4"/>
    <w:rsid w:val="006319F5"/>
    <w:rsid w:val="00631DCB"/>
    <w:rsid w:val="00632840"/>
    <w:rsid w:val="00632844"/>
    <w:rsid w:val="00632871"/>
    <w:rsid w:val="00632AF6"/>
    <w:rsid w:val="00632E29"/>
    <w:rsid w:val="006330B6"/>
    <w:rsid w:val="006331E0"/>
    <w:rsid w:val="0063328F"/>
    <w:rsid w:val="006332B7"/>
    <w:rsid w:val="006332C2"/>
    <w:rsid w:val="00633457"/>
    <w:rsid w:val="006337AE"/>
    <w:rsid w:val="006337C5"/>
    <w:rsid w:val="00633916"/>
    <w:rsid w:val="00633A6D"/>
    <w:rsid w:val="00633B7F"/>
    <w:rsid w:val="00633E77"/>
    <w:rsid w:val="00634410"/>
    <w:rsid w:val="006345B6"/>
    <w:rsid w:val="0063469A"/>
    <w:rsid w:val="00634886"/>
    <w:rsid w:val="00634A32"/>
    <w:rsid w:val="00634BD0"/>
    <w:rsid w:val="00634DAB"/>
    <w:rsid w:val="00635061"/>
    <w:rsid w:val="00635177"/>
    <w:rsid w:val="00635478"/>
    <w:rsid w:val="00635510"/>
    <w:rsid w:val="006357D9"/>
    <w:rsid w:val="00635808"/>
    <w:rsid w:val="006358AE"/>
    <w:rsid w:val="00635917"/>
    <w:rsid w:val="0063607D"/>
    <w:rsid w:val="00636195"/>
    <w:rsid w:val="0063652E"/>
    <w:rsid w:val="006367EF"/>
    <w:rsid w:val="00636804"/>
    <w:rsid w:val="0063689D"/>
    <w:rsid w:val="0063695E"/>
    <w:rsid w:val="00636B1D"/>
    <w:rsid w:val="00636D1C"/>
    <w:rsid w:val="00636D76"/>
    <w:rsid w:val="00636E24"/>
    <w:rsid w:val="00636E6B"/>
    <w:rsid w:val="00636E8C"/>
    <w:rsid w:val="00637064"/>
    <w:rsid w:val="006375F2"/>
    <w:rsid w:val="006377C2"/>
    <w:rsid w:val="00637C79"/>
    <w:rsid w:val="0064010D"/>
    <w:rsid w:val="0064035E"/>
    <w:rsid w:val="00640646"/>
    <w:rsid w:val="006408E0"/>
    <w:rsid w:val="00640A28"/>
    <w:rsid w:val="00640B88"/>
    <w:rsid w:val="00640B8D"/>
    <w:rsid w:val="00640F21"/>
    <w:rsid w:val="0064117E"/>
    <w:rsid w:val="00641374"/>
    <w:rsid w:val="006416CE"/>
    <w:rsid w:val="006417BD"/>
    <w:rsid w:val="00641A70"/>
    <w:rsid w:val="00642075"/>
    <w:rsid w:val="006420A3"/>
    <w:rsid w:val="00642330"/>
    <w:rsid w:val="00642A70"/>
    <w:rsid w:val="00642C22"/>
    <w:rsid w:val="00642D5A"/>
    <w:rsid w:val="00643014"/>
    <w:rsid w:val="00643030"/>
    <w:rsid w:val="00643352"/>
    <w:rsid w:val="0064344F"/>
    <w:rsid w:val="006436C0"/>
    <w:rsid w:val="006436F9"/>
    <w:rsid w:val="00643A85"/>
    <w:rsid w:val="00643B60"/>
    <w:rsid w:val="00643BE1"/>
    <w:rsid w:val="00643D09"/>
    <w:rsid w:val="00643FC5"/>
    <w:rsid w:val="006441C7"/>
    <w:rsid w:val="006442F4"/>
    <w:rsid w:val="00644417"/>
    <w:rsid w:val="00644A12"/>
    <w:rsid w:val="00645186"/>
    <w:rsid w:val="00645227"/>
    <w:rsid w:val="0064547E"/>
    <w:rsid w:val="006454D1"/>
    <w:rsid w:val="00645871"/>
    <w:rsid w:val="006458F3"/>
    <w:rsid w:val="00645B43"/>
    <w:rsid w:val="00646568"/>
    <w:rsid w:val="006465CD"/>
    <w:rsid w:val="00646D1A"/>
    <w:rsid w:val="00646D9B"/>
    <w:rsid w:val="00646DAD"/>
    <w:rsid w:val="00646EDF"/>
    <w:rsid w:val="00646EFE"/>
    <w:rsid w:val="0064757F"/>
    <w:rsid w:val="0064759D"/>
    <w:rsid w:val="0064769C"/>
    <w:rsid w:val="00647D42"/>
    <w:rsid w:val="00647ED8"/>
    <w:rsid w:val="00650063"/>
    <w:rsid w:val="006504D4"/>
    <w:rsid w:val="006504F4"/>
    <w:rsid w:val="00650855"/>
    <w:rsid w:val="0065087B"/>
    <w:rsid w:val="006508D7"/>
    <w:rsid w:val="0065093D"/>
    <w:rsid w:val="00650B32"/>
    <w:rsid w:val="00650E39"/>
    <w:rsid w:val="00650F65"/>
    <w:rsid w:val="00651176"/>
    <w:rsid w:val="00651301"/>
    <w:rsid w:val="006513B0"/>
    <w:rsid w:val="006514F1"/>
    <w:rsid w:val="00651560"/>
    <w:rsid w:val="00651646"/>
    <w:rsid w:val="006517DD"/>
    <w:rsid w:val="00651BF9"/>
    <w:rsid w:val="00651FF2"/>
    <w:rsid w:val="00652257"/>
    <w:rsid w:val="006525C5"/>
    <w:rsid w:val="006527AA"/>
    <w:rsid w:val="006527D4"/>
    <w:rsid w:val="00652935"/>
    <w:rsid w:val="00652A18"/>
    <w:rsid w:val="00652E72"/>
    <w:rsid w:val="0065322B"/>
    <w:rsid w:val="00653536"/>
    <w:rsid w:val="0065362F"/>
    <w:rsid w:val="00653A59"/>
    <w:rsid w:val="00653AC6"/>
    <w:rsid w:val="00653D45"/>
    <w:rsid w:val="00653D51"/>
    <w:rsid w:val="00653DDF"/>
    <w:rsid w:val="00653E72"/>
    <w:rsid w:val="0065407F"/>
    <w:rsid w:val="006544C7"/>
    <w:rsid w:val="0065459D"/>
    <w:rsid w:val="006545E1"/>
    <w:rsid w:val="0065469B"/>
    <w:rsid w:val="0065469C"/>
    <w:rsid w:val="00654783"/>
    <w:rsid w:val="00654F3F"/>
    <w:rsid w:val="00655112"/>
    <w:rsid w:val="00655146"/>
    <w:rsid w:val="006552FD"/>
    <w:rsid w:val="006553DB"/>
    <w:rsid w:val="00655417"/>
    <w:rsid w:val="006556F2"/>
    <w:rsid w:val="0065595A"/>
    <w:rsid w:val="00655AD1"/>
    <w:rsid w:val="00655B1C"/>
    <w:rsid w:val="00656271"/>
    <w:rsid w:val="006562C7"/>
    <w:rsid w:val="006565D1"/>
    <w:rsid w:val="0065667C"/>
    <w:rsid w:val="00656BD4"/>
    <w:rsid w:val="00656BF4"/>
    <w:rsid w:val="00656E6C"/>
    <w:rsid w:val="00656F8A"/>
    <w:rsid w:val="00657068"/>
    <w:rsid w:val="00657342"/>
    <w:rsid w:val="00657693"/>
    <w:rsid w:val="006576F2"/>
    <w:rsid w:val="00657896"/>
    <w:rsid w:val="00657D19"/>
    <w:rsid w:val="00657D3A"/>
    <w:rsid w:val="00657DF4"/>
    <w:rsid w:val="00660170"/>
    <w:rsid w:val="006604E9"/>
    <w:rsid w:val="00660564"/>
    <w:rsid w:val="0066073C"/>
    <w:rsid w:val="00660882"/>
    <w:rsid w:val="00660C02"/>
    <w:rsid w:val="00660CE5"/>
    <w:rsid w:val="006612FB"/>
    <w:rsid w:val="00661348"/>
    <w:rsid w:val="0066138F"/>
    <w:rsid w:val="00661616"/>
    <w:rsid w:val="00661888"/>
    <w:rsid w:val="006618AA"/>
    <w:rsid w:val="00661C84"/>
    <w:rsid w:val="00661F18"/>
    <w:rsid w:val="00661FC0"/>
    <w:rsid w:val="0066210C"/>
    <w:rsid w:val="00662546"/>
    <w:rsid w:val="006626D0"/>
    <w:rsid w:val="00662845"/>
    <w:rsid w:val="00662A09"/>
    <w:rsid w:val="00662AD9"/>
    <w:rsid w:val="00662B6B"/>
    <w:rsid w:val="00662E98"/>
    <w:rsid w:val="006630B6"/>
    <w:rsid w:val="0066315C"/>
    <w:rsid w:val="00663210"/>
    <w:rsid w:val="00663285"/>
    <w:rsid w:val="0066332F"/>
    <w:rsid w:val="00663346"/>
    <w:rsid w:val="0066350B"/>
    <w:rsid w:val="00663568"/>
    <w:rsid w:val="006636C2"/>
    <w:rsid w:val="006637CF"/>
    <w:rsid w:val="00663828"/>
    <w:rsid w:val="00663957"/>
    <w:rsid w:val="0066398C"/>
    <w:rsid w:val="00663C74"/>
    <w:rsid w:val="006640C7"/>
    <w:rsid w:val="0066433C"/>
    <w:rsid w:val="0066467A"/>
    <w:rsid w:val="00664689"/>
    <w:rsid w:val="006648C4"/>
    <w:rsid w:val="00664B47"/>
    <w:rsid w:val="00664EAD"/>
    <w:rsid w:val="00664ECE"/>
    <w:rsid w:val="00665045"/>
    <w:rsid w:val="0066527B"/>
    <w:rsid w:val="00665487"/>
    <w:rsid w:val="006657D4"/>
    <w:rsid w:val="0066594E"/>
    <w:rsid w:val="006659E8"/>
    <w:rsid w:val="006662EA"/>
    <w:rsid w:val="006663A5"/>
    <w:rsid w:val="0066671A"/>
    <w:rsid w:val="006672A6"/>
    <w:rsid w:val="006674C4"/>
    <w:rsid w:val="006674DD"/>
    <w:rsid w:val="00667512"/>
    <w:rsid w:val="00667687"/>
    <w:rsid w:val="006676E2"/>
    <w:rsid w:val="00667782"/>
    <w:rsid w:val="00667BFB"/>
    <w:rsid w:val="00667D7D"/>
    <w:rsid w:val="00667DA6"/>
    <w:rsid w:val="00667DFF"/>
    <w:rsid w:val="0067008C"/>
    <w:rsid w:val="00670095"/>
    <w:rsid w:val="0067012E"/>
    <w:rsid w:val="00670356"/>
    <w:rsid w:val="006705B3"/>
    <w:rsid w:val="0067064A"/>
    <w:rsid w:val="00670725"/>
    <w:rsid w:val="00670824"/>
    <w:rsid w:val="0067095A"/>
    <w:rsid w:val="00670D7E"/>
    <w:rsid w:val="006713E9"/>
    <w:rsid w:val="00671441"/>
    <w:rsid w:val="0067163C"/>
    <w:rsid w:val="0067164E"/>
    <w:rsid w:val="0067167C"/>
    <w:rsid w:val="00671848"/>
    <w:rsid w:val="00671A98"/>
    <w:rsid w:val="00671C8E"/>
    <w:rsid w:val="00671D86"/>
    <w:rsid w:val="00672555"/>
    <w:rsid w:val="00672921"/>
    <w:rsid w:val="00672A07"/>
    <w:rsid w:val="00672A50"/>
    <w:rsid w:val="00672D64"/>
    <w:rsid w:val="00672DF7"/>
    <w:rsid w:val="006730EA"/>
    <w:rsid w:val="0067313B"/>
    <w:rsid w:val="0067369C"/>
    <w:rsid w:val="006738BA"/>
    <w:rsid w:val="006738EF"/>
    <w:rsid w:val="00673922"/>
    <w:rsid w:val="00673F07"/>
    <w:rsid w:val="00673F49"/>
    <w:rsid w:val="00674476"/>
    <w:rsid w:val="006747AF"/>
    <w:rsid w:val="0067494B"/>
    <w:rsid w:val="0067494C"/>
    <w:rsid w:val="00674C0D"/>
    <w:rsid w:val="00674C9C"/>
    <w:rsid w:val="00674FF0"/>
    <w:rsid w:val="006751AC"/>
    <w:rsid w:val="0067530A"/>
    <w:rsid w:val="00675349"/>
    <w:rsid w:val="006753D3"/>
    <w:rsid w:val="00675C76"/>
    <w:rsid w:val="00675E4E"/>
    <w:rsid w:val="00675F0A"/>
    <w:rsid w:val="006765B5"/>
    <w:rsid w:val="0067665B"/>
    <w:rsid w:val="00676A30"/>
    <w:rsid w:val="00676B67"/>
    <w:rsid w:val="00676DA2"/>
    <w:rsid w:val="00676F4B"/>
    <w:rsid w:val="00677214"/>
    <w:rsid w:val="0067724A"/>
    <w:rsid w:val="0067754A"/>
    <w:rsid w:val="00677551"/>
    <w:rsid w:val="0067766F"/>
    <w:rsid w:val="00677688"/>
    <w:rsid w:val="006776D4"/>
    <w:rsid w:val="0067776E"/>
    <w:rsid w:val="006777D0"/>
    <w:rsid w:val="00677801"/>
    <w:rsid w:val="00677E21"/>
    <w:rsid w:val="00677E86"/>
    <w:rsid w:val="006801FB"/>
    <w:rsid w:val="00680593"/>
    <w:rsid w:val="00680720"/>
    <w:rsid w:val="00680AB4"/>
    <w:rsid w:val="00680F06"/>
    <w:rsid w:val="00680FC5"/>
    <w:rsid w:val="00681087"/>
    <w:rsid w:val="006812A4"/>
    <w:rsid w:val="006813C6"/>
    <w:rsid w:val="00681B4F"/>
    <w:rsid w:val="00681C20"/>
    <w:rsid w:val="00681F11"/>
    <w:rsid w:val="0068229A"/>
    <w:rsid w:val="006822A1"/>
    <w:rsid w:val="006822D2"/>
    <w:rsid w:val="00682599"/>
    <w:rsid w:val="006826D0"/>
    <w:rsid w:val="006828CC"/>
    <w:rsid w:val="006829FA"/>
    <w:rsid w:val="00682D14"/>
    <w:rsid w:val="00682D53"/>
    <w:rsid w:val="00682EDD"/>
    <w:rsid w:val="006830A2"/>
    <w:rsid w:val="00683171"/>
    <w:rsid w:val="00683498"/>
    <w:rsid w:val="0068356B"/>
    <w:rsid w:val="00683617"/>
    <w:rsid w:val="006837A1"/>
    <w:rsid w:val="006837C2"/>
    <w:rsid w:val="00683903"/>
    <w:rsid w:val="00683C73"/>
    <w:rsid w:val="00683F14"/>
    <w:rsid w:val="006840F1"/>
    <w:rsid w:val="006841CF"/>
    <w:rsid w:val="0068425E"/>
    <w:rsid w:val="00684839"/>
    <w:rsid w:val="006848AD"/>
    <w:rsid w:val="006849B6"/>
    <w:rsid w:val="00684BC1"/>
    <w:rsid w:val="00684D9C"/>
    <w:rsid w:val="006852EE"/>
    <w:rsid w:val="00685360"/>
    <w:rsid w:val="00685533"/>
    <w:rsid w:val="00685907"/>
    <w:rsid w:val="00685C2D"/>
    <w:rsid w:val="00685FFA"/>
    <w:rsid w:val="006869EA"/>
    <w:rsid w:val="00686B60"/>
    <w:rsid w:val="00686B94"/>
    <w:rsid w:val="00686C4E"/>
    <w:rsid w:val="00686D4A"/>
    <w:rsid w:val="006871E5"/>
    <w:rsid w:val="00687357"/>
    <w:rsid w:val="0068759C"/>
    <w:rsid w:val="0069002B"/>
    <w:rsid w:val="006901D7"/>
    <w:rsid w:val="0069039F"/>
    <w:rsid w:val="006904C6"/>
    <w:rsid w:val="00690835"/>
    <w:rsid w:val="00690F29"/>
    <w:rsid w:val="00690F8B"/>
    <w:rsid w:val="00691044"/>
    <w:rsid w:val="00691068"/>
    <w:rsid w:val="0069122E"/>
    <w:rsid w:val="006912C2"/>
    <w:rsid w:val="00691365"/>
    <w:rsid w:val="006915E0"/>
    <w:rsid w:val="00691A09"/>
    <w:rsid w:val="00692119"/>
    <w:rsid w:val="006921A1"/>
    <w:rsid w:val="00692656"/>
    <w:rsid w:val="00692712"/>
    <w:rsid w:val="00692AD7"/>
    <w:rsid w:val="00692DA8"/>
    <w:rsid w:val="00693281"/>
    <w:rsid w:val="006933CD"/>
    <w:rsid w:val="0069344D"/>
    <w:rsid w:val="00693974"/>
    <w:rsid w:val="00693B5A"/>
    <w:rsid w:val="00693B9D"/>
    <w:rsid w:val="00693CD5"/>
    <w:rsid w:val="00693E85"/>
    <w:rsid w:val="00693EE8"/>
    <w:rsid w:val="006941B5"/>
    <w:rsid w:val="00694275"/>
    <w:rsid w:val="006942FD"/>
    <w:rsid w:val="00694325"/>
    <w:rsid w:val="006943AC"/>
    <w:rsid w:val="0069452E"/>
    <w:rsid w:val="00694702"/>
    <w:rsid w:val="00694A8E"/>
    <w:rsid w:val="0069541E"/>
    <w:rsid w:val="0069579E"/>
    <w:rsid w:val="006959D3"/>
    <w:rsid w:val="00695AC1"/>
    <w:rsid w:val="00695B43"/>
    <w:rsid w:val="00696588"/>
    <w:rsid w:val="0069686E"/>
    <w:rsid w:val="00696AE0"/>
    <w:rsid w:val="00696DF2"/>
    <w:rsid w:val="0069711C"/>
    <w:rsid w:val="0069714B"/>
    <w:rsid w:val="006971E7"/>
    <w:rsid w:val="00697331"/>
    <w:rsid w:val="006977FD"/>
    <w:rsid w:val="0069785B"/>
    <w:rsid w:val="006978D9"/>
    <w:rsid w:val="00697B0D"/>
    <w:rsid w:val="00697C5B"/>
    <w:rsid w:val="00697CFB"/>
    <w:rsid w:val="00697D16"/>
    <w:rsid w:val="006A025E"/>
    <w:rsid w:val="006A03AD"/>
    <w:rsid w:val="006A0621"/>
    <w:rsid w:val="006A0905"/>
    <w:rsid w:val="006A0A16"/>
    <w:rsid w:val="006A0BFF"/>
    <w:rsid w:val="006A0C79"/>
    <w:rsid w:val="006A11DC"/>
    <w:rsid w:val="006A1641"/>
    <w:rsid w:val="006A1689"/>
    <w:rsid w:val="006A17AD"/>
    <w:rsid w:val="006A1957"/>
    <w:rsid w:val="006A1C4A"/>
    <w:rsid w:val="006A1F16"/>
    <w:rsid w:val="006A2451"/>
    <w:rsid w:val="006A2CC5"/>
    <w:rsid w:val="006A2DAB"/>
    <w:rsid w:val="006A2F1E"/>
    <w:rsid w:val="006A3358"/>
    <w:rsid w:val="006A37D7"/>
    <w:rsid w:val="006A3832"/>
    <w:rsid w:val="006A38A4"/>
    <w:rsid w:val="006A38B9"/>
    <w:rsid w:val="006A3C2A"/>
    <w:rsid w:val="006A3D93"/>
    <w:rsid w:val="006A4276"/>
    <w:rsid w:val="006A433F"/>
    <w:rsid w:val="006A471C"/>
    <w:rsid w:val="006A480C"/>
    <w:rsid w:val="006A4944"/>
    <w:rsid w:val="006A4967"/>
    <w:rsid w:val="006A4BA2"/>
    <w:rsid w:val="006A4E54"/>
    <w:rsid w:val="006A4FFA"/>
    <w:rsid w:val="006A5270"/>
    <w:rsid w:val="006A52B5"/>
    <w:rsid w:val="006A5458"/>
    <w:rsid w:val="006A5800"/>
    <w:rsid w:val="006A5869"/>
    <w:rsid w:val="006A59E6"/>
    <w:rsid w:val="006A5B91"/>
    <w:rsid w:val="006A5BC5"/>
    <w:rsid w:val="006A5C52"/>
    <w:rsid w:val="006A60FC"/>
    <w:rsid w:val="006A61E9"/>
    <w:rsid w:val="006A6352"/>
    <w:rsid w:val="006A658C"/>
    <w:rsid w:val="006A66C7"/>
    <w:rsid w:val="006A716F"/>
    <w:rsid w:val="006A726D"/>
    <w:rsid w:val="006A7644"/>
    <w:rsid w:val="006A78C9"/>
    <w:rsid w:val="006A7980"/>
    <w:rsid w:val="006A7A62"/>
    <w:rsid w:val="006A7A87"/>
    <w:rsid w:val="006A7C73"/>
    <w:rsid w:val="006A7D5D"/>
    <w:rsid w:val="006A7E9E"/>
    <w:rsid w:val="006A7EB8"/>
    <w:rsid w:val="006B01AE"/>
    <w:rsid w:val="006B04FD"/>
    <w:rsid w:val="006B0503"/>
    <w:rsid w:val="006B0565"/>
    <w:rsid w:val="006B0DAA"/>
    <w:rsid w:val="006B15F8"/>
    <w:rsid w:val="006B1694"/>
    <w:rsid w:val="006B1F37"/>
    <w:rsid w:val="006B21B5"/>
    <w:rsid w:val="006B223D"/>
    <w:rsid w:val="006B248C"/>
    <w:rsid w:val="006B272C"/>
    <w:rsid w:val="006B27E8"/>
    <w:rsid w:val="006B2920"/>
    <w:rsid w:val="006B2C41"/>
    <w:rsid w:val="006B2CC8"/>
    <w:rsid w:val="006B3098"/>
    <w:rsid w:val="006B3175"/>
    <w:rsid w:val="006B320D"/>
    <w:rsid w:val="006B360E"/>
    <w:rsid w:val="006B3720"/>
    <w:rsid w:val="006B378F"/>
    <w:rsid w:val="006B3996"/>
    <w:rsid w:val="006B3E59"/>
    <w:rsid w:val="006B4245"/>
    <w:rsid w:val="006B43C3"/>
    <w:rsid w:val="006B4605"/>
    <w:rsid w:val="006B46CD"/>
    <w:rsid w:val="006B4790"/>
    <w:rsid w:val="006B47D6"/>
    <w:rsid w:val="006B4839"/>
    <w:rsid w:val="006B483D"/>
    <w:rsid w:val="006B4920"/>
    <w:rsid w:val="006B4C75"/>
    <w:rsid w:val="006B4F0D"/>
    <w:rsid w:val="006B500A"/>
    <w:rsid w:val="006B510F"/>
    <w:rsid w:val="006B5164"/>
    <w:rsid w:val="006B540D"/>
    <w:rsid w:val="006B545E"/>
    <w:rsid w:val="006B574F"/>
    <w:rsid w:val="006B58D6"/>
    <w:rsid w:val="006B58E7"/>
    <w:rsid w:val="006B5AC8"/>
    <w:rsid w:val="006B5DCD"/>
    <w:rsid w:val="006B5EE5"/>
    <w:rsid w:val="006B67A7"/>
    <w:rsid w:val="006B6864"/>
    <w:rsid w:val="006B6C44"/>
    <w:rsid w:val="006B6D3C"/>
    <w:rsid w:val="006B6F10"/>
    <w:rsid w:val="006B702D"/>
    <w:rsid w:val="006B703C"/>
    <w:rsid w:val="006B7488"/>
    <w:rsid w:val="006B7AC1"/>
    <w:rsid w:val="006B7B0F"/>
    <w:rsid w:val="006C0126"/>
    <w:rsid w:val="006C02EF"/>
    <w:rsid w:val="006C02F3"/>
    <w:rsid w:val="006C06E5"/>
    <w:rsid w:val="006C0D23"/>
    <w:rsid w:val="006C0D4A"/>
    <w:rsid w:val="006C0E93"/>
    <w:rsid w:val="006C0F7B"/>
    <w:rsid w:val="006C1071"/>
    <w:rsid w:val="006C16A6"/>
    <w:rsid w:val="006C1956"/>
    <w:rsid w:val="006C19FA"/>
    <w:rsid w:val="006C1BC7"/>
    <w:rsid w:val="006C1C09"/>
    <w:rsid w:val="006C255C"/>
    <w:rsid w:val="006C2590"/>
    <w:rsid w:val="006C2842"/>
    <w:rsid w:val="006C2ABE"/>
    <w:rsid w:val="006C2BC2"/>
    <w:rsid w:val="006C2BE7"/>
    <w:rsid w:val="006C2E3D"/>
    <w:rsid w:val="006C2F24"/>
    <w:rsid w:val="006C3109"/>
    <w:rsid w:val="006C3323"/>
    <w:rsid w:val="006C334D"/>
    <w:rsid w:val="006C4405"/>
    <w:rsid w:val="006C47E7"/>
    <w:rsid w:val="006C4800"/>
    <w:rsid w:val="006C4AF1"/>
    <w:rsid w:val="006C4D1E"/>
    <w:rsid w:val="006C4D83"/>
    <w:rsid w:val="006C4FAC"/>
    <w:rsid w:val="006C4FD9"/>
    <w:rsid w:val="006C51E0"/>
    <w:rsid w:val="006C529A"/>
    <w:rsid w:val="006C5594"/>
    <w:rsid w:val="006C57E4"/>
    <w:rsid w:val="006C5A39"/>
    <w:rsid w:val="006C5A80"/>
    <w:rsid w:val="006C5E87"/>
    <w:rsid w:val="006C6072"/>
    <w:rsid w:val="006C61BC"/>
    <w:rsid w:val="006C6262"/>
    <w:rsid w:val="006C651E"/>
    <w:rsid w:val="006C68CF"/>
    <w:rsid w:val="006C6CC1"/>
    <w:rsid w:val="006C6F29"/>
    <w:rsid w:val="006C6F6D"/>
    <w:rsid w:val="006C7071"/>
    <w:rsid w:val="006C72AA"/>
    <w:rsid w:val="006C734D"/>
    <w:rsid w:val="006C73C1"/>
    <w:rsid w:val="006C7425"/>
    <w:rsid w:val="006C7639"/>
    <w:rsid w:val="006C773E"/>
    <w:rsid w:val="006C7BC0"/>
    <w:rsid w:val="006C7BC4"/>
    <w:rsid w:val="006C7C37"/>
    <w:rsid w:val="006D05FE"/>
    <w:rsid w:val="006D060C"/>
    <w:rsid w:val="006D07EC"/>
    <w:rsid w:val="006D0B21"/>
    <w:rsid w:val="006D0B32"/>
    <w:rsid w:val="006D0C32"/>
    <w:rsid w:val="006D0E8C"/>
    <w:rsid w:val="006D108F"/>
    <w:rsid w:val="006D14F2"/>
    <w:rsid w:val="006D15AC"/>
    <w:rsid w:val="006D1925"/>
    <w:rsid w:val="006D1953"/>
    <w:rsid w:val="006D1990"/>
    <w:rsid w:val="006D1C68"/>
    <w:rsid w:val="006D1E07"/>
    <w:rsid w:val="006D2163"/>
    <w:rsid w:val="006D2412"/>
    <w:rsid w:val="006D280A"/>
    <w:rsid w:val="006D29A6"/>
    <w:rsid w:val="006D2EDF"/>
    <w:rsid w:val="006D2F75"/>
    <w:rsid w:val="006D3388"/>
    <w:rsid w:val="006D33A0"/>
    <w:rsid w:val="006D366F"/>
    <w:rsid w:val="006D389E"/>
    <w:rsid w:val="006D39EC"/>
    <w:rsid w:val="006D3D30"/>
    <w:rsid w:val="006D3DFA"/>
    <w:rsid w:val="006D40A6"/>
    <w:rsid w:val="006D4270"/>
    <w:rsid w:val="006D447B"/>
    <w:rsid w:val="006D45BB"/>
    <w:rsid w:val="006D46B2"/>
    <w:rsid w:val="006D4FE2"/>
    <w:rsid w:val="006D507B"/>
    <w:rsid w:val="006D53BF"/>
    <w:rsid w:val="006D5583"/>
    <w:rsid w:val="006D56EA"/>
    <w:rsid w:val="006D56F8"/>
    <w:rsid w:val="006D58E9"/>
    <w:rsid w:val="006D5976"/>
    <w:rsid w:val="006D5ABD"/>
    <w:rsid w:val="006D5C78"/>
    <w:rsid w:val="006D5E20"/>
    <w:rsid w:val="006D5FEB"/>
    <w:rsid w:val="006D61F1"/>
    <w:rsid w:val="006D6484"/>
    <w:rsid w:val="006D666B"/>
    <w:rsid w:val="006D66BF"/>
    <w:rsid w:val="006D6743"/>
    <w:rsid w:val="006D69F3"/>
    <w:rsid w:val="006D6A68"/>
    <w:rsid w:val="006D6A86"/>
    <w:rsid w:val="006D6ACD"/>
    <w:rsid w:val="006D6AE7"/>
    <w:rsid w:val="006D6C3D"/>
    <w:rsid w:val="006D6DB3"/>
    <w:rsid w:val="006D6F5C"/>
    <w:rsid w:val="006D6F5F"/>
    <w:rsid w:val="006D6FE1"/>
    <w:rsid w:val="006D7071"/>
    <w:rsid w:val="006D7094"/>
    <w:rsid w:val="006D70A8"/>
    <w:rsid w:val="006D71B8"/>
    <w:rsid w:val="006D720D"/>
    <w:rsid w:val="006D73A7"/>
    <w:rsid w:val="006D7466"/>
    <w:rsid w:val="006D7550"/>
    <w:rsid w:val="006D7552"/>
    <w:rsid w:val="006D7689"/>
    <w:rsid w:val="006D7A8C"/>
    <w:rsid w:val="006D7C42"/>
    <w:rsid w:val="006E0064"/>
    <w:rsid w:val="006E01C1"/>
    <w:rsid w:val="006E01FC"/>
    <w:rsid w:val="006E0205"/>
    <w:rsid w:val="006E032A"/>
    <w:rsid w:val="006E0593"/>
    <w:rsid w:val="006E0600"/>
    <w:rsid w:val="006E0931"/>
    <w:rsid w:val="006E0C1D"/>
    <w:rsid w:val="006E0C67"/>
    <w:rsid w:val="006E0D20"/>
    <w:rsid w:val="006E0F53"/>
    <w:rsid w:val="006E0F93"/>
    <w:rsid w:val="006E1082"/>
    <w:rsid w:val="006E11A7"/>
    <w:rsid w:val="006E1460"/>
    <w:rsid w:val="006E1465"/>
    <w:rsid w:val="006E14B5"/>
    <w:rsid w:val="006E1681"/>
    <w:rsid w:val="006E1B10"/>
    <w:rsid w:val="006E1B92"/>
    <w:rsid w:val="006E1CDB"/>
    <w:rsid w:val="006E2089"/>
    <w:rsid w:val="006E20DA"/>
    <w:rsid w:val="006E23E6"/>
    <w:rsid w:val="006E25D8"/>
    <w:rsid w:val="006E2904"/>
    <w:rsid w:val="006E2995"/>
    <w:rsid w:val="006E2C16"/>
    <w:rsid w:val="006E2F0B"/>
    <w:rsid w:val="006E2FE6"/>
    <w:rsid w:val="006E30AF"/>
    <w:rsid w:val="006E35F1"/>
    <w:rsid w:val="006E378D"/>
    <w:rsid w:val="006E387B"/>
    <w:rsid w:val="006E38AC"/>
    <w:rsid w:val="006E38BA"/>
    <w:rsid w:val="006E38FD"/>
    <w:rsid w:val="006E3AF6"/>
    <w:rsid w:val="006E3D16"/>
    <w:rsid w:val="006E3FB2"/>
    <w:rsid w:val="006E43E3"/>
    <w:rsid w:val="006E45DB"/>
    <w:rsid w:val="006E461B"/>
    <w:rsid w:val="006E4ECE"/>
    <w:rsid w:val="006E526C"/>
    <w:rsid w:val="006E52D1"/>
    <w:rsid w:val="006E5750"/>
    <w:rsid w:val="006E5A4B"/>
    <w:rsid w:val="006E5B2E"/>
    <w:rsid w:val="006E5D54"/>
    <w:rsid w:val="006E608A"/>
    <w:rsid w:val="006E6108"/>
    <w:rsid w:val="006E6628"/>
    <w:rsid w:val="006E665D"/>
    <w:rsid w:val="006E69CB"/>
    <w:rsid w:val="006E6E0C"/>
    <w:rsid w:val="006E7048"/>
    <w:rsid w:val="006E7807"/>
    <w:rsid w:val="006E787B"/>
    <w:rsid w:val="006E7C14"/>
    <w:rsid w:val="006E7C30"/>
    <w:rsid w:val="006F0337"/>
    <w:rsid w:val="006F0506"/>
    <w:rsid w:val="006F083B"/>
    <w:rsid w:val="006F0993"/>
    <w:rsid w:val="006F09F1"/>
    <w:rsid w:val="006F0DA8"/>
    <w:rsid w:val="006F0E7C"/>
    <w:rsid w:val="006F0F89"/>
    <w:rsid w:val="006F0FAA"/>
    <w:rsid w:val="006F1330"/>
    <w:rsid w:val="006F14A8"/>
    <w:rsid w:val="006F17DC"/>
    <w:rsid w:val="006F1895"/>
    <w:rsid w:val="006F1AD9"/>
    <w:rsid w:val="006F1B2B"/>
    <w:rsid w:val="006F25A4"/>
    <w:rsid w:val="006F2611"/>
    <w:rsid w:val="006F2658"/>
    <w:rsid w:val="006F2662"/>
    <w:rsid w:val="006F28CA"/>
    <w:rsid w:val="006F292C"/>
    <w:rsid w:val="006F2C03"/>
    <w:rsid w:val="006F2D1B"/>
    <w:rsid w:val="006F2D6C"/>
    <w:rsid w:val="006F2D79"/>
    <w:rsid w:val="006F2EC6"/>
    <w:rsid w:val="006F2F39"/>
    <w:rsid w:val="006F2F41"/>
    <w:rsid w:val="006F3034"/>
    <w:rsid w:val="006F30A0"/>
    <w:rsid w:val="006F32FC"/>
    <w:rsid w:val="006F3900"/>
    <w:rsid w:val="006F3A42"/>
    <w:rsid w:val="006F3BA9"/>
    <w:rsid w:val="006F3E1C"/>
    <w:rsid w:val="006F3E3B"/>
    <w:rsid w:val="006F3EC7"/>
    <w:rsid w:val="006F3F39"/>
    <w:rsid w:val="006F45C9"/>
    <w:rsid w:val="006F4645"/>
    <w:rsid w:val="006F4699"/>
    <w:rsid w:val="006F469E"/>
    <w:rsid w:val="006F48A9"/>
    <w:rsid w:val="006F4DAF"/>
    <w:rsid w:val="006F4E2F"/>
    <w:rsid w:val="006F4F47"/>
    <w:rsid w:val="006F4FF2"/>
    <w:rsid w:val="006F50A7"/>
    <w:rsid w:val="006F50B2"/>
    <w:rsid w:val="006F50F5"/>
    <w:rsid w:val="006F53E9"/>
    <w:rsid w:val="006F5A4E"/>
    <w:rsid w:val="006F5D74"/>
    <w:rsid w:val="006F5F7C"/>
    <w:rsid w:val="006F603A"/>
    <w:rsid w:val="006F60BF"/>
    <w:rsid w:val="006F6131"/>
    <w:rsid w:val="006F6695"/>
    <w:rsid w:val="006F695C"/>
    <w:rsid w:val="006F6980"/>
    <w:rsid w:val="006F6A5E"/>
    <w:rsid w:val="006F71A8"/>
    <w:rsid w:val="006F7349"/>
    <w:rsid w:val="006F73B7"/>
    <w:rsid w:val="006F7992"/>
    <w:rsid w:val="006F7AA0"/>
    <w:rsid w:val="006F7D00"/>
    <w:rsid w:val="006F7D91"/>
    <w:rsid w:val="006F7EBA"/>
    <w:rsid w:val="006F7EF4"/>
    <w:rsid w:val="006F7F58"/>
    <w:rsid w:val="0070000C"/>
    <w:rsid w:val="0070002D"/>
    <w:rsid w:val="007000A8"/>
    <w:rsid w:val="007006E8"/>
    <w:rsid w:val="007007D5"/>
    <w:rsid w:val="007009AA"/>
    <w:rsid w:val="00700CFB"/>
    <w:rsid w:val="007010B0"/>
    <w:rsid w:val="0070126B"/>
    <w:rsid w:val="00701421"/>
    <w:rsid w:val="007016E8"/>
    <w:rsid w:val="007019CF"/>
    <w:rsid w:val="00701E9C"/>
    <w:rsid w:val="00702258"/>
    <w:rsid w:val="00702283"/>
    <w:rsid w:val="007024C4"/>
    <w:rsid w:val="007024F8"/>
    <w:rsid w:val="00702517"/>
    <w:rsid w:val="00702530"/>
    <w:rsid w:val="0070266A"/>
    <w:rsid w:val="007026CC"/>
    <w:rsid w:val="00702A19"/>
    <w:rsid w:val="00702A68"/>
    <w:rsid w:val="00702B2B"/>
    <w:rsid w:val="00702BB8"/>
    <w:rsid w:val="00702EF8"/>
    <w:rsid w:val="00702FB8"/>
    <w:rsid w:val="00703124"/>
    <w:rsid w:val="007031C0"/>
    <w:rsid w:val="0070326E"/>
    <w:rsid w:val="00703664"/>
    <w:rsid w:val="0070395E"/>
    <w:rsid w:val="00703B85"/>
    <w:rsid w:val="0070401D"/>
    <w:rsid w:val="007043A3"/>
    <w:rsid w:val="00704659"/>
    <w:rsid w:val="0070468D"/>
    <w:rsid w:val="007046AB"/>
    <w:rsid w:val="007048AC"/>
    <w:rsid w:val="007049C2"/>
    <w:rsid w:val="00704CDB"/>
    <w:rsid w:val="00704E9E"/>
    <w:rsid w:val="00704FE2"/>
    <w:rsid w:val="00705304"/>
    <w:rsid w:val="00705673"/>
    <w:rsid w:val="007056F2"/>
    <w:rsid w:val="0070579B"/>
    <w:rsid w:val="0070590F"/>
    <w:rsid w:val="00705BFA"/>
    <w:rsid w:val="00705D99"/>
    <w:rsid w:val="00705E55"/>
    <w:rsid w:val="00706000"/>
    <w:rsid w:val="00706125"/>
    <w:rsid w:val="007063C8"/>
    <w:rsid w:val="00706F4D"/>
    <w:rsid w:val="00707524"/>
    <w:rsid w:val="0070783A"/>
    <w:rsid w:val="00707BA4"/>
    <w:rsid w:val="00707D20"/>
    <w:rsid w:val="00707FCF"/>
    <w:rsid w:val="00710678"/>
    <w:rsid w:val="007107D6"/>
    <w:rsid w:val="007110D1"/>
    <w:rsid w:val="00711596"/>
    <w:rsid w:val="007116FC"/>
    <w:rsid w:val="007117C8"/>
    <w:rsid w:val="00711D96"/>
    <w:rsid w:val="00711F10"/>
    <w:rsid w:val="0071219E"/>
    <w:rsid w:val="007124DD"/>
    <w:rsid w:val="00712639"/>
    <w:rsid w:val="007126BB"/>
    <w:rsid w:val="0071278A"/>
    <w:rsid w:val="00712B90"/>
    <w:rsid w:val="00712BF9"/>
    <w:rsid w:val="00712C4E"/>
    <w:rsid w:val="00712E13"/>
    <w:rsid w:val="00712EE9"/>
    <w:rsid w:val="00713316"/>
    <w:rsid w:val="00713320"/>
    <w:rsid w:val="007133C9"/>
    <w:rsid w:val="00713474"/>
    <w:rsid w:val="007134C9"/>
    <w:rsid w:val="00713D60"/>
    <w:rsid w:val="00713FF1"/>
    <w:rsid w:val="0071417C"/>
    <w:rsid w:val="007142FC"/>
    <w:rsid w:val="0071440C"/>
    <w:rsid w:val="00714505"/>
    <w:rsid w:val="00714533"/>
    <w:rsid w:val="0071460C"/>
    <w:rsid w:val="0071484C"/>
    <w:rsid w:val="007148A0"/>
    <w:rsid w:val="007149EB"/>
    <w:rsid w:val="00714A87"/>
    <w:rsid w:val="00714E82"/>
    <w:rsid w:val="0071509C"/>
    <w:rsid w:val="007153A0"/>
    <w:rsid w:val="0071553B"/>
    <w:rsid w:val="0071577A"/>
    <w:rsid w:val="007157CF"/>
    <w:rsid w:val="0071583D"/>
    <w:rsid w:val="00716339"/>
    <w:rsid w:val="00716481"/>
    <w:rsid w:val="007164D1"/>
    <w:rsid w:val="007165C9"/>
    <w:rsid w:val="00716695"/>
    <w:rsid w:val="00716706"/>
    <w:rsid w:val="00716714"/>
    <w:rsid w:val="0071675D"/>
    <w:rsid w:val="00716A8D"/>
    <w:rsid w:val="00716B27"/>
    <w:rsid w:val="00716EEB"/>
    <w:rsid w:val="0071715B"/>
    <w:rsid w:val="00717206"/>
    <w:rsid w:val="0071733F"/>
    <w:rsid w:val="007174EA"/>
    <w:rsid w:val="007176FC"/>
    <w:rsid w:val="007178FA"/>
    <w:rsid w:val="00717B9D"/>
    <w:rsid w:val="00717D12"/>
    <w:rsid w:val="00720230"/>
    <w:rsid w:val="007204FB"/>
    <w:rsid w:val="00720728"/>
    <w:rsid w:val="0072075C"/>
    <w:rsid w:val="007207AB"/>
    <w:rsid w:val="00720B0B"/>
    <w:rsid w:val="00720C32"/>
    <w:rsid w:val="00720F5A"/>
    <w:rsid w:val="00720FDB"/>
    <w:rsid w:val="00721068"/>
    <w:rsid w:val="007211CA"/>
    <w:rsid w:val="007211E2"/>
    <w:rsid w:val="00721402"/>
    <w:rsid w:val="007218F4"/>
    <w:rsid w:val="00721965"/>
    <w:rsid w:val="007219AA"/>
    <w:rsid w:val="007219F0"/>
    <w:rsid w:val="00721B7D"/>
    <w:rsid w:val="00721C4D"/>
    <w:rsid w:val="00721CCB"/>
    <w:rsid w:val="00721D76"/>
    <w:rsid w:val="00722037"/>
    <w:rsid w:val="007224A7"/>
    <w:rsid w:val="007226DC"/>
    <w:rsid w:val="00722732"/>
    <w:rsid w:val="00722A62"/>
    <w:rsid w:val="00722C84"/>
    <w:rsid w:val="00722FC4"/>
    <w:rsid w:val="00723118"/>
    <w:rsid w:val="0072327D"/>
    <w:rsid w:val="007233B4"/>
    <w:rsid w:val="007236B2"/>
    <w:rsid w:val="007236C3"/>
    <w:rsid w:val="00723701"/>
    <w:rsid w:val="007237EA"/>
    <w:rsid w:val="007240A8"/>
    <w:rsid w:val="00724257"/>
    <w:rsid w:val="00724508"/>
    <w:rsid w:val="007245D1"/>
    <w:rsid w:val="00724784"/>
    <w:rsid w:val="00724798"/>
    <w:rsid w:val="00724952"/>
    <w:rsid w:val="007249BE"/>
    <w:rsid w:val="00724E3B"/>
    <w:rsid w:val="007253A1"/>
    <w:rsid w:val="007254C4"/>
    <w:rsid w:val="007258B1"/>
    <w:rsid w:val="007259E8"/>
    <w:rsid w:val="00725A3E"/>
    <w:rsid w:val="00725AC4"/>
    <w:rsid w:val="00725C32"/>
    <w:rsid w:val="00725D6F"/>
    <w:rsid w:val="0072615D"/>
    <w:rsid w:val="00726287"/>
    <w:rsid w:val="0072634E"/>
    <w:rsid w:val="0072635A"/>
    <w:rsid w:val="0072643E"/>
    <w:rsid w:val="0072680B"/>
    <w:rsid w:val="007269FC"/>
    <w:rsid w:val="00726CFA"/>
    <w:rsid w:val="00726E9B"/>
    <w:rsid w:val="00727109"/>
    <w:rsid w:val="007271F5"/>
    <w:rsid w:val="00727529"/>
    <w:rsid w:val="007276EB"/>
    <w:rsid w:val="0072770B"/>
    <w:rsid w:val="00727C3E"/>
    <w:rsid w:val="00727FCC"/>
    <w:rsid w:val="0073000B"/>
    <w:rsid w:val="007302A9"/>
    <w:rsid w:val="0073035D"/>
    <w:rsid w:val="007309EB"/>
    <w:rsid w:val="00730C6A"/>
    <w:rsid w:val="00731142"/>
    <w:rsid w:val="00731198"/>
    <w:rsid w:val="00731407"/>
    <w:rsid w:val="0073140A"/>
    <w:rsid w:val="0073152D"/>
    <w:rsid w:val="007317B5"/>
    <w:rsid w:val="007317C5"/>
    <w:rsid w:val="007319D4"/>
    <w:rsid w:val="00731E14"/>
    <w:rsid w:val="0073210D"/>
    <w:rsid w:val="007321A5"/>
    <w:rsid w:val="00732306"/>
    <w:rsid w:val="0073275E"/>
    <w:rsid w:val="007327E5"/>
    <w:rsid w:val="00732BEC"/>
    <w:rsid w:val="00732CFF"/>
    <w:rsid w:val="00732E07"/>
    <w:rsid w:val="00732FF9"/>
    <w:rsid w:val="0073355C"/>
    <w:rsid w:val="007337E7"/>
    <w:rsid w:val="007338F6"/>
    <w:rsid w:val="00733A7E"/>
    <w:rsid w:val="00733D9B"/>
    <w:rsid w:val="007340D4"/>
    <w:rsid w:val="00734157"/>
    <w:rsid w:val="007341A3"/>
    <w:rsid w:val="00734344"/>
    <w:rsid w:val="0073435D"/>
    <w:rsid w:val="007344E8"/>
    <w:rsid w:val="0073463D"/>
    <w:rsid w:val="00734744"/>
    <w:rsid w:val="00734760"/>
    <w:rsid w:val="007347B3"/>
    <w:rsid w:val="00734847"/>
    <w:rsid w:val="007348B8"/>
    <w:rsid w:val="00734C66"/>
    <w:rsid w:val="00734F13"/>
    <w:rsid w:val="00734F76"/>
    <w:rsid w:val="007351BC"/>
    <w:rsid w:val="00735315"/>
    <w:rsid w:val="007353B9"/>
    <w:rsid w:val="00735435"/>
    <w:rsid w:val="00735558"/>
    <w:rsid w:val="00735BD1"/>
    <w:rsid w:val="00735ECA"/>
    <w:rsid w:val="00736174"/>
    <w:rsid w:val="00736980"/>
    <w:rsid w:val="007369EF"/>
    <w:rsid w:val="00736AB3"/>
    <w:rsid w:val="00737202"/>
    <w:rsid w:val="007372FE"/>
    <w:rsid w:val="00737745"/>
    <w:rsid w:val="00737884"/>
    <w:rsid w:val="007379DD"/>
    <w:rsid w:val="00737BA2"/>
    <w:rsid w:val="00737D50"/>
    <w:rsid w:val="00737F20"/>
    <w:rsid w:val="00737F50"/>
    <w:rsid w:val="0074062E"/>
    <w:rsid w:val="00740807"/>
    <w:rsid w:val="00740844"/>
    <w:rsid w:val="00740940"/>
    <w:rsid w:val="00740F2F"/>
    <w:rsid w:val="00740FD4"/>
    <w:rsid w:val="00741358"/>
    <w:rsid w:val="007413D5"/>
    <w:rsid w:val="00741542"/>
    <w:rsid w:val="0074156F"/>
    <w:rsid w:val="00741AA0"/>
    <w:rsid w:val="00741D04"/>
    <w:rsid w:val="00741DFA"/>
    <w:rsid w:val="00741EB4"/>
    <w:rsid w:val="0074201E"/>
    <w:rsid w:val="0074217C"/>
    <w:rsid w:val="007421B9"/>
    <w:rsid w:val="00742795"/>
    <w:rsid w:val="00742822"/>
    <w:rsid w:val="00742DDE"/>
    <w:rsid w:val="00742E6E"/>
    <w:rsid w:val="00743031"/>
    <w:rsid w:val="007430AC"/>
    <w:rsid w:val="007434D5"/>
    <w:rsid w:val="00743691"/>
    <w:rsid w:val="007438AF"/>
    <w:rsid w:val="00743944"/>
    <w:rsid w:val="00743BB6"/>
    <w:rsid w:val="00743F04"/>
    <w:rsid w:val="0074409F"/>
    <w:rsid w:val="00744103"/>
    <w:rsid w:val="00744404"/>
    <w:rsid w:val="0074442A"/>
    <w:rsid w:val="007448EF"/>
    <w:rsid w:val="0074494F"/>
    <w:rsid w:val="00744C90"/>
    <w:rsid w:val="00744D2A"/>
    <w:rsid w:val="00744E05"/>
    <w:rsid w:val="00745190"/>
    <w:rsid w:val="007452AE"/>
    <w:rsid w:val="00745353"/>
    <w:rsid w:val="00745461"/>
    <w:rsid w:val="0074556F"/>
    <w:rsid w:val="00745723"/>
    <w:rsid w:val="00745762"/>
    <w:rsid w:val="00745782"/>
    <w:rsid w:val="007457C9"/>
    <w:rsid w:val="00745916"/>
    <w:rsid w:val="0074598D"/>
    <w:rsid w:val="00745B32"/>
    <w:rsid w:val="00745B80"/>
    <w:rsid w:val="00745BEA"/>
    <w:rsid w:val="00745E41"/>
    <w:rsid w:val="007461C4"/>
    <w:rsid w:val="00746205"/>
    <w:rsid w:val="0074623A"/>
    <w:rsid w:val="007466CA"/>
    <w:rsid w:val="00746B24"/>
    <w:rsid w:val="00746C3E"/>
    <w:rsid w:val="00746D6F"/>
    <w:rsid w:val="007473EC"/>
    <w:rsid w:val="00747A30"/>
    <w:rsid w:val="00747B97"/>
    <w:rsid w:val="00747DCB"/>
    <w:rsid w:val="00750080"/>
    <w:rsid w:val="007505E5"/>
    <w:rsid w:val="00750A4D"/>
    <w:rsid w:val="00750A8B"/>
    <w:rsid w:val="00750AF5"/>
    <w:rsid w:val="00750D07"/>
    <w:rsid w:val="00750F5C"/>
    <w:rsid w:val="00751329"/>
    <w:rsid w:val="00751508"/>
    <w:rsid w:val="00751827"/>
    <w:rsid w:val="007519A6"/>
    <w:rsid w:val="00751A5D"/>
    <w:rsid w:val="00751B18"/>
    <w:rsid w:val="00751BDF"/>
    <w:rsid w:val="00751DA5"/>
    <w:rsid w:val="00751DBF"/>
    <w:rsid w:val="007521CD"/>
    <w:rsid w:val="007522DC"/>
    <w:rsid w:val="00752722"/>
    <w:rsid w:val="0075276B"/>
    <w:rsid w:val="007527CC"/>
    <w:rsid w:val="00752965"/>
    <w:rsid w:val="007529E7"/>
    <w:rsid w:val="00752C17"/>
    <w:rsid w:val="00752CF3"/>
    <w:rsid w:val="00752ED6"/>
    <w:rsid w:val="0075312D"/>
    <w:rsid w:val="007533FC"/>
    <w:rsid w:val="00753963"/>
    <w:rsid w:val="00753AB4"/>
    <w:rsid w:val="007543CF"/>
    <w:rsid w:val="007546D0"/>
    <w:rsid w:val="007549CE"/>
    <w:rsid w:val="00754D22"/>
    <w:rsid w:val="00754D3C"/>
    <w:rsid w:val="00754FDD"/>
    <w:rsid w:val="007557DF"/>
    <w:rsid w:val="00755B31"/>
    <w:rsid w:val="0075607D"/>
    <w:rsid w:val="007562AD"/>
    <w:rsid w:val="00756419"/>
    <w:rsid w:val="007567DC"/>
    <w:rsid w:val="00756B4C"/>
    <w:rsid w:val="00756BDB"/>
    <w:rsid w:val="00756E25"/>
    <w:rsid w:val="00756F97"/>
    <w:rsid w:val="007574F0"/>
    <w:rsid w:val="00757695"/>
    <w:rsid w:val="007577C7"/>
    <w:rsid w:val="0075793B"/>
    <w:rsid w:val="00757995"/>
    <w:rsid w:val="00757A96"/>
    <w:rsid w:val="00757AC8"/>
    <w:rsid w:val="00757E5A"/>
    <w:rsid w:val="00757F05"/>
    <w:rsid w:val="00760C5B"/>
    <w:rsid w:val="00760E17"/>
    <w:rsid w:val="0076100C"/>
    <w:rsid w:val="0076113A"/>
    <w:rsid w:val="007612D0"/>
    <w:rsid w:val="0076136A"/>
    <w:rsid w:val="007616F5"/>
    <w:rsid w:val="007617E6"/>
    <w:rsid w:val="00761965"/>
    <w:rsid w:val="00761CFE"/>
    <w:rsid w:val="00762418"/>
    <w:rsid w:val="007626E5"/>
    <w:rsid w:val="0076276E"/>
    <w:rsid w:val="007628DF"/>
    <w:rsid w:val="00762931"/>
    <w:rsid w:val="007629E4"/>
    <w:rsid w:val="00762B27"/>
    <w:rsid w:val="00762DEA"/>
    <w:rsid w:val="00762E18"/>
    <w:rsid w:val="00762E3B"/>
    <w:rsid w:val="00762E45"/>
    <w:rsid w:val="00762F61"/>
    <w:rsid w:val="0076360B"/>
    <w:rsid w:val="007636AD"/>
    <w:rsid w:val="007638D7"/>
    <w:rsid w:val="00763933"/>
    <w:rsid w:val="00763D26"/>
    <w:rsid w:val="00763D42"/>
    <w:rsid w:val="00763DEB"/>
    <w:rsid w:val="007642EA"/>
    <w:rsid w:val="007645F5"/>
    <w:rsid w:val="00764CC5"/>
    <w:rsid w:val="00764E9A"/>
    <w:rsid w:val="00765430"/>
    <w:rsid w:val="007655C5"/>
    <w:rsid w:val="00765797"/>
    <w:rsid w:val="0076583C"/>
    <w:rsid w:val="00765E29"/>
    <w:rsid w:val="007662B5"/>
    <w:rsid w:val="00766315"/>
    <w:rsid w:val="0076662E"/>
    <w:rsid w:val="00766974"/>
    <w:rsid w:val="00766A1C"/>
    <w:rsid w:val="00766B63"/>
    <w:rsid w:val="00766C9D"/>
    <w:rsid w:val="00766CA9"/>
    <w:rsid w:val="00766DB4"/>
    <w:rsid w:val="00766DBF"/>
    <w:rsid w:val="00766E27"/>
    <w:rsid w:val="00766ED8"/>
    <w:rsid w:val="00766F25"/>
    <w:rsid w:val="0076713E"/>
    <w:rsid w:val="00767574"/>
    <w:rsid w:val="00767712"/>
    <w:rsid w:val="0076772F"/>
    <w:rsid w:val="00767771"/>
    <w:rsid w:val="00770101"/>
    <w:rsid w:val="0077014A"/>
    <w:rsid w:val="007703FE"/>
    <w:rsid w:val="007706FB"/>
    <w:rsid w:val="0077080C"/>
    <w:rsid w:val="0077082B"/>
    <w:rsid w:val="007708DE"/>
    <w:rsid w:val="00770FAC"/>
    <w:rsid w:val="00771115"/>
    <w:rsid w:val="007711AB"/>
    <w:rsid w:val="0077127F"/>
    <w:rsid w:val="007714FD"/>
    <w:rsid w:val="0077178F"/>
    <w:rsid w:val="00771E51"/>
    <w:rsid w:val="00771FDD"/>
    <w:rsid w:val="007721C2"/>
    <w:rsid w:val="007723F6"/>
    <w:rsid w:val="00772C3E"/>
    <w:rsid w:val="0077329B"/>
    <w:rsid w:val="00773366"/>
    <w:rsid w:val="0077338D"/>
    <w:rsid w:val="0077357D"/>
    <w:rsid w:val="00773750"/>
    <w:rsid w:val="00773815"/>
    <w:rsid w:val="0077384E"/>
    <w:rsid w:val="00773E1E"/>
    <w:rsid w:val="00774061"/>
    <w:rsid w:val="007740CA"/>
    <w:rsid w:val="007742D4"/>
    <w:rsid w:val="007747AC"/>
    <w:rsid w:val="00774A60"/>
    <w:rsid w:val="00774B0F"/>
    <w:rsid w:val="00774B58"/>
    <w:rsid w:val="00774B71"/>
    <w:rsid w:val="00774C3F"/>
    <w:rsid w:val="00774CAB"/>
    <w:rsid w:val="00774FAE"/>
    <w:rsid w:val="0077502A"/>
    <w:rsid w:val="0077529D"/>
    <w:rsid w:val="00775835"/>
    <w:rsid w:val="00775915"/>
    <w:rsid w:val="00775916"/>
    <w:rsid w:val="00775958"/>
    <w:rsid w:val="00775B01"/>
    <w:rsid w:val="00775D04"/>
    <w:rsid w:val="00775D15"/>
    <w:rsid w:val="00775D25"/>
    <w:rsid w:val="00775FA3"/>
    <w:rsid w:val="00775FF7"/>
    <w:rsid w:val="00776ADE"/>
    <w:rsid w:val="00776AED"/>
    <w:rsid w:val="00776B26"/>
    <w:rsid w:val="00776B69"/>
    <w:rsid w:val="00776BC9"/>
    <w:rsid w:val="00776C45"/>
    <w:rsid w:val="00776E10"/>
    <w:rsid w:val="00776E17"/>
    <w:rsid w:val="00777267"/>
    <w:rsid w:val="0077742B"/>
    <w:rsid w:val="00777458"/>
    <w:rsid w:val="00777598"/>
    <w:rsid w:val="007776F7"/>
    <w:rsid w:val="00777993"/>
    <w:rsid w:val="00777A9E"/>
    <w:rsid w:val="00777AA5"/>
    <w:rsid w:val="00777B74"/>
    <w:rsid w:val="00777DAF"/>
    <w:rsid w:val="00777FB7"/>
    <w:rsid w:val="00777FDF"/>
    <w:rsid w:val="007804A3"/>
    <w:rsid w:val="00780C7C"/>
    <w:rsid w:val="007829E8"/>
    <w:rsid w:val="00782B60"/>
    <w:rsid w:val="00782BBB"/>
    <w:rsid w:val="00782F67"/>
    <w:rsid w:val="007832AE"/>
    <w:rsid w:val="00783510"/>
    <w:rsid w:val="007836C2"/>
    <w:rsid w:val="00783A8A"/>
    <w:rsid w:val="007843F0"/>
    <w:rsid w:val="00784512"/>
    <w:rsid w:val="00784580"/>
    <w:rsid w:val="007846C6"/>
    <w:rsid w:val="007847B6"/>
    <w:rsid w:val="007847F2"/>
    <w:rsid w:val="00784822"/>
    <w:rsid w:val="007849C9"/>
    <w:rsid w:val="00784A2F"/>
    <w:rsid w:val="00784AD7"/>
    <w:rsid w:val="00784CE2"/>
    <w:rsid w:val="00784F56"/>
    <w:rsid w:val="0078516D"/>
    <w:rsid w:val="0078533A"/>
    <w:rsid w:val="0078590B"/>
    <w:rsid w:val="00785C78"/>
    <w:rsid w:val="00786008"/>
    <w:rsid w:val="007860A8"/>
    <w:rsid w:val="00786529"/>
    <w:rsid w:val="007869C1"/>
    <w:rsid w:val="00786A19"/>
    <w:rsid w:val="00786C96"/>
    <w:rsid w:val="00786CB8"/>
    <w:rsid w:val="00786CE3"/>
    <w:rsid w:val="00786F8B"/>
    <w:rsid w:val="007871A9"/>
    <w:rsid w:val="00787364"/>
    <w:rsid w:val="007876CD"/>
    <w:rsid w:val="007877D7"/>
    <w:rsid w:val="00787D2D"/>
    <w:rsid w:val="00790182"/>
    <w:rsid w:val="00790405"/>
    <w:rsid w:val="007909AD"/>
    <w:rsid w:val="00790C9A"/>
    <w:rsid w:val="00790D76"/>
    <w:rsid w:val="00790F9F"/>
    <w:rsid w:val="00791458"/>
    <w:rsid w:val="007916F1"/>
    <w:rsid w:val="0079170A"/>
    <w:rsid w:val="00791AC7"/>
    <w:rsid w:val="00791B49"/>
    <w:rsid w:val="00791C1C"/>
    <w:rsid w:val="0079213F"/>
    <w:rsid w:val="00792285"/>
    <w:rsid w:val="0079245E"/>
    <w:rsid w:val="007924A9"/>
    <w:rsid w:val="0079257C"/>
    <w:rsid w:val="00792690"/>
    <w:rsid w:val="00792A2B"/>
    <w:rsid w:val="00792B27"/>
    <w:rsid w:val="00792B37"/>
    <w:rsid w:val="00792BCC"/>
    <w:rsid w:val="00792CBE"/>
    <w:rsid w:val="00792E48"/>
    <w:rsid w:val="00792EF6"/>
    <w:rsid w:val="0079305C"/>
    <w:rsid w:val="00793233"/>
    <w:rsid w:val="0079327C"/>
    <w:rsid w:val="007933EA"/>
    <w:rsid w:val="007936D4"/>
    <w:rsid w:val="007938D8"/>
    <w:rsid w:val="0079397B"/>
    <w:rsid w:val="00793982"/>
    <w:rsid w:val="00793E70"/>
    <w:rsid w:val="007942D9"/>
    <w:rsid w:val="00794388"/>
    <w:rsid w:val="0079479E"/>
    <w:rsid w:val="007948E0"/>
    <w:rsid w:val="0079496D"/>
    <w:rsid w:val="00794E30"/>
    <w:rsid w:val="00794E5D"/>
    <w:rsid w:val="00794EB0"/>
    <w:rsid w:val="00794F52"/>
    <w:rsid w:val="0079518E"/>
    <w:rsid w:val="00795306"/>
    <w:rsid w:val="0079533B"/>
    <w:rsid w:val="00795667"/>
    <w:rsid w:val="00795B5C"/>
    <w:rsid w:val="00796089"/>
    <w:rsid w:val="00796268"/>
    <w:rsid w:val="007963B6"/>
    <w:rsid w:val="00796945"/>
    <w:rsid w:val="00796A40"/>
    <w:rsid w:val="00797059"/>
    <w:rsid w:val="00797310"/>
    <w:rsid w:val="007973EE"/>
    <w:rsid w:val="007977F4"/>
    <w:rsid w:val="00797B56"/>
    <w:rsid w:val="00797D9B"/>
    <w:rsid w:val="007A0024"/>
    <w:rsid w:val="007A022B"/>
    <w:rsid w:val="007A0348"/>
    <w:rsid w:val="007A037C"/>
    <w:rsid w:val="007A04AE"/>
    <w:rsid w:val="007A10FB"/>
    <w:rsid w:val="007A11A3"/>
    <w:rsid w:val="007A1AF5"/>
    <w:rsid w:val="007A1B3F"/>
    <w:rsid w:val="007A1F48"/>
    <w:rsid w:val="007A1F4E"/>
    <w:rsid w:val="007A2431"/>
    <w:rsid w:val="007A24A3"/>
    <w:rsid w:val="007A24F2"/>
    <w:rsid w:val="007A2A23"/>
    <w:rsid w:val="007A2A80"/>
    <w:rsid w:val="007A2ACB"/>
    <w:rsid w:val="007A3154"/>
    <w:rsid w:val="007A3491"/>
    <w:rsid w:val="007A3842"/>
    <w:rsid w:val="007A3865"/>
    <w:rsid w:val="007A392A"/>
    <w:rsid w:val="007A3B40"/>
    <w:rsid w:val="007A3DE1"/>
    <w:rsid w:val="007A4119"/>
    <w:rsid w:val="007A4307"/>
    <w:rsid w:val="007A457B"/>
    <w:rsid w:val="007A4593"/>
    <w:rsid w:val="007A462F"/>
    <w:rsid w:val="007A463D"/>
    <w:rsid w:val="007A47F0"/>
    <w:rsid w:val="007A4DDB"/>
    <w:rsid w:val="007A5300"/>
    <w:rsid w:val="007A535C"/>
    <w:rsid w:val="007A544C"/>
    <w:rsid w:val="007A56B7"/>
    <w:rsid w:val="007A5AAB"/>
    <w:rsid w:val="007A5C31"/>
    <w:rsid w:val="007A5CB7"/>
    <w:rsid w:val="007A5DF4"/>
    <w:rsid w:val="007A5E05"/>
    <w:rsid w:val="007A6058"/>
    <w:rsid w:val="007A630D"/>
    <w:rsid w:val="007A643A"/>
    <w:rsid w:val="007A68E3"/>
    <w:rsid w:val="007A6A5F"/>
    <w:rsid w:val="007A6B49"/>
    <w:rsid w:val="007A6BB0"/>
    <w:rsid w:val="007A6DB9"/>
    <w:rsid w:val="007A7155"/>
    <w:rsid w:val="007A73D7"/>
    <w:rsid w:val="007A753C"/>
    <w:rsid w:val="007A7716"/>
    <w:rsid w:val="007A7737"/>
    <w:rsid w:val="007A7C01"/>
    <w:rsid w:val="007A7F3B"/>
    <w:rsid w:val="007A7F6E"/>
    <w:rsid w:val="007B0032"/>
    <w:rsid w:val="007B0182"/>
    <w:rsid w:val="007B03A2"/>
    <w:rsid w:val="007B03AD"/>
    <w:rsid w:val="007B0412"/>
    <w:rsid w:val="007B068F"/>
    <w:rsid w:val="007B06A2"/>
    <w:rsid w:val="007B08AE"/>
    <w:rsid w:val="007B09FB"/>
    <w:rsid w:val="007B0C24"/>
    <w:rsid w:val="007B1385"/>
    <w:rsid w:val="007B1653"/>
    <w:rsid w:val="007B1898"/>
    <w:rsid w:val="007B18F6"/>
    <w:rsid w:val="007B1C28"/>
    <w:rsid w:val="007B1E80"/>
    <w:rsid w:val="007B23B5"/>
    <w:rsid w:val="007B2427"/>
    <w:rsid w:val="007B24D5"/>
    <w:rsid w:val="007B2871"/>
    <w:rsid w:val="007B292E"/>
    <w:rsid w:val="007B2ABF"/>
    <w:rsid w:val="007B30FE"/>
    <w:rsid w:val="007B339D"/>
    <w:rsid w:val="007B3509"/>
    <w:rsid w:val="007B354F"/>
    <w:rsid w:val="007B3692"/>
    <w:rsid w:val="007B40E8"/>
    <w:rsid w:val="007B4215"/>
    <w:rsid w:val="007B427D"/>
    <w:rsid w:val="007B4492"/>
    <w:rsid w:val="007B44EB"/>
    <w:rsid w:val="007B4654"/>
    <w:rsid w:val="007B4B18"/>
    <w:rsid w:val="007B5000"/>
    <w:rsid w:val="007B5024"/>
    <w:rsid w:val="007B515D"/>
    <w:rsid w:val="007B55BA"/>
    <w:rsid w:val="007B5903"/>
    <w:rsid w:val="007B5A6F"/>
    <w:rsid w:val="007B5A95"/>
    <w:rsid w:val="007B5D16"/>
    <w:rsid w:val="007B5D1D"/>
    <w:rsid w:val="007B6125"/>
    <w:rsid w:val="007B621D"/>
    <w:rsid w:val="007B6301"/>
    <w:rsid w:val="007B65AA"/>
    <w:rsid w:val="007B662A"/>
    <w:rsid w:val="007B6C1C"/>
    <w:rsid w:val="007B6E0E"/>
    <w:rsid w:val="007B6EB2"/>
    <w:rsid w:val="007B73C1"/>
    <w:rsid w:val="007B745C"/>
    <w:rsid w:val="007B76B6"/>
    <w:rsid w:val="007B77C0"/>
    <w:rsid w:val="007B7ADD"/>
    <w:rsid w:val="007B7BC4"/>
    <w:rsid w:val="007B7D7F"/>
    <w:rsid w:val="007C024A"/>
    <w:rsid w:val="007C0725"/>
    <w:rsid w:val="007C075A"/>
    <w:rsid w:val="007C0876"/>
    <w:rsid w:val="007C092D"/>
    <w:rsid w:val="007C096D"/>
    <w:rsid w:val="007C0B12"/>
    <w:rsid w:val="007C0C71"/>
    <w:rsid w:val="007C0CA7"/>
    <w:rsid w:val="007C0F22"/>
    <w:rsid w:val="007C106E"/>
    <w:rsid w:val="007C134F"/>
    <w:rsid w:val="007C184A"/>
    <w:rsid w:val="007C1B22"/>
    <w:rsid w:val="007C1CBA"/>
    <w:rsid w:val="007C1D12"/>
    <w:rsid w:val="007C1EF8"/>
    <w:rsid w:val="007C2031"/>
    <w:rsid w:val="007C2391"/>
    <w:rsid w:val="007C251F"/>
    <w:rsid w:val="007C274A"/>
    <w:rsid w:val="007C2A9B"/>
    <w:rsid w:val="007C2BBD"/>
    <w:rsid w:val="007C2BE1"/>
    <w:rsid w:val="007C2D21"/>
    <w:rsid w:val="007C30FE"/>
    <w:rsid w:val="007C314E"/>
    <w:rsid w:val="007C3359"/>
    <w:rsid w:val="007C33C6"/>
    <w:rsid w:val="007C3545"/>
    <w:rsid w:val="007C416C"/>
    <w:rsid w:val="007C43F7"/>
    <w:rsid w:val="007C4E64"/>
    <w:rsid w:val="007C4ED0"/>
    <w:rsid w:val="007C5020"/>
    <w:rsid w:val="007C5198"/>
    <w:rsid w:val="007C5F01"/>
    <w:rsid w:val="007C631D"/>
    <w:rsid w:val="007C6497"/>
    <w:rsid w:val="007C670B"/>
    <w:rsid w:val="007C6840"/>
    <w:rsid w:val="007C6A09"/>
    <w:rsid w:val="007C6DF6"/>
    <w:rsid w:val="007C6E2D"/>
    <w:rsid w:val="007C7292"/>
    <w:rsid w:val="007C72CE"/>
    <w:rsid w:val="007C73C8"/>
    <w:rsid w:val="007C758A"/>
    <w:rsid w:val="007C75F3"/>
    <w:rsid w:val="007C782F"/>
    <w:rsid w:val="007C7BF7"/>
    <w:rsid w:val="007C7C7C"/>
    <w:rsid w:val="007C7DB2"/>
    <w:rsid w:val="007C7EBB"/>
    <w:rsid w:val="007D02CE"/>
    <w:rsid w:val="007D0311"/>
    <w:rsid w:val="007D04BF"/>
    <w:rsid w:val="007D064B"/>
    <w:rsid w:val="007D06E6"/>
    <w:rsid w:val="007D08C0"/>
    <w:rsid w:val="007D0BBB"/>
    <w:rsid w:val="007D0DD8"/>
    <w:rsid w:val="007D0F53"/>
    <w:rsid w:val="007D157A"/>
    <w:rsid w:val="007D1686"/>
    <w:rsid w:val="007D1B0A"/>
    <w:rsid w:val="007D1CF6"/>
    <w:rsid w:val="007D1D36"/>
    <w:rsid w:val="007D2311"/>
    <w:rsid w:val="007D242D"/>
    <w:rsid w:val="007D24DC"/>
    <w:rsid w:val="007D25D9"/>
    <w:rsid w:val="007D2605"/>
    <w:rsid w:val="007D286F"/>
    <w:rsid w:val="007D2936"/>
    <w:rsid w:val="007D2CE5"/>
    <w:rsid w:val="007D2D84"/>
    <w:rsid w:val="007D301D"/>
    <w:rsid w:val="007D30FD"/>
    <w:rsid w:val="007D379F"/>
    <w:rsid w:val="007D38A2"/>
    <w:rsid w:val="007D3ABB"/>
    <w:rsid w:val="007D3BEF"/>
    <w:rsid w:val="007D3F36"/>
    <w:rsid w:val="007D4349"/>
    <w:rsid w:val="007D45B6"/>
    <w:rsid w:val="007D47AB"/>
    <w:rsid w:val="007D49AF"/>
    <w:rsid w:val="007D4BDE"/>
    <w:rsid w:val="007D4CC1"/>
    <w:rsid w:val="007D50A9"/>
    <w:rsid w:val="007D5166"/>
    <w:rsid w:val="007D5169"/>
    <w:rsid w:val="007D518F"/>
    <w:rsid w:val="007D53CE"/>
    <w:rsid w:val="007D5A3B"/>
    <w:rsid w:val="007D637F"/>
    <w:rsid w:val="007D6398"/>
    <w:rsid w:val="007D639E"/>
    <w:rsid w:val="007D694E"/>
    <w:rsid w:val="007D69A1"/>
    <w:rsid w:val="007D6C84"/>
    <w:rsid w:val="007D6D5F"/>
    <w:rsid w:val="007D6E62"/>
    <w:rsid w:val="007D700A"/>
    <w:rsid w:val="007D7154"/>
    <w:rsid w:val="007D75A0"/>
    <w:rsid w:val="007D76E9"/>
    <w:rsid w:val="007D77E0"/>
    <w:rsid w:val="007D7855"/>
    <w:rsid w:val="007D78A4"/>
    <w:rsid w:val="007D79AB"/>
    <w:rsid w:val="007D7C46"/>
    <w:rsid w:val="007E0104"/>
    <w:rsid w:val="007E0460"/>
    <w:rsid w:val="007E0580"/>
    <w:rsid w:val="007E0A28"/>
    <w:rsid w:val="007E0D29"/>
    <w:rsid w:val="007E0EFE"/>
    <w:rsid w:val="007E100C"/>
    <w:rsid w:val="007E1058"/>
    <w:rsid w:val="007E129B"/>
    <w:rsid w:val="007E1437"/>
    <w:rsid w:val="007E1443"/>
    <w:rsid w:val="007E1581"/>
    <w:rsid w:val="007E18E4"/>
    <w:rsid w:val="007E1941"/>
    <w:rsid w:val="007E197F"/>
    <w:rsid w:val="007E1DE3"/>
    <w:rsid w:val="007E211C"/>
    <w:rsid w:val="007E2365"/>
    <w:rsid w:val="007E2395"/>
    <w:rsid w:val="007E23E0"/>
    <w:rsid w:val="007E248B"/>
    <w:rsid w:val="007E24F0"/>
    <w:rsid w:val="007E25E3"/>
    <w:rsid w:val="007E2FD2"/>
    <w:rsid w:val="007E3033"/>
    <w:rsid w:val="007E3350"/>
    <w:rsid w:val="007E3774"/>
    <w:rsid w:val="007E39D4"/>
    <w:rsid w:val="007E3A69"/>
    <w:rsid w:val="007E3AB9"/>
    <w:rsid w:val="007E3C02"/>
    <w:rsid w:val="007E3FA3"/>
    <w:rsid w:val="007E41C6"/>
    <w:rsid w:val="007E4304"/>
    <w:rsid w:val="007E4701"/>
    <w:rsid w:val="007E4720"/>
    <w:rsid w:val="007E484D"/>
    <w:rsid w:val="007E4E09"/>
    <w:rsid w:val="007E4E7C"/>
    <w:rsid w:val="007E50FC"/>
    <w:rsid w:val="007E51A0"/>
    <w:rsid w:val="007E554D"/>
    <w:rsid w:val="007E556A"/>
    <w:rsid w:val="007E5632"/>
    <w:rsid w:val="007E57D3"/>
    <w:rsid w:val="007E59BA"/>
    <w:rsid w:val="007E5A83"/>
    <w:rsid w:val="007E5B2E"/>
    <w:rsid w:val="007E5CEE"/>
    <w:rsid w:val="007E60AC"/>
    <w:rsid w:val="007E656F"/>
    <w:rsid w:val="007E661F"/>
    <w:rsid w:val="007E69E7"/>
    <w:rsid w:val="007E6A00"/>
    <w:rsid w:val="007E6A4C"/>
    <w:rsid w:val="007E6DD2"/>
    <w:rsid w:val="007E7B10"/>
    <w:rsid w:val="007E7FE1"/>
    <w:rsid w:val="007F003D"/>
    <w:rsid w:val="007F019B"/>
    <w:rsid w:val="007F0495"/>
    <w:rsid w:val="007F0543"/>
    <w:rsid w:val="007F05A7"/>
    <w:rsid w:val="007F05D0"/>
    <w:rsid w:val="007F05E7"/>
    <w:rsid w:val="007F07E1"/>
    <w:rsid w:val="007F0D4A"/>
    <w:rsid w:val="007F0EA3"/>
    <w:rsid w:val="007F108D"/>
    <w:rsid w:val="007F1372"/>
    <w:rsid w:val="007F154B"/>
    <w:rsid w:val="007F158F"/>
    <w:rsid w:val="007F15A1"/>
    <w:rsid w:val="007F16DF"/>
    <w:rsid w:val="007F1B1D"/>
    <w:rsid w:val="007F1B5C"/>
    <w:rsid w:val="007F1BD3"/>
    <w:rsid w:val="007F1BDC"/>
    <w:rsid w:val="007F1C6F"/>
    <w:rsid w:val="007F1D84"/>
    <w:rsid w:val="007F1FEA"/>
    <w:rsid w:val="007F2256"/>
    <w:rsid w:val="007F259F"/>
    <w:rsid w:val="007F2741"/>
    <w:rsid w:val="007F27A9"/>
    <w:rsid w:val="007F27B3"/>
    <w:rsid w:val="007F2E35"/>
    <w:rsid w:val="007F2F30"/>
    <w:rsid w:val="007F300C"/>
    <w:rsid w:val="007F32E3"/>
    <w:rsid w:val="007F38A7"/>
    <w:rsid w:val="007F38D7"/>
    <w:rsid w:val="007F3A9A"/>
    <w:rsid w:val="007F3DC0"/>
    <w:rsid w:val="007F4249"/>
    <w:rsid w:val="007F4896"/>
    <w:rsid w:val="007F4965"/>
    <w:rsid w:val="007F4EB2"/>
    <w:rsid w:val="007F5051"/>
    <w:rsid w:val="007F537A"/>
    <w:rsid w:val="007F54FD"/>
    <w:rsid w:val="007F5529"/>
    <w:rsid w:val="007F5591"/>
    <w:rsid w:val="007F55C1"/>
    <w:rsid w:val="007F58B0"/>
    <w:rsid w:val="007F5DDB"/>
    <w:rsid w:val="007F5FBB"/>
    <w:rsid w:val="007F60C9"/>
    <w:rsid w:val="007F65B3"/>
    <w:rsid w:val="007F6A36"/>
    <w:rsid w:val="007F6C3C"/>
    <w:rsid w:val="007F6C4D"/>
    <w:rsid w:val="007F6D6E"/>
    <w:rsid w:val="007F6FC2"/>
    <w:rsid w:val="007F7017"/>
    <w:rsid w:val="007F70F9"/>
    <w:rsid w:val="007F73A3"/>
    <w:rsid w:val="007F74CF"/>
    <w:rsid w:val="007F793D"/>
    <w:rsid w:val="0080026B"/>
    <w:rsid w:val="008006C0"/>
    <w:rsid w:val="00800C79"/>
    <w:rsid w:val="00801049"/>
    <w:rsid w:val="00801376"/>
    <w:rsid w:val="008014CE"/>
    <w:rsid w:val="0080175F"/>
    <w:rsid w:val="0080179B"/>
    <w:rsid w:val="00801C47"/>
    <w:rsid w:val="00801D4F"/>
    <w:rsid w:val="00801E71"/>
    <w:rsid w:val="008021F9"/>
    <w:rsid w:val="0080228D"/>
    <w:rsid w:val="00802433"/>
    <w:rsid w:val="008024A3"/>
    <w:rsid w:val="008024A7"/>
    <w:rsid w:val="0080257B"/>
    <w:rsid w:val="008026D2"/>
    <w:rsid w:val="008028F2"/>
    <w:rsid w:val="00802B1C"/>
    <w:rsid w:val="00802D60"/>
    <w:rsid w:val="00802E2C"/>
    <w:rsid w:val="00803062"/>
    <w:rsid w:val="0080312D"/>
    <w:rsid w:val="0080332E"/>
    <w:rsid w:val="00803502"/>
    <w:rsid w:val="008035BF"/>
    <w:rsid w:val="00803760"/>
    <w:rsid w:val="008038A7"/>
    <w:rsid w:val="00803AB1"/>
    <w:rsid w:val="00803F60"/>
    <w:rsid w:val="00803F96"/>
    <w:rsid w:val="008040D9"/>
    <w:rsid w:val="0080437D"/>
    <w:rsid w:val="008045C8"/>
    <w:rsid w:val="0080481A"/>
    <w:rsid w:val="00804D2C"/>
    <w:rsid w:val="00804DDD"/>
    <w:rsid w:val="00804F1C"/>
    <w:rsid w:val="00804F65"/>
    <w:rsid w:val="008051C0"/>
    <w:rsid w:val="0080568C"/>
    <w:rsid w:val="00805758"/>
    <w:rsid w:val="008058BD"/>
    <w:rsid w:val="00805D24"/>
    <w:rsid w:val="00805FCA"/>
    <w:rsid w:val="00806270"/>
    <w:rsid w:val="00806336"/>
    <w:rsid w:val="008065C0"/>
    <w:rsid w:val="008068FD"/>
    <w:rsid w:val="00806B7B"/>
    <w:rsid w:val="00806C1A"/>
    <w:rsid w:val="00806DD1"/>
    <w:rsid w:val="00806E19"/>
    <w:rsid w:val="008071A5"/>
    <w:rsid w:val="008071F5"/>
    <w:rsid w:val="0080741C"/>
    <w:rsid w:val="00807622"/>
    <w:rsid w:val="0080765F"/>
    <w:rsid w:val="008076D5"/>
    <w:rsid w:val="00807742"/>
    <w:rsid w:val="00807822"/>
    <w:rsid w:val="0080791C"/>
    <w:rsid w:val="00807B43"/>
    <w:rsid w:val="00807C89"/>
    <w:rsid w:val="00807D03"/>
    <w:rsid w:val="00807E88"/>
    <w:rsid w:val="00810073"/>
    <w:rsid w:val="00810483"/>
    <w:rsid w:val="00810502"/>
    <w:rsid w:val="008109FA"/>
    <w:rsid w:val="00810A0B"/>
    <w:rsid w:val="00810A65"/>
    <w:rsid w:val="00811120"/>
    <w:rsid w:val="008116B3"/>
    <w:rsid w:val="008117B2"/>
    <w:rsid w:val="00811C3A"/>
    <w:rsid w:val="00811DAF"/>
    <w:rsid w:val="00811DD3"/>
    <w:rsid w:val="00811DFA"/>
    <w:rsid w:val="00811F2A"/>
    <w:rsid w:val="00812154"/>
    <w:rsid w:val="0081222A"/>
    <w:rsid w:val="008122B5"/>
    <w:rsid w:val="008123D7"/>
    <w:rsid w:val="008124DB"/>
    <w:rsid w:val="00812679"/>
    <w:rsid w:val="00812E1E"/>
    <w:rsid w:val="00812ED9"/>
    <w:rsid w:val="00813097"/>
    <w:rsid w:val="00813179"/>
    <w:rsid w:val="00813217"/>
    <w:rsid w:val="008132C6"/>
    <w:rsid w:val="0081345C"/>
    <w:rsid w:val="008135A3"/>
    <w:rsid w:val="00813AAE"/>
    <w:rsid w:val="00813CFF"/>
    <w:rsid w:val="00813F21"/>
    <w:rsid w:val="00814252"/>
    <w:rsid w:val="0081439E"/>
    <w:rsid w:val="008149FF"/>
    <w:rsid w:val="00814B46"/>
    <w:rsid w:val="00814B6D"/>
    <w:rsid w:val="00814DC9"/>
    <w:rsid w:val="008150D5"/>
    <w:rsid w:val="00815124"/>
    <w:rsid w:val="008151AE"/>
    <w:rsid w:val="008151B4"/>
    <w:rsid w:val="00815268"/>
    <w:rsid w:val="008152E5"/>
    <w:rsid w:val="008155AC"/>
    <w:rsid w:val="0081568B"/>
    <w:rsid w:val="00815812"/>
    <w:rsid w:val="00815D26"/>
    <w:rsid w:val="00815EDE"/>
    <w:rsid w:val="008161AA"/>
    <w:rsid w:val="0081625C"/>
    <w:rsid w:val="008164FF"/>
    <w:rsid w:val="00816884"/>
    <w:rsid w:val="00816A1E"/>
    <w:rsid w:val="0081721F"/>
    <w:rsid w:val="00817262"/>
    <w:rsid w:val="0081765A"/>
    <w:rsid w:val="00817E51"/>
    <w:rsid w:val="008200C9"/>
    <w:rsid w:val="008200E8"/>
    <w:rsid w:val="00820179"/>
    <w:rsid w:val="0082021F"/>
    <w:rsid w:val="00820267"/>
    <w:rsid w:val="00820971"/>
    <w:rsid w:val="00820BBF"/>
    <w:rsid w:val="00820CE2"/>
    <w:rsid w:val="00820D4B"/>
    <w:rsid w:val="00820E8C"/>
    <w:rsid w:val="00820F2C"/>
    <w:rsid w:val="00820F4E"/>
    <w:rsid w:val="0082110E"/>
    <w:rsid w:val="00821750"/>
    <w:rsid w:val="00821885"/>
    <w:rsid w:val="008218A7"/>
    <w:rsid w:val="00821C88"/>
    <w:rsid w:val="00821D39"/>
    <w:rsid w:val="008220B8"/>
    <w:rsid w:val="008220D6"/>
    <w:rsid w:val="0082211C"/>
    <w:rsid w:val="0082214D"/>
    <w:rsid w:val="008223C6"/>
    <w:rsid w:val="00822495"/>
    <w:rsid w:val="0082253E"/>
    <w:rsid w:val="008228EC"/>
    <w:rsid w:val="00822FDD"/>
    <w:rsid w:val="008230F8"/>
    <w:rsid w:val="008237F6"/>
    <w:rsid w:val="0082387B"/>
    <w:rsid w:val="00823CFD"/>
    <w:rsid w:val="00823FDF"/>
    <w:rsid w:val="0082431D"/>
    <w:rsid w:val="008243ED"/>
    <w:rsid w:val="008244C7"/>
    <w:rsid w:val="0082463E"/>
    <w:rsid w:val="00824807"/>
    <w:rsid w:val="008248AA"/>
    <w:rsid w:val="00824B6C"/>
    <w:rsid w:val="00824BDF"/>
    <w:rsid w:val="00824E52"/>
    <w:rsid w:val="00824F76"/>
    <w:rsid w:val="00825057"/>
    <w:rsid w:val="0082514D"/>
    <w:rsid w:val="0082519C"/>
    <w:rsid w:val="008252CA"/>
    <w:rsid w:val="00825451"/>
    <w:rsid w:val="0082550F"/>
    <w:rsid w:val="00825C4D"/>
    <w:rsid w:val="00825CD2"/>
    <w:rsid w:val="008262EB"/>
    <w:rsid w:val="00826406"/>
    <w:rsid w:val="0082662B"/>
    <w:rsid w:val="008267EF"/>
    <w:rsid w:val="00826915"/>
    <w:rsid w:val="0082699F"/>
    <w:rsid w:val="00826AFD"/>
    <w:rsid w:val="00826F64"/>
    <w:rsid w:val="00826FB3"/>
    <w:rsid w:val="00827179"/>
    <w:rsid w:val="008272AB"/>
    <w:rsid w:val="0082746A"/>
    <w:rsid w:val="00827723"/>
    <w:rsid w:val="00827BD9"/>
    <w:rsid w:val="00827CD7"/>
    <w:rsid w:val="00827D5F"/>
    <w:rsid w:val="00827F7B"/>
    <w:rsid w:val="0083011A"/>
    <w:rsid w:val="00830392"/>
    <w:rsid w:val="00830846"/>
    <w:rsid w:val="008309CF"/>
    <w:rsid w:val="00830F50"/>
    <w:rsid w:val="00831255"/>
    <w:rsid w:val="0083146F"/>
    <w:rsid w:val="008314C0"/>
    <w:rsid w:val="008316FB"/>
    <w:rsid w:val="008317F9"/>
    <w:rsid w:val="00831884"/>
    <w:rsid w:val="00831987"/>
    <w:rsid w:val="00831A51"/>
    <w:rsid w:val="00831CA8"/>
    <w:rsid w:val="00831CFD"/>
    <w:rsid w:val="00831F2E"/>
    <w:rsid w:val="00832032"/>
    <w:rsid w:val="0083246E"/>
    <w:rsid w:val="00832543"/>
    <w:rsid w:val="0083264E"/>
    <w:rsid w:val="008326C2"/>
    <w:rsid w:val="008326F1"/>
    <w:rsid w:val="00832C03"/>
    <w:rsid w:val="00832F32"/>
    <w:rsid w:val="00833079"/>
    <w:rsid w:val="008332A7"/>
    <w:rsid w:val="0083342C"/>
    <w:rsid w:val="0083344C"/>
    <w:rsid w:val="00833473"/>
    <w:rsid w:val="00833625"/>
    <w:rsid w:val="00833A73"/>
    <w:rsid w:val="00833F28"/>
    <w:rsid w:val="0083427B"/>
    <w:rsid w:val="00834378"/>
    <w:rsid w:val="0083458C"/>
    <w:rsid w:val="008345FE"/>
    <w:rsid w:val="00834602"/>
    <w:rsid w:val="008346EB"/>
    <w:rsid w:val="00834744"/>
    <w:rsid w:val="00834777"/>
    <w:rsid w:val="0083492C"/>
    <w:rsid w:val="00834A33"/>
    <w:rsid w:val="00834C76"/>
    <w:rsid w:val="00834D43"/>
    <w:rsid w:val="00834F0C"/>
    <w:rsid w:val="00834F77"/>
    <w:rsid w:val="008352FF"/>
    <w:rsid w:val="0083550E"/>
    <w:rsid w:val="00835624"/>
    <w:rsid w:val="00835968"/>
    <w:rsid w:val="00835C94"/>
    <w:rsid w:val="00835CB0"/>
    <w:rsid w:val="00835FB7"/>
    <w:rsid w:val="00836039"/>
    <w:rsid w:val="00836294"/>
    <w:rsid w:val="00836E90"/>
    <w:rsid w:val="008370F2"/>
    <w:rsid w:val="00837490"/>
    <w:rsid w:val="0083749F"/>
    <w:rsid w:val="00837961"/>
    <w:rsid w:val="00837963"/>
    <w:rsid w:val="00837BB1"/>
    <w:rsid w:val="0084006F"/>
    <w:rsid w:val="008402B3"/>
    <w:rsid w:val="008402FD"/>
    <w:rsid w:val="00840577"/>
    <w:rsid w:val="00840927"/>
    <w:rsid w:val="0084121A"/>
    <w:rsid w:val="00841616"/>
    <w:rsid w:val="00841CE9"/>
    <w:rsid w:val="00841E06"/>
    <w:rsid w:val="00841F70"/>
    <w:rsid w:val="00841FA5"/>
    <w:rsid w:val="00841FE2"/>
    <w:rsid w:val="0084225F"/>
    <w:rsid w:val="008423BC"/>
    <w:rsid w:val="0084240E"/>
    <w:rsid w:val="00842417"/>
    <w:rsid w:val="0084243C"/>
    <w:rsid w:val="008425B1"/>
    <w:rsid w:val="00842A45"/>
    <w:rsid w:val="00842C50"/>
    <w:rsid w:val="00842C5E"/>
    <w:rsid w:val="00842D65"/>
    <w:rsid w:val="00842EC8"/>
    <w:rsid w:val="00842FD4"/>
    <w:rsid w:val="00843024"/>
    <w:rsid w:val="0084333B"/>
    <w:rsid w:val="008437E3"/>
    <w:rsid w:val="00843A6B"/>
    <w:rsid w:val="00843AEE"/>
    <w:rsid w:val="00843E30"/>
    <w:rsid w:val="00843EB1"/>
    <w:rsid w:val="00843F13"/>
    <w:rsid w:val="00844013"/>
    <w:rsid w:val="00844202"/>
    <w:rsid w:val="0084461D"/>
    <w:rsid w:val="0084496A"/>
    <w:rsid w:val="00844CBD"/>
    <w:rsid w:val="00844E18"/>
    <w:rsid w:val="00844EB9"/>
    <w:rsid w:val="0084502E"/>
    <w:rsid w:val="00845046"/>
    <w:rsid w:val="008450A5"/>
    <w:rsid w:val="00845202"/>
    <w:rsid w:val="00845444"/>
    <w:rsid w:val="0084575C"/>
    <w:rsid w:val="00845849"/>
    <w:rsid w:val="00845906"/>
    <w:rsid w:val="0084594B"/>
    <w:rsid w:val="008459F0"/>
    <w:rsid w:val="00845B07"/>
    <w:rsid w:val="008460C7"/>
    <w:rsid w:val="008465FB"/>
    <w:rsid w:val="008467A6"/>
    <w:rsid w:val="00846B2C"/>
    <w:rsid w:val="00846D48"/>
    <w:rsid w:val="00846ED1"/>
    <w:rsid w:val="00846FB9"/>
    <w:rsid w:val="008470D2"/>
    <w:rsid w:val="008471AD"/>
    <w:rsid w:val="00847262"/>
    <w:rsid w:val="00847381"/>
    <w:rsid w:val="00847418"/>
    <w:rsid w:val="00847419"/>
    <w:rsid w:val="0084746D"/>
    <w:rsid w:val="008475E2"/>
    <w:rsid w:val="00847702"/>
    <w:rsid w:val="008477D2"/>
    <w:rsid w:val="008479EE"/>
    <w:rsid w:val="00847C24"/>
    <w:rsid w:val="00847CA6"/>
    <w:rsid w:val="00847E87"/>
    <w:rsid w:val="0085025F"/>
    <w:rsid w:val="0085053F"/>
    <w:rsid w:val="008506A6"/>
    <w:rsid w:val="00850A10"/>
    <w:rsid w:val="00850B38"/>
    <w:rsid w:val="00850B74"/>
    <w:rsid w:val="00850C23"/>
    <w:rsid w:val="00850E45"/>
    <w:rsid w:val="00850F1A"/>
    <w:rsid w:val="00851051"/>
    <w:rsid w:val="00851169"/>
    <w:rsid w:val="0085126E"/>
    <w:rsid w:val="008512D7"/>
    <w:rsid w:val="00851304"/>
    <w:rsid w:val="00851471"/>
    <w:rsid w:val="00851705"/>
    <w:rsid w:val="00851AD9"/>
    <w:rsid w:val="00851D13"/>
    <w:rsid w:val="00851D42"/>
    <w:rsid w:val="00851F8E"/>
    <w:rsid w:val="008524FA"/>
    <w:rsid w:val="00852527"/>
    <w:rsid w:val="0085254F"/>
    <w:rsid w:val="00852551"/>
    <w:rsid w:val="00852787"/>
    <w:rsid w:val="00852B06"/>
    <w:rsid w:val="00852B13"/>
    <w:rsid w:val="00852B85"/>
    <w:rsid w:val="00852BF3"/>
    <w:rsid w:val="00852C34"/>
    <w:rsid w:val="00852F65"/>
    <w:rsid w:val="0085332B"/>
    <w:rsid w:val="0085342C"/>
    <w:rsid w:val="008537F3"/>
    <w:rsid w:val="00853C76"/>
    <w:rsid w:val="00854C7A"/>
    <w:rsid w:val="00854E8C"/>
    <w:rsid w:val="00854EC0"/>
    <w:rsid w:val="00854ED6"/>
    <w:rsid w:val="00854FD2"/>
    <w:rsid w:val="00855443"/>
    <w:rsid w:val="00855762"/>
    <w:rsid w:val="008558FA"/>
    <w:rsid w:val="0085592C"/>
    <w:rsid w:val="00855B98"/>
    <w:rsid w:val="00855D61"/>
    <w:rsid w:val="00856145"/>
    <w:rsid w:val="00856169"/>
    <w:rsid w:val="00856627"/>
    <w:rsid w:val="0085670B"/>
    <w:rsid w:val="00856885"/>
    <w:rsid w:val="00856998"/>
    <w:rsid w:val="00856BB4"/>
    <w:rsid w:val="00856D1D"/>
    <w:rsid w:val="008574C1"/>
    <w:rsid w:val="00857595"/>
    <w:rsid w:val="00857626"/>
    <w:rsid w:val="00857832"/>
    <w:rsid w:val="00857872"/>
    <w:rsid w:val="008579BC"/>
    <w:rsid w:val="00857C51"/>
    <w:rsid w:val="00860014"/>
    <w:rsid w:val="00860355"/>
    <w:rsid w:val="008603CA"/>
    <w:rsid w:val="00860893"/>
    <w:rsid w:val="0086093D"/>
    <w:rsid w:val="00860CDB"/>
    <w:rsid w:val="00860F5A"/>
    <w:rsid w:val="00861002"/>
    <w:rsid w:val="008610BF"/>
    <w:rsid w:val="00861309"/>
    <w:rsid w:val="008613C5"/>
    <w:rsid w:val="00861561"/>
    <w:rsid w:val="0086158A"/>
    <w:rsid w:val="0086191B"/>
    <w:rsid w:val="00861AA6"/>
    <w:rsid w:val="00861B4B"/>
    <w:rsid w:val="00861B80"/>
    <w:rsid w:val="00861BDE"/>
    <w:rsid w:val="00861C93"/>
    <w:rsid w:val="00861DB6"/>
    <w:rsid w:val="008620F0"/>
    <w:rsid w:val="008622F8"/>
    <w:rsid w:val="008624C7"/>
    <w:rsid w:val="0086280E"/>
    <w:rsid w:val="00862970"/>
    <w:rsid w:val="00862C43"/>
    <w:rsid w:val="00862FBD"/>
    <w:rsid w:val="00862FC1"/>
    <w:rsid w:val="00863491"/>
    <w:rsid w:val="008638E8"/>
    <w:rsid w:val="00863A53"/>
    <w:rsid w:val="00864016"/>
    <w:rsid w:val="0086406A"/>
    <w:rsid w:val="0086418A"/>
    <w:rsid w:val="00864542"/>
    <w:rsid w:val="008645D7"/>
    <w:rsid w:val="00864748"/>
    <w:rsid w:val="0086479E"/>
    <w:rsid w:val="00864B58"/>
    <w:rsid w:val="00864BB7"/>
    <w:rsid w:val="00864DDB"/>
    <w:rsid w:val="00864DEC"/>
    <w:rsid w:val="00865422"/>
    <w:rsid w:val="008655A9"/>
    <w:rsid w:val="00865715"/>
    <w:rsid w:val="008658AE"/>
    <w:rsid w:val="00865969"/>
    <w:rsid w:val="00865A28"/>
    <w:rsid w:val="00865BE1"/>
    <w:rsid w:val="00865C3C"/>
    <w:rsid w:val="00865D3D"/>
    <w:rsid w:val="00865D48"/>
    <w:rsid w:val="00865D6E"/>
    <w:rsid w:val="00865E3D"/>
    <w:rsid w:val="00865F14"/>
    <w:rsid w:val="00866122"/>
    <w:rsid w:val="00866576"/>
    <w:rsid w:val="008667F1"/>
    <w:rsid w:val="0086696C"/>
    <w:rsid w:val="00866A9A"/>
    <w:rsid w:val="00866CBD"/>
    <w:rsid w:val="0086710D"/>
    <w:rsid w:val="00867161"/>
    <w:rsid w:val="00867C5E"/>
    <w:rsid w:val="00867CEB"/>
    <w:rsid w:val="00867E0F"/>
    <w:rsid w:val="00867EA8"/>
    <w:rsid w:val="00870004"/>
    <w:rsid w:val="008702DB"/>
    <w:rsid w:val="00870896"/>
    <w:rsid w:val="00870A1A"/>
    <w:rsid w:val="00870AD9"/>
    <w:rsid w:val="00870C03"/>
    <w:rsid w:val="0087107F"/>
    <w:rsid w:val="008711D3"/>
    <w:rsid w:val="00871A99"/>
    <w:rsid w:val="00871AFC"/>
    <w:rsid w:val="00871B39"/>
    <w:rsid w:val="00871B93"/>
    <w:rsid w:val="008722B1"/>
    <w:rsid w:val="0087239A"/>
    <w:rsid w:val="00872430"/>
    <w:rsid w:val="008724B1"/>
    <w:rsid w:val="008725A7"/>
    <w:rsid w:val="008729EA"/>
    <w:rsid w:val="00872B65"/>
    <w:rsid w:val="00872F13"/>
    <w:rsid w:val="00872F3E"/>
    <w:rsid w:val="008732BE"/>
    <w:rsid w:val="00873846"/>
    <w:rsid w:val="00873A7B"/>
    <w:rsid w:val="00873BBB"/>
    <w:rsid w:val="00873D9E"/>
    <w:rsid w:val="008740A5"/>
    <w:rsid w:val="00874338"/>
    <w:rsid w:val="008743F1"/>
    <w:rsid w:val="0087481D"/>
    <w:rsid w:val="008748FD"/>
    <w:rsid w:val="008749D5"/>
    <w:rsid w:val="00874AAD"/>
    <w:rsid w:val="00874EEB"/>
    <w:rsid w:val="00875054"/>
    <w:rsid w:val="00875064"/>
    <w:rsid w:val="00875139"/>
    <w:rsid w:val="008752E2"/>
    <w:rsid w:val="00875992"/>
    <w:rsid w:val="008759DB"/>
    <w:rsid w:val="00875A15"/>
    <w:rsid w:val="00875E2F"/>
    <w:rsid w:val="008763F7"/>
    <w:rsid w:val="00876402"/>
    <w:rsid w:val="00876660"/>
    <w:rsid w:val="00876FD5"/>
    <w:rsid w:val="0087734B"/>
    <w:rsid w:val="00877434"/>
    <w:rsid w:val="00877995"/>
    <w:rsid w:val="00877B00"/>
    <w:rsid w:val="00877C89"/>
    <w:rsid w:val="00877FA8"/>
    <w:rsid w:val="00880007"/>
    <w:rsid w:val="00880166"/>
    <w:rsid w:val="008801E0"/>
    <w:rsid w:val="0088021B"/>
    <w:rsid w:val="008802BC"/>
    <w:rsid w:val="008807C9"/>
    <w:rsid w:val="00880AE9"/>
    <w:rsid w:val="00880CF0"/>
    <w:rsid w:val="0088126B"/>
    <w:rsid w:val="008812CF"/>
    <w:rsid w:val="00881341"/>
    <w:rsid w:val="00881676"/>
    <w:rsid w:val="00881773"/>
    <w:rsid w:val="008818E5"/>
    <w:rsid w:val="00881905"/>
    <w:rsid w:val="00881BBD"/>
    <w:rsid w:val="00881E97"/>
    <w:rsid w:val="00881EC3"/>
    <w:rsid w:val="00881FF9"/>
    <w:rsid w:val="0088219C"/>
    <w:rsid w:val="008824B6"/>
    <w:rsid w:val="00882607"/>
    <w:rsid w:val="008826A1"/>
    <w:rsid w:val="008826C7"/>
    <w:rsid w:val="00882722"/>
    <w:rsid w:val="008829FE"/>
    <w:rsid w:val="00882BD6"/>
    <w:rsid w:val="00883753"/>
    <w:rsid w:val="00883782"/>
    <w:rsid w:val="00883795"/>
    <w:rsid w:val="0088389E"/>
    <w:rsid w:val="0088397F"/>
    <w:rsid w:val="008839A1"/>
    <w:rsid w:val="00883E70"/>
    <w:rsid w:val="00883EB7"/>
    <w:rsid w:val="00883EE9"/>
    <w:rsid w:val="00883F98"/>
    <w:rsid w:val="00884040"/>
    <w:rsid w:val="00884245"/>
    <w:rsid w:val="0088432D"/>
    <w:rsid w:val="0088478E"/>
    <w:rsid w:val="00884C58"/>
    <w:rsid w:val="00884D55"/>
    <w:rsid w:val="0088508D"/>
    <w:rsid w:val="008850B7"/>
    <w:rsid w:val="0088540F"/>
    <w:rsid w:val="008854A0"/>
    <w:rsid w:val="008854C6"/>
    <w:rsid w:val="008854F5"/>
    <w:rsid w:val="008855CE"/>
    <w:rsid w:val="00885929"/>
    <w:rsid w:val="008859E7"/>
    <w:rsid w:val="008859E9"/>
    <w:rsid w:val="00885A02"/>
    <w:rsid w:val="00885B14"/>
    <w:rsid w:val="0088621D"/>
    <w:rsid w:val="00886977"/>
    <w:rsid w:val="00886B29"/>
    <w:rsid w:val="00886D96"/>
    <w:rsid w:val="00886DB2"/>
    <w:rsid w:val="00886ED3"/>
    <w:rsid w:val="00887103"/>
    <w:rsid w:val="0088714C"/>
    <w:rsid w:val="008871DD"/>
    <w:rsid w:val="00887701"/>
    <w:rsid w:val="00887857"/>
    <w:rsid w:val="008879F3"/>
    <w:rsid w:val="008879F4"/>
    <w:rsid w:val="00887A37"/>
    <w:rsid w:val="00887B5D"/>
    <w:rsid w:val="00887CBF"/>
    <w:rsid w:val="00887D9C"/>
    <w:rsid w:val="00887E65"/>
    <w:rsid w:val="00887FC6"/>
    <w:rsid w:val="0089010E"/>
    <w:rsid w:val="00890185"/>
    <w:rsid w:val="008903DA"/>
    <w:rsid w:val="00890529"/>
    <w:rsid w:val="008907AF"/>
    <w:rsid w:val="00890A9D"/>
    <w:rsid w:val="0089111A"/>
    <w:rsid w:val="00891198"/>
    <w:rsid w:val="008911C4"/>
    <w:rsid w:val="00891410"/>
    <w:rsid w:val="00891536"/>
    <w:rsid w:val="00891852"/>
    <w:rsid w:val="00891A30"/>
    <w:rsid w:val="00891BA6"/>
    <w:rsid w:val="00891BF8"/>
    <w:rsid w:val="00892192"/>
    <w:rsid w:val="00892237"/>
    <w:rsid w:val="008922CA"/>
    <w:rsid w:val="0089265B"/>
    <w:rsid w:val="00892B48"/>
    <w:rsid w:val="00892C1E"/>
    <w:rsid w:val="00892D77"/>
    <w:rsid w:val="00892F91"/>
    <w:rsid w:val="00893139"/>
    <w:rsid w:val="0089314A"/>
    <w:rsid w:val="00893207"/>
    <w:rsid w:val="00893358"/>
    <w:rsid w:val="008935A0"/>
    <w:rsid w:val="008936D9"/>
    <w:rsid w:val="00893949"/>
    <w:rsid w:val="00893CAB"/>
    <w:rsid w:val="00893E4E"/>
    <w:rsid w:val="00893F4E"/>
    <w:rsid w:val="0089422F"/>
    <w:rsid w:val="00894368"/>
    <w:rsid w:val="008943BF"/>
    <w:rsid w:val="00894E15"/>
    <w:rsid w:val="00894ED5"/>
    <w:rsid w:val="00895500"/>
    <w:rsid w:val="00895684"/>
    <w:rsid w:val="008956EA"/>
    <w:rsid w:val="00895B38"/>
    <w:rsid w:val="00895EF9"/>
    <w:rsid w:val="008961AA"/>
    <w:rsid w:val="008964B5"/>
    <w:rsid w:val="00896789"/>
    <w:rsid w:val="0089680F"/>
    <w:rsid w:val="008969E3"/>
    <w:rsid w:val="008969ED"/>
    <w:rsid w:val="00896C19"/>
    <w:rsid w:val="00897155"/>
    <w:rsid w:val="008971E1"/>
    <w:rsid w:val="008972E0"/>
    <w:rsid w:val="0089764D"/>
    <w:rsid w:val="0089770F"/>
    <w:rsid w:val="008978D0"/>
    <w:rsid w:val="008978EB"/>
    <w:rsid w:val="00897B68"/>
    <w:rsid w:val="00897C21"/>
    <w:rsid w:val="00897C41"/>
    <w:rsid w:val="008A005D"/>
    <w:rsid w:val="008A02E6"/>
    <w:rsid w:val="008A02F5"/>
    <w:rsid w:val="008A063F"/>
    <w:rsid w:val="008A0888"/>
    <w:rsid w:val="008A09A4"/>
    <w:rsid w:val="008A0C3B"/>
    <w:rsid w:val="008A0DE4"/>
    <w:rsid w:val="008A0E74"/>
    <w:rsid w:val="008A13E9"/>
    <w:rsid w:val="008A2356"/>
    <w:rsid w:val="008A23CD"/>
    <w:rsid w:val="008A2820"/>
    <w:rsid w:val="008A2D99"/>
    <w:rsid w:val="008A3378"/>
    <w:rsid w:val="008A351F"/>
    <w:rsid w:val="008A3810"/>
    <w:rsid w:val="008A38B1"/>
    <w:rsid w:val="008A39F1"/>
    <w:rsid w:val="008A3D2F"/>
    <w:rsid w:val="008A429B"/>
    <w:rsid w:val="008A43D4"/>
    <w:rsid w:val="008A466E"/>
    <w:rsid w:val="008A488E"/>
    <w:rsid w:val="008A4CAD"/>
    <w:rsid w:val="008A5065"/>
    <w:rsid w:val="008A528C"/>
    <w:rsid w:val="008A5758"/>
    <w:rsid w:val="008A586B"/>
    <w:rsid w:val="008A5932"/>
    <w:rsid w:val="008A5BE6"/>
    <w:rsid w:val="008A5E8E"/>
    <w:rsid w:val="008A60D7"/>
    <w:rsid w:val="008A61B2"/>
    <w:rsid w:val="008A67B3"/>
    <w:rsid w:val="008A68DE"/>
    <w:rsid w:val="008A6FBC"/>
    <w:rsid w:val="008A7366"/>
    <w:rsid w:val="008A761B"/>
    <w:rsid w:val="008A7622"/>
    <w:rsid w:val="008A76C5"/>
    <w:rsid w:val="008A78C1"/>
    <w:rsid w:val="008A7E2B"/>
    <w:rsid w:val="008B0084"/>
    <w:rsid w:val="008B02AE"/>
    <w:rsid w:val="008B0428"/>
    <w:rsid w:val="008B054E"/>
    <w:rsid w:val="008B0951"/>
    <w:rsid w:val="008B0BAD"/>
    <w:rsid w:val="008B0E1E"/>
    <w:rsid w:val="008B117B"/>
    <w:rsid w:val="008B1191"/>
    <w:rsid w:val="008B1276"/>
    <w:rsid w:val="008B1337"/>
    <w:rsid w:val="008B1A5A"/>
    <w:rsid w:val="008B1DA2"/>
    <w:rsid w:val="008B1E6C"/>
    <w:rsid w:val="008B2082"/>
    <w:rsid w:val="008B2172"/>
    <w:rsid w:val="008B274A"/>
    <w:rsid w:val="008B2B03"/>
    <w:rsid w:val="008B2BDF"/>
    <w:rsid w:val="008B2CD8"/>
    <w:rsid w:val="008B3030"/>
    <w:rsid w:val="008B3A2F"/>
    <w:rsid w:val="008B3D83"/>
    <w:rsid w:val="008B3D96"/>
    <w:rsid w:val="008B42FF"/>
    <w:rsid w:val="008B438F"/>
    <w:rsid w:val="008B4720"/>
    <w:rsid w:val="008B4AC5"/>
    <w:rsid w:val="008B4DC4"/>
    <w:rsid w:val="008B4DF1"/>
    <w:rsid w:val="008B50D5"/>
    <w:rsid w:val="008B52AF"/>
    <w:rsid w:val="008B5579"/>
    <w:rsid w:val="008B56DE"/>
    <w:rsid w:val="008B5702"/>
    <w:rsid w:val="008B5BB2"/>
    <w:rsid w:val="008B5FE6"/>
    <w:rsid w:val="008B6024"/>
    <w:rsid w:val="008B6132"/>
    <w:rsid w:val="008B6190"/>
    <w:rsid w:val="008B6303"/>
    <w:rsid w:val="008B6357"/>
    <w:rsid w:val="008B6662"/>
    <w:rsid w:val="008B6909"/>
    <w:rsid w:val="008B6926"/>
    <w:rsid w:val="008B6A45"/>
    <w:rsid w:val="008B6E2C"/>
    <w:rsid w:val="008B6E43"/>
    <w:rsid w:val="008B712C"/>
    <w:rsid w:val="008B7198"/>
    <w:rsid w:val="008B7339"/>
    <w:rsid w:val="008B7460"/>
    <w:rsid w:val="008B74AC"/>
    <w:rsid w:val="008B7793"/>
    <w:rsid w:val="008B7977"/>
    <w:rsid w:val="008B7D90"/>
    <w:rsid w:val="008B7DF1"/>
    <w:rsid w:val="008B7FE8"/>
    <w:rsid w:val="008B7FF3"/>
    <w:rsid w:val="008C0772"/>
    <w:rsid w:val="008C08A2"/>
    <w:rsid w:val="008C0E37"/>
    <w:rsid w:val="008C1388"/>
    <w:rsid w:val="008C14F2"/>
    <w:rsid w:val="008C1AAE"/>
    <w:rsid w:val="008C1BBF"/>
    <w:rsid w:val="008C1BCE"/>
    <w:rsid w:val="008C1CAC"/>
    <w:rsid w:val="008C1E41"/>
    <w:rsid w:val="008C1E7A"/>
    <w:rsid w:val="008C1F77"/>
    <w:rsid w:val="008C2046"/>
    <w:rsid w:val="008C256E"/>
    <w:rsid w:val="008C2D63"/>
    <w:rsid w:val="008C2F85"/>
    <w:rsid w:val="008C2FD1"/>
    <w:rsid w:val="008C304A"/>
    <w:rsid w:val="008C304D"/>
    <w:rsid w:val="008C30F5"/>
    <w:rsid w:val="008C3297"/>
    <w:rsid w:val="008C3375"/>
    <w:rsid w:val="008C3458"/>
    <w:rsid w:val="008C345A"/>
    <w:rsid w:val="008C3E5A"/>
    <w:rsid w:val="008C405E"/>
    <w:rsid w:val="008C4069"/>
    <w:rsid w:val="008C4319"/>
    <w:rsid w:val="008C4403"/>
    <w:rsid w:val="008C44D8"/>
    <w:rsid w:val="008C4579"/>
    <w:rsid w:val="008C4720"/>
    <w:rsid w:val="008C47AD"/>
    <w:rsid w:val="008C4949"/>
    <w:rsid w:val="008C4DC3"/>
    <w:rsid w:val="008C4EB0"/>
    <w:rsid w:val="008C5144"/>
    <w:rsid w:val="008C5A8F"/>
    <w:rsid w:val="008C5AFA"/>
    <w:rsid w:val="008C5B7B"/>
    <w:rsid w:val="008C5CF6"/>
    <w:rsid w:val="008C6016"/>
    <w:rsid w:val="008C60B0"/>
    <w:rsid w:val="008C610D"/>
    <w:rsid w:val="008C62A4"/>
    <w:rsid w:val="008C6331"/>
    <w:rsid w:val="008C66AF"/>
    <w:rsid w:val="008C67C4"/>
    <w:rsid w:val="008C6A86"/>
    <w:rsid w:val="008C6B31"/>
    <w:rsid w:val="008C6B4C"/>
    <w:rsid w:val="008C6BF2"/>
    <w:rsid w:val="008C738D"/>
    <w:rsid w:val="008C73E7"/>
    <w:rsid w:val="008C780C"/>
    <w:rsid w:val="008C7AEC"/>
    <w:rsid w:val="008C7B05"/>
    <w:rsid w:val="008C7BC8"/>
    <w:rsid w:val="008C7CCC"/>
    <w:rsid w:val="008C7D38"/>
    <w:rsid w:val="008D004A"/>
    <w:rsid w:val="008D03B1"/>
    <w:rsid w:val="008D0421"/>
    <w:rsid w:val="008D048F"/>
    <w:rsid w:val="008D05A3"/>
    <w:rsid w:val="008D05C3"/>
    <w:rsid w:val="008D0656"/>
    <w:rsid w:val="008D065C"/>
    <w:rsid w:val="008D07FF"/>
    <w:rsid w:val="008D09A3"/>
    <w:rsid w:val="008D0A59"/>
    <w:rsid w:val="008D0AE3"/>
    <w:rsid w:val="008D0DFE"/>
    <w:rsid w:val="008D0E16"/>
    <w:rsid w:val="008D0F5C"/>
    <w:rsid w:val="008D1090"/>
    <w:rsid w:val="008D131C"/>
    <w:rsid w:val="008D1404"/>
    <w:rsid w:val="008D153A"/>
    <w:rsid w:val="008D155B"/>
    <w:rsid w:val="008D1D7A"/>
    <w:rsid w:val="008D1D95"/>
    <w:rsid w:val="008D1DA8"/>
    <w:rsid w:val="008D1E0A"/>
    <w:rsid w:val="008D1E6E"/>
    <w:rsid w:val="008D2533"/>
    <w:rsid w:val="008D2585"/>
    <w:rsid w:val="008D262A"/>
    <w:rsid w:val="008D2DFA"/>
    <w:rsid w:val="008D2EFC"/>
    <w:rsid w:val="008D33DF"/>
    <w:rsid w:val="008D34CB"/>
    <w:rsid w:val="008D3636"/>
    <w:rsid w:val="008D3820"/>
    <w:rsid w:val="008D39C7"/>
    <w:rsid w:val="008D3B76"/>
    <w:rsid w:val="008D3CC6"/>
    <w:rsid w:val="008D4145"/>
    <w:rsid w:val="008D41B9"/>
    <w:rsid w:val="008D42E9"/>
    <w:rsid w:val="008D44A1"/>
    <w:rsid w:val="008D4608"/>
    <w:rsid w:val="008D4669"/>
    <w:rsid w:val="008D46C6"/>
    <w:rsid w:val="008D482D"/>
    <w:rsid w:val="008D48CE"/>
    <w:rsid w:val="008D4911"/>
    <w:rsid w:val="008D492F"/>
    <w:rsid w:val="008D49B8"/>
    <w:rsid w:val="008D4CFB"/>
    <w:rsid w:val="008D4E6D"/>
    <w:rsid w:val="008D502A"/>
    <w:rsid w:val="008D564A"/>
    <w:rsid w:val="008D56BF"/>
    <w:rsid w:val="008D5C22"/>
    <w:rsid w:val="008D5FB8"/>
    <w:rsid w:val="008D67D5"/>
    <w:rsid w:val="008D6CFC"/>
    <w:rsid w:val="008D6E82"/>
    <w:rsid w:val="008D7039"/>
    <w:rsid w:val="008D70AF"/>
    <w:rsid w:val="008D741C"/>
    <w:rsid w:val="008D7526"/>
    <w:rsid w:val="008D76A6"/>
    <w:rsid w:val="008D7B14"/>
    <w:rsid w:val="008D7B8A"/>
    <w:rsid w:val="008D7E82"/>
    <w:rsid w:val="008E0059"/>
    <w:rsid w:val="008E0092"/>
    <w:rsid w:val="008E0367"/>
    <w:rsid w:val="008E04A3"/>
    <w:rsid w:val="008E0880"/>
    <w:rsid w:val="008E0ACB"/>
    <w:rsid w:val="008E0EC2"/>
    <w:rsid w:val="008E1411"/>
    <w:rsid w:val="008E1572"/>
    <w:rsid w:val="008E162A"/>
    <w:rsid w:val="008E1932"/>
    <w:rsid w:val="008E1C4E"/>
    <w:rsid w:val="008E1EFB"/>
    <w:rsid w:val="008E1FC7"/>
    <w:rsid w:val="008E1FC8"/>
    <w:rsid w:val="008E2111"/>
    <w:rsid w:val="008E2262"/>
    <w:rsid w:val="008E22DF"/>
    <w:rsid w:val="008E2393"/>
    <w:rsid w:val="008E24AB"/>
    <w:rsid w:val="008E27BE"/>
    <w:rsid w:val="008E2860"/>
    <w:rsid w:val="008E2A44"/>
    <w:rsid w:val="008E2A8B"/>
    <w:rsid w:val="008E3038"/>
    <w:rsid w:val="008E3499"/>
    <w:rsid w:val="008E34F4"/>
    <w:rsid w:val="008E39F2"/>
    <w:rsid w:val="008E3A30"/>
    <w:rsid w:val="008E3A3E"/>
    <w:rsid w:val="008E3F08"/>
    <w:rsid w:val="008E4106"/>
    <w:rsid w:val="008E433A"/>
    <w:rsid w:val="008E4342"/>
    <w:rsid w:val="008E4535"/>
    <w:rsid w:val="008E4B3E"/>
    <w:rsid w:val="008E4CAA"/>
    <w:rsid w:val="008E4EA8"/>
    <w:rsid w:val="008E5336"/>
    <w:rsid w:val="008E5984"/>
    <w:rsid w:val="008E5CC1"/>
    <w:rsid w:val="008E5CF9"/>
    <w:rsid w:val="008E5DE9"/>
    <w:rsid w:val="008E5E0B"/>
    <w:rsid w:val="008E5E50"/>
    <w:rsid w:val="008E60A0"/>
    <w:rsid w:val="008E61AB"/>
    <w:rsid w:val="008E61DA"/>
    <w:rsid w:val="008E61F6"/>
    <w:rsid w:val="008E62A0"/>
    <w:rsid w:val="008E6428"/>
    <w:rsid w:val="008E6533"/>
    <w:rsid w:val="008E6618"/>
    <w:rsid w:val="008E668F"/>
    <w:rsid w:val="008E679C"/>
    <w:rsid w:val="008E686C"/>
    <w:rsid w:val="008E6DA6"/>
    <w:rsid w:val="008E76BD"/>
    <w:rsid w:val="008E7830"/>
    <w:rsid w:val="008E7A3E"/>
    <w:rsid w:val="008E7C35"/>
    <w:rsid w:val="008E7C81"/>
    <w:rsid w:val="008E7DFE"/>
    <w:rsid w:val="008E7FC0"/>
    <w:rsid w:val="008F042A"/>
    <w:rsid w:val="008F04BF"/>
    <w:rsid w:val="008F0543"/>
    <w:rsid w:val="008F0C68"/>
    <w:rsid w:val="008F0D1A"/>
    <w:rsid w:val="008F0D73"/>
    <w:rsid w:val="008F1632"/>
    <w:rsid w:val="008F1B47"/>
    <w:rsid w:val="008F2020"/>
    <w:rsid w:val="008F2046"/>
    <w:rsid w:val="008F22B8"/>
    <w:rsid w:val="008F2403"/>
    <w:rsid w:val="008F2413"/>
    <w:rsid w:val="008F2ACC"/>
    <w:rsid w:val="008F322E"/>
    <w:rsid w:val="008F3231"/>
    <w:rsid w:val="008F340C"/>
    <w:rsid w:val="008F34DA"/>
    <w:rsid w:val="008F3918"/>
    <w:rsid w:val="008F39D6"/>
    <w:rsid w:val="008F3B2A"/>
    <w:rsid w:val="008F3B7A"/>
    <w:rsid w:val="008F3CEE"/>
    <w:rsid w:val="008F3E5F"/>
    <w:rsid w:val="008F43D1"/>
    <w:rsid w:val="008F484C"/>
    <w:rsid w:val="008F4DE2"/>
    <w:rsid w:val="008F4F97"/>
    <w:rsid w:val="008F5765"/>
    <w:rsid w:val="008F5985"/>
    <w:rsid w:val="008F5D0C"/>
    <w:rsid w:val="008F5DB3"/>
    <w:rsid w:val="008F6034"/>
    <w:rsid w:val="008F62F0"/>
    <w:rsid w:val="008F633A"/>
    <w:rsid w:val="008F635F"/>
    <w:rsid w:val="008F63A2"/>
    <w:rsid w:val="008F6507"/>
    <w:rsid w:val="008F652A"/>
    <w:rsid w:val="008F660F"/>
    <w:rsid w:val="008F6669"/>
    <w:rsid w:val="008F6873"/>
    <w:rsid w:val="008F68E4"/>
    <w:rsid w:val="008F69C3"/>
    <w:rsid w:val="008F6B1B"/>
    <w:rsid w:val="008F6C8E"/>
    <w:rsid w:val="008F7141"/>
    <w:rsid w:val="008F7416"/>
    <w:rsid w:val="008F75F0"/>
    <w:rsid w:val="008F770C"/>
    <w:rsid w:val="008F77FE"/>
    <w:rsid w:val="008F7E0F"/>
    <w:rsid w:val="009000A8"/>
    <w:rsid w:val="00900107"/>
    <w:rsid w:val="0090022A"/>
    <w:rsid w:val="009003C4"/>
    <w:rsid w:val="0090070E"/>
    <w:rsid w:val="0090075C"/>
    <w:rsid w:val="00900792"/>
    <w:rsid w:val="0090088C"/>
    <w:rsid w:val="00900B3E"/>
    <w:rsid w:val="00900B56"/>
    <w:rsid w:val="00900D7B"/>
    <w:rsid w:val="00900E14"/>
    <w:rsid w:val="00900ECC"/>
    <w:rsid w:val="00901059"/>
    <w:rsid w:val="009013E1"/>
    <w:rsid w:val="009014CA"/>
    <w:rsid w:val="009015E7"/>
    <w:rsid w:val="00901B3B"/>
    <w:rsid w:val="00901BF3"/>
    <w:rsid w:val="00901E1B"/>
    <w:rsid w:val="00901E37"/>
    <w:rsid w:val="00902044"/>
    <w:rsid w:val="009023B3"/>
    <w:rsid w:val="0090290D"/>
    <w:rsid w:val="00902915"/>
    <w:rsid w:val="00902BC6"/>
    <w:rsid w:val="00902D9A"/>
    <w:rsid w:val="00902FE1"/>
    <w:rsid w:val="0090343D"/>
    <w:rsid w:val="0090346C"/>
    <w:rsid w:val="009034E4"/>
    <w:rsid w:val="009035E7"/>
    <w:rsid w:val="00903857"/>
    <w:rsid w:val="00903941"/>
    <w:rsid w:val="00903AA9"/>
    <w:rsid w:val="00903BBE"/>
    <w:rsid w:val="00903E1A"/>
    <w:rsid w:val="00903EBD"/>
    <w:rsid w:val="009040F6"/>
    <w:rsid w:val="009040FC"/>
    <w:rsid w:val="0090411E"/>
    <w:rsid w:val="009042CC"/>
    <w:rsid w:val="009044AE"/>
    <w:rsid w:val="00904634"/>
    <w:rsid w:val="00904750"/>
    <w:rsid w:val="00904963"/>
    <w:rsid w:val="00904B96"/>
    <w:rsid w:val="00904D56"/>
    <w:rsid w:val="0090501F"/>
    <w:rsid w:val="0090504D"/>
    <w:rsid w:val="009050D6"/>
    <w:rsid w:val="0090540B"/>
    <w:rsid w:val="00905798"/>
    <w:rsid w:val="00905837"/>
    <w:rsid w:val="009058F3"/>
    <w:rsid w:val="0090595E"/>
    <w:rsid w:val="00905A5E"/>
    <w:rsid w:val="00905B80"/>
    <w:rsid w:val="00905BAB"/>
    <w:rsid w:val="00905FCE"/>
    <w:rsid w:val="0090604A"/>
    <w:rsid w:val="009060C4"/>
    <w:rsid w:val="009062CE"/>
    <w:rsid w:val="009067B1"/>
    <w:rsid w:val="00906BED"/>
    <w:rsid w:val="00906C1E"/>
    <w:rsid w:val="00907833"/>
    <w:rsid w:val="00907B17"/>
    <w:rsid w:val="00907B65"/>
    <w:rsid w:val="00907C5D"/>
    <w:rsid w:val="00910327"/>
    <w:rsid w:val="0091056A"/>
    <w:rsid w:val="00910588"/>
    <w:rsid w:val="009107EB"/>
    <w:rsid w:val="00910AF6"/>
    <w:rsid w:val="00910D93"/>
    <w:rsid w:val="00910EF1"/>
    <w:rsid w:val="00910F04"/>
    <w:rsid w:val="00911554"/>
    <w:rsid w:val="0091173C"/>
    <w:rsid w:val="009117BC"/>
    <w:rsid w:val="0091184B"/>
    <w:rsid w:val="009119F8"/>
    <w:rsid w:val="00911AFB"/>
    <w:rsid w:val="00911DF5"/>
    <w:rsid w:val="00911E96"/>
    <w:rsid w:val="00911F82"/>
    <w:rsid w:val="009120B8"/>
    <w:rsid w:val="009122E3"/>
    <w:rsid w:val="00912583"/>
    <w:rsid w:val="009125EE"/>
    <w:rsid w:val="00912794"/>
    <w:rsid w:val="009128C8"/>
    <w:rsid w:val="00912AA6"/>
    <w:rsid w:val="00912D31"/>
    <w:rsid w:val="00912E0C"/>
    <w:rsid w:val="00912F52"/>
    <w:rsid w:val="0091313C"/>
    <w:rsid w:val="009131FA"/>
    <w:rsid w:val="00913354"/>
    <w:rsid w:val="009134A6"/>
    <w:rsid w:val="009135AC"/>
    <w:rsid w:val="009135B2"/>
    <w:rsid w:val="009137AB"/>
    <w:rsid w:val="009137DA"/>
    <w:rsid w:val="009138B2"/>
    <w:rsid w:val="00913AEA"/>
    <w:rsid w:val="00913BAB"/>
    <w:rsid w:val="00913D20"/>
    <w:rsid w:val="00914143"/>
    <w:rsid w:val="00914398"/>
    <w:rsid w:val="009144EA"/>
    <w:rsid w:val="009146C2"/>
    <w:rsid w:val="00914801"/>
    <w:rsid w:val="00914BAA"/>
    <w:rsid w:val="00914D49"/>
    <w:rsid w:val="0091546C"/>
    <w:rsid w:val="009154F4"/>
    <w:rsid w:val="0091551F"/>
    <w:rsid w:val="009155B9"/>
    <w:rsid w:val="00915936"/>
    <w:rsid w:val="00915AA1"/>
    <w:rsid w:val="00915EC0"/>
    <w:rsid w:val="00916113"/>
    <w:rsid w:val="00916231"/>
    <w:rsid w:val="0091649A"/>
    <w:rsid w:val="0091687A"/>
    <w:rsid w:val="009168BA"/>
    <w:rsid w:val="00916C7B"/>
    <w:rsid w:val="009171D7"/>
    <w:rsid w:val="00917468"/>
    <w:rsid w:val="0091792A"/>
    <w:rsid w:val="009179A2"/>
    <w:rsid w:val="00917DB1"/>
    <w:rsid w:val="00917E44"/>
    <w:rsid w:val="00920260"/>
    <w:rsid w:val="009204A9"/>
    <w:rsid w:val="009206EC"/>
    <w:rsid w:val="00920C09"/>
    <w:rsid w:val="00921191"/>
    <w:rsid w:val="0092135C"/>
    <w:rsid w:val="009213CA"/>
    <w:rsid w:val="009215A3"/>
    <w:rsid w:val="009215F1"/>
    <w:rsid w:val="009216B7"/>
    <w:rsid w:val="00921779"/>
    <w:rsid w:val="00921863"/>
    <w:rsid w:val="009218D1"/>
    <w:rsid w:val="00921B49"/>
    <w:rsid w:val="00922179"/>
    <w:rsid w:val="009221C0"/>
    <w:rsid w:val="009224D3"/>
    <w:rsid w:val="0092253B"/>
    <w:rsid w:val="00922750"/>
    <w:rsid w:val="00922900"/>
    <w:rsid w:val="00922EDF"/>
    <w:rsid w:val="00923138"/>
    <w:rsid w:val="00923531"/>
    <w:rsid w:val="009236A7"/>
    <w:rsid w:val="00923A94"/>
    <w:rsid w:val="00923CA2"/>
    <w:rsid w:val="00924017"/>
    <w:rsid w:val="00924030"/>
    <w:rsid w:val="009240F8"/>
    <w:rsid w:val="00924510"/>
    <w:rsid w:val="00924641"/>
    <w:rsid w:val="00924809"/>
    <w:rsid w:val="009248DE"/>
    <w:rsid w:val="00924A2F"/>
    <w:rsid w:val="00924BE1"/>
    <w:rsid w:val="00924E0E"/>
    <w:rsid w:val="00924EB6"/>
    <w:rsid w:val="0092512F"/>
    <w:rsid w:val="00925193"/>
    <w:rsid w:val="0092522F"/>
    <w:rsid w:val="00925455"/>
    <w:rsid w:val="00925683"/>
    <w:rsid w:val="009257F5"/>
    <w:rsid w:val="00925C06"/>
    <w:rsid w:val="00925D18"/>
    <w:rsid w:val="00925D75"/>
    <w:rsid w:val="00925E32"/>
    <w:rsid w:val="00925FC9"/>
    <w:rsid w:val="0092653B"/>
    <w:rsid w:val="00926694"/>
    <w:rsid w:val="0092685C"/>
    <w:rsid w:val="00926E3D"/>
    <w:rsid w:val="00926EAD"/>
    <w:rsid w:val="009270BB"/>
    <w:rsid w:val="0092734B"/>
    <w:rsid w:val="00927498"/>
    <w:rsid w:val="009279E4"/>
    <w:rsid w:val="00927EA9"/>
    <w:rsid w:val="00927EC1"/>
    <w:rsid w:val="00927F86"/>
    <w:rsid w:val="00927FF1"/>
    <w:rsid w:val="00930051"/>
    <w:rsid w:val="009303E1"/>
    <w:rsid w:val="0093077A"/>
    <w:rsid w:val="00930801"/>
    <w:rsid w:val="00930962"/>
    <w:rsid w:val="009309B0"/>
    <w:rsid w:val="00930A99"/>
    <w:rsid w:val="00930DE9"/>
    <w:rsid w:val="00931265"/>
    <w:rsid w:val="009318BF"/>
    <w:rsid w:val="009318DE"/>
    <w:rsid w:val="009319DE"/>
    <w:rsid w:val="00931A0F"/>
    <w:rsid w:val="00931D76"/>
    <w:rsid w:val="00931ED5"/>
    <w:rsid w:val="00931F83"/>
    <w:rsid w:val="00932335"/>
    <w:rsid w:val="00932448"/>
    <w:rsid w:val="009324C5"/>
    <w:rsid w:val="009325EB"/>
    <w:rsid w:val="0093265B"/>
    <w:rsid w:val="009327B4"/>
    <w:rsid w:val="009329D0"/>
    <w:rsid w:val="00932A56"/>
    <w:rsid w:val="00932C51"/>
    <w:rsid w:val="0093322A"/>
    <w:rsid w:val="00933574"/>
    <w:rsid w:val="00933A9C"/>
    <w:rsid w:val="00933AAA"/>
    <w:rsid w:val="00933D48"/>
    <w:rsid w:val="00933D4D"/>
    <w:rsid w:val="009340BA"/>
    <w:rsid w:val="00934135"/>
    <w:rsid w:val="00934194"/>
    <w:rsid w:val="009341CC"/>
    <w:rsid w:val="00934460"/>
    <w:rsid w:val="0093452F"/>
    <w:rsid w:val="0093459E"/>
    <w:rsid w:val="009346A7"/>
    <w:rsid w:val="00934869"/>
    <w:rsid w:val="00934874"/>
    <w:rsid w:val="00934875"/>
    <w:rsid w:val="00934AC5"/>
    <w:rsid w:val="00934D13"/>
    <w:rsid w:val="00935054"/>
    <w:rsid w:val="009351E9"/>
    <w:rsid w:val="00935494"/>
    <w:rsid w:val="0093550A"/>
    <w:rsid w:val="009355A8"/>
    <w:rsid w:val="009355B2"/>
    <w:rsid w:val="009356F2"/>
    <w:rsid w:val="00935CC9"/>
    <w:rsid w:val="0093646D"/>
    <w:rsid w:val="00936B61"/>
    <w:rsid w:val="00936B79"/>
    <w:rsid w:val="00936EE7"/>
    <w:rsid w:val="00937A08"/>
    <w:rsid w:val="00937DE2"/>
    <w:rsid w:val="0094001B"/>
    <w:rsid w:val="009403A9"/>
    <w:rsid w:val="00940A9A"/>
    <w:rsid w:val="00940C78"/>
    <w:rsid w:val="00940F7F"/>
    <w:rsid w:val="00941070"/>
    <w:rsid w:val="00941322"/>
    <w:rsid w:val="0094150D"/>
    <w:rsid w:val="00941738"/>
    <w:rsid w:val="009417BA"/>
    <w:rsid w:val="00942558"/>
    <w:rsid w:val="00942C70"/>
    <w:rsid w:val="00942DAE"/>
    <w:rsid w:val="00942E15"/>
    <w:rsid w:val="00942E48"/>
    <w:rsid w:val="009433CE"/>
    <w:rsid w:val="00943462"/>
    <w:rsid w:val="0094347B"/>
    <w:rsid w:val="009435B4"/>
    <w:rsid w:val="009439E3"/>
    <w:rsid w:val="00943D21"/>
    <w:rsid w:val="00943E67"/>
    <w:rsid w:val="00944037"/>
    <w:rsid w:val="009444C3"/>
    <w:rsid w:val="00944719"/>
    <w:rsid w:val="00944B6B"/>
    <w:rsid w:val="00944D96"/>
    <w:rsid w:val="00944DD6"/>
    <w:rsid w:val="00944E7B"/>
    <w:rsid w:val="00944F83"/>
    <w:rsid w:val="0094513C"/>
    <w:rsid w:val="009454B4"/>
    <w:rsid w:val="00945512"/>
    <w:rsid w:val="009455AE"/>
    <w:rsid w:val="00945642"/>
    <w:rsid w:val="00945A26"/>
    <w:rsid w:val="00945A36"/>
    <w:rsid w:val="00945C6E"/>
    <w:rsid w:val="00945D99"/>
    <w:rsid w:val="00945ED5"/>
    <w:rsid w:val="00945FFC"/>
    <w:rsid w:val="009462E3"/>
    <w:rsid w:val="0094656F"/>
    <w:rsid w:val="009465AF"/>
    <w:rsid w:val="0094686C"/>
    <w:rsid w:val="00946892"/>
    <w:rsid w:val="009468C6"/>
    <w:rsid w:val="00946A57"/>
    <w:rsid w:val="00947010"/>
    <w:rsid w:val="009470AC"/>
    <w:rsid w:val="009470D6"/>
    <w:rsid w:val="009471E4"/>
    <w:rsid w:val="0094724F"/>
    <w:rsid w:val="0094729C"/>
    <w:rsid w:val="00947393"/>
    <w:rsid w:val="00947535"/>
    <w:rsid w:val="00947CA6"/>
    <w:rsid w:val="00947D6D"/>
    <w:rsid w:val="00947D90"/>
    <w:rsid w:val="00950D06"/>
    <w:rsid w:val="00950D2A"/>
    <w:rsid w:val="00950E51"/>
    <w:rsid w:val="00950EFE"/>
    <w:rsid w:val="009515BF"/>
    <w:rsid w:val="00951784"/>
    <w:rsid w:val="00951DE3"/>
    <w:rsid w:val="00951FEE"/>
    <w:rsid w:val="00952063"/>
    <w:rsid w:val="0095221A"/>
    <w:rsid w:val="00952392"/>
    <w:rsid w:val="0095272D"/>
    <w:rsid w:val="00952B93"/>
    <w:rsid w:val="00952C59"/>
    <w:rsid w:val="00952D02"/>
    <w:rsid w:val="00952F57"/>
    <w:rsid w:val="00953234"/>
    <w:rsid w:val="009535D8"/>
    <w:rsid w:val="0095367C"/>
    <w:rsid w:val="00954430"/>
    <w:rsid w:val="00954457"/>
    <w:rsid w:val="009544A9"/>
    <w:rsid w:val="0095451E"/>
    <w:rsid w:val="0095452F"/>
    <w:rsid w:val="00954584"/>
    <w:rsid w:val="0095497A"/>
    <w:rsid w:val="00954C18"/>
    <w:rsid w:val="00954CCA"/>
    <w:rsid w:val="00954D01"/>
    <w:rsid w:val="00954DA0"/>
    <w:rsid w:val="00955067"/>
    <w:rsid w:val="009551CF"/>
    <w:rsid w:val="009551D3"/>
    <w:rsid w:val="00955234"/>
    <w:rsid w:val="00955281"/>
    <w:rsid w:val="0095594F"/>
    <w:rsid w:val="00955C81"/>
    <w:rsid w:val="00955C95"/>
    <w:rsid w:val="00955D6F"/>
    <w:rsid w:val="00955F31"/>
    <w:rsid w:val="009564DA"/>
    <w:rsid w:val="0095653D"/>
    <w:rsid w:val="0095657E"/>
    <w:rsid w:val="009565FD"/>
    <w:rsid w:val="00956840"/>
    <w:rsid w:val="009568A4"/>
    <w:rsid w:val="00956A0C"/>
    <w:rsid w:val="00956EFB"/>
    <w:rsid w:val="0095736C"/>
    <w:rsid w:val="0095743E"/>
    <w:rsid w:val="009574A1"/>
    <w:rsid w:val="0095766A"/>
    <w:rsid w:val="0095788B"/>
    <w:rsid w:val="00957AFC"/>
    <w:rsid w:val="00957D6A"/>
    <w:rsid w:val="00960669"/>
    <w:rsid w:val="009609DC"/>
    <w:rsid w:val="00960AEF"/>
    <w:rsid w:val="00960D55"/>
    <w:rsid w:val="00960E27"/>
    <w:rsid w:val="00960FED"/>
    <w:rsid w:val="009613D7"/>
    <w:rsid w:val="00961439"/>
    <w:rsid w:val="00961561"/>
    <w:rsid w:val="00961A48"/>
    <w:rsid w:val="00961A54"/>
    <w:rsid w:val="00961CF0"/>
    <w:rsid w:val="009623F8"/>
    <w:rsid w:val="0096265B"/>
    <w:rsid w:val="0096285C"/>
    <w:rsid w:val="00962C7D"/>
    <w:rsid w:val="00962D5C"/>
    <w:rsid w:val="00962D7F"/>
    <w:rsid w:val="00962E05"/>
    <w:rsid w:val="00962ED2"/>
    <w:rsid w:val="00963818"/>
    <w:rsid w:val="0096382E"/>
    <w:rsid w:val="00963A18"/>
    <w:rsid w:val="0096430B"/>
    <w:rsid w:val="00964383"/>
    <w:rsid w:val="0096439E"/>
    <w:rsid w:val="00965053"/>
    <w:rsid w:val="00965328"/>
    <w:rsid w:val="009656F2"/>
    <w:rsid w:val="00965FC6"/>
    <w:rsid w:val="0096606A"/>
    <w:rsid w:val="009665AC"/>
    <w:rsid w:val="0096668C"/>
    <w:rsid w:val="0096673E"/>
    <w:rsid w:val="00966906"/>
    <w:rsid w:val="00966A29"/>
    <w:rsid w:val="00966E1D"/>
    <w:rsid w:val="00966F53"/>
    <w:rsid w:val="00967004"/>
    <w:rsid w:val="00967197"/>
    <w:rsid w:val="0096722D"/>
    <w:rsid w:val="00967386"/>
    <w:rsid w:val="0096752D"/>
    <w:rsid w:val="009675E6"/>
    <w:rsid w:val="00967644"/>
    <w:rsid w:val="00967AB1"/>
    <w:rsid w:val="00967AF3"/>
    <w:rsid w:val="00967B37"/>
    <w:rsid w:val="00967B70"/>
    <w:rsid w:val="00967D3A"/>
    <w:rsid w:val="00967F3E"/>
    <w:rsid w:val="00967F8E"/>
    <w:rsid w:val="009700C9"/>
    <w:rsid w:val="009701B4"/>
    <w:rsid w:val="0097029F"/>
    <w:rsid w:val="009703CB"/>
    <w:rsid w:val="0097069D"/>
    <w:rsid w:val="00970DCA"/>
    <w:rsid w:val="00970EBF"/>
    <w:rsid w:val="00970F77"/>
    <w:rsid w:val="00971364"/>
    <w:rsid w:val="0097156B"/>
    <w:rsid w:val="00971A1E"/>
    <w:rsid w:val="00971F76"/>
    <w:rsid w:val="009721DF"/>
    <w:rsid w:val="0097227C"/>
    <w:rsid w:val="009723B5"/>
    <w:rsid w:val="0097292B"/>
    <w:rsid w:val="00972A3E"/>
    <w:rsid w:val="00972BC9"/>
    <w:rsid w:val="00972BEF"/>
    <w:rsid w:val="00972C4F"/>
    <w:rsid w:val="00972FA1"/>
    <w:rsid w:val="00972FEB"/>
    <w:rsid w:val="009732E8"/>
    <w:rsid w:val="009732F9"/>
    <w:rsid w:val="00973446"/>
    <w:rsid w:val="0097356B"/>
    <w:rsid w:val="0097388A"/>
    <w:rsid w:val="00973932"/>
    <w:rsid w:val="00973E06"/>
    <w:rsid w:val="00973E36"/>
    <w:rsid w:val="0097413B"/>
    <w:rsid w:val="0097479A"/>
    <w:rsid w:val="0097496D"/>
    <w:rsid w:val="00974998"/>
    <w:rsid w:val="00974B6B"/>
    <w:rsid w:val="00974D18"/>
    <w:rsid w:val="00974D1D"/>
    <w:rsid w:val="00974F17"/>
    <w:rsid w:val="00975084"/>
    <w:rsid w:val="00975100"/>
    <w:rsid w:val="0097539C"/>
    <w:rsid w:val="00975486"/>
    <w:rsid w:val="00975740"/>
    <w:rsid w:val="00975BB2"/>
    <w:rsid w:val="00975C4C"/>
    <w:rsid w:val="00975DA9"/>
    <w:rsid w:val="0097641D"/>
    <w:rsid w:val="009764A6"/>
    <w:rsid w:val="00976D3C"/>
    <w:rsid w:val="00976FB4"/>
    <w:rsid w:val="0097733A"/>
    <w:rsid w:val="009777BF"/>
    <w:rsid w:val="00977886"/>
    <w:rsid w:val="009778FF"/>
    <w:rsid w:val="0097798B"/>
    <w:rsid w:val="00977B66"/>
    <w:rsid w:val="00977BAF"/>
    <w:rsid w:val="00977D65"/>
    <w:rsid w:val="00977D7E"/>
    <w:rsid w:val="00980842"/>
    <w:rsid w:val="0098097E"/>
    <w:rsid w:val="00980D63"/>
    <w:rsid w:val="00980D71"/>
    <w:rsid w:val="009810CA"/>
    <w:rsid w:val="00981286"/>
    <w:rsid w:val="009815DE"/>
    <w:rsid w:val="00981F15"/>
    <w:rsid w:val="0098202A"/>
    <w:rsid w:val="0098205B"/>
    <w:rsid w:val="00982182"/>
    <w:rsid w:val="00982925"/>
    <w:rsid w:val="00982995"/>
    <w:rsid w:val="00982AB0"/>
    <w:rsid w:val="00983213"/>
    <w:rsid w:val="0098345D"/>
    <w:rsid w:val="009834FB"/>
    <w:rsid w:val="009837EE"/>
    <w:rsid w:val="00983825"/>
    <w:rsid w:val="0098386A"/>
    <w:rsid w:val="00983AE3"/>
    <w:rsid w:val="00983BA2"/>
    <w:rsid w:val="00983C90"/>
    <w:rsid w:val="00983CCD"/>
    <w:rsid w:val="00984136"/>
    <w:rsid w:val="00984291"/>
    <w:rsid w:val="0098433F"/>
    <w:rsid w:val="00984389"/>
    <w:rsid w:val="00984519"/>
    <w:rsid w:val="009847E3"/>
    <w:rsid w:val="00984825"/>
    <w:rsid w:val="00984ECA"/>
    <w:rsid w:val="00984EF6"/>
    <w:rsid w:val="0098539A"/>
    <w:rsid w:val="00985715"/>
    <w:rsid w:val="00985979"/>
    <w:rsid w:val="0098598A"/>
    <w:rsid w:val="009859E4"/>
    <w:rsid w:val="00985AD9"/>
    <w:rsid w:val="00985B1A"/>
    <w:rsid w:val="00985C14"/>
    <w:rsid w:val="00985F20"/>
    <w:rsid w:val="00985F2C"/>
    <w:rsid w:val="009860A6"/>
    <w:rsid w:val="009861CB"/>
    <w:rsid w:val="009863C4"/>
    <w:rsid w:val="00986557"/>
    <w:rsid w:val="00986B09"/>
    <w:rsid w:val="00987430"/>
    <w:rsid w:val="00987494"/>
    <w:rsid w:val="009874CC"/>
    <w:rsid w:val="0098777D"/>
    <w:rsid w:val="0098787E"/>
    <w:rsid w:val="009878C8"/>
    <w:rsid w:val="0098791F"/>
    <w:rsid w:val="0098792C"/>
    <w:rsid w:val="009900FB"/>
    <w:rsid w:val="00990267"/>
    <w:rsid w:val="009911AA"/>
    <w:rsid w:val="00991289"/>
    <w:rsid w:val="00991326"/>
    <w:rsid w:val="00991842"/>
    <w:rsid w:val="00991939"/>
    <w:rsid w:val="00991A0E"/>
    <w:rsid w:val="0099218D"/>
    <w:rsid w:val="009921A5"/>
    <w:rsid w:val="0099230C"/>
    <w:rsid w:val="0099230F"/>
    <w:rsid w:val="0099254F"/>
    <w:rsid w:val="00992A4B"/>
    <w:rsid w:val="00992EA2"/>
    <w:rsid w:val="00992F01"/>
    <w:rsid w:val="00992F68"/>
    <w:rsid w:val="009930B6"/>
    <w:rsid w:val="009931A5"/>
    <w:rsid w:val="0099352F"/>
    <w:rsid w:val="0099373B"/>
    <w:rsid w:val="009937E1"/>
    <w:rsid w:val="00993ABB"/>
    <w:rsid w:val="00994108"/>
    <w:rsid w:val="0099434E"/>
    <w:rsid w:val="009943E6"/>
    <w:rsid w:val="0099456D"/>
    <w:rsid w:val="009945D7"/>
    <w:rsid w:val="00994620"/>
    <w:rsid w:val="00994C45"/>
    <w:rsid w:val="00994E45"/>
    <w:rsid w:val="00994E4D"/>
    <w:rsid w:val="00994F4B"/>
    <w:rsid w:val="00994FC2"/>
    <w:rsid w:val="009954FC"/>
    <w:rsid w:val="0099551E"/>
    <w:rsid w:val="009955D2"/>
    <w:rsid w:val="00995903"/>
    <w:rsid w:val="00995A3F"/>
    <w:rsid w:val="00995E7A"/>
    <w:rsid w:val="00995ECA"/>
    <w:rsid w:val="00996033"/>
    <w:rsid w:val="00996160"/>
    <w:rsid w:val="009964AD"/>
    <w:rsid w:val="009965E9"/>
    <w:rsid w:val="0099663C"/>
    <w:rsid w:val="0099668A"/>
    <w:rsid w:val="00996B1C"/>
    <w:rsid w:val="00996DA9"/>
    <w:rsid w:val="00996DFB"/>
    <w:rsid w:val="00996ED5"/>
    <w:rsid w:val="0099705F"/>
    <w:rsid w:val="009972D7"/>
    <w:rsid w:val="00997648"/>
    <w:rsid w:val="009976E7"/>
    <w:rsid w:val="009977BD"/>
    <w:rsid w:val="00997949"/>
    <w:rsid w:val="00997A8A"/>
    <w:rsid w:val="00997CB2"/>
    <w:rsid w:val="00997F40"/>
    <w:rsid w:val="009A010D"/>
    <w:rsid w:val="009A0339"/>
    <w:rsid w:val="009A04F9"/>
    <w:rsid w:val="009A0523"/>
    <w:rsid w:val="009A06D9"/>
    <w:rsid w:val="009A07A7"/>
    <w:rsid w:val="009A0892"/>
    <w:rsid w:val="009A0E0E"/>
    <w:rsid w:val="009A104D"/>
    <w:rsid w:val="009A1344"/>
    <w:rsid w:val="009A14D6"/>
    <w:rsid w:val="009A191B"/>
    <w:rsid w:val="009A1BEC"/>
    <w:rsid w:val="009A1D22"/>
    <w:rsid w:val="009A1DD4"/>
    <w:rsid w:val="009A1DE3"/>
    <w:rsid w:val="009A1EC0"/>
    <w:rsid w:val="009A208A"/>
    <w:rsid w:val="009A21D4"/>
    <w:rsid w:val="009A2922"/>
    <w:rsid w:val="009A293F"/>
    <w:rsid w:val="009A2D5B"/>
    <w:rsid w:val="009A2ECE"/>
    <w:rsid w:val="009A3013"/>
    <w:rsid w:val="009A3241"/>
    <w:rsid w:val="009A34A0"/>
    <w:rsid w:val="009A353D"/>
    <w:rsid w:val="009A35A6"/>
    <w:rsid w:val="009A360E"/>
    <w:rsid w:val="009A3D2D"/>
    <w:rsid w:val="009A3EAE"/>
    <w:rsid w:val="009A3EB6"/>
    <w:rsid w:val="009A4081"/>
    <w:rsid w:val="009A43B7"/>
    <w:rsid w:val="009A46D5"/>
    <w:rsid w:val="009A47DA"/>
    <w:rsid w:val="009A48F1"/>
    <w:rsid w:val="009A4953"/>
    <w:rsid w:val="009A4A2C"/>
    <w:rsid w:val="009A4C2F"/>
    <w:rsid w:val="009A4DE3"/>
    <w:rsid w:val="009A4E77"/>
    <w:rsid w:val="009A568F"/>
    <w:rsid w:val="009A575F"/>
    <w:rsid w:val="009A57DE"/>
    <w:rsid w:val="009A60D4"/>
    <w:rsid w:val="009A616B"/>
    <w:rsid w:val="009A68A7"/>
    <w:rsid w:val="009A6DE4"/>
    <w:rsid w:val="009A6DF6"/>
    <w:rsid w:val="009A6EFB"/>
    <w:rsid w:val="009A730F"/>
    <w:rsid w:val="009A74E6"/>
    <w:rsid w:val="009A755D"/>
    <w:rsid w:val="009A7B98"/>
    <w:rsid w:val="009A7F3E"/>
    <w:rsid w:val="009B0265"/>
    <w:rsid w:val="009B0460"/>
    <w:rsid w:val="009B063D"/>
    <w:rsid w:val="009B0853"/>
    <w:rsid w:val="009B0C4A"/>
    <w:rsid w:val="009B0FAC"/>
    <w:rsid w:val="009B100F"/>
    <w:rsid w:val="009B1813"/>
    <w:rsid w:val="009B1B6E"/>
    <w:rsid w:val="009B1D6C"/>
    <w:rsid w:val="009B1E71"/>
    <w:rsid w:val="009B1F14"/>
    <w:rsid w:val="009B201E"/>
    <w:rsid w:val="009B21AC"/>
    <w:rsid w:val="009B21FE"/>
    <w:rsid w:val="009B232F"/>
    <w:rsid w:val="009B2395"/>
    <w:rsid w:val="009B23AF"/>
    <w:rsid w:val="009B248F"/>
    <w:rsid w:val="009B27A9"/>
    <w:rsid w:val="009B2A22"/>
    <w:rsid w:val="009B2CC4"/>
    <w:rsid w:val="009B2D39"/>
    <w:rsid w:val="009B2DDD"/>
    <w:rsid w:val="009B2F87"/>
    <w:rsid w:val="009B2FD5"/>
    <w:rsid w:val="009B305C"/>
    <w:rsid w:val="009B33CE"/>
    <w:rsid w:val="009B3591"/>
    <w:rsid w:val="009B37B6"/>
    <w:rsid w:val="009B3870"/>
    <w:rsid w:val="009B3A93"/>
    <w:rsid w:val="009B3CB9"/>
    <w:rsid w:val="009B3E87"/>
    <w:rsid w:val="009B3EC1"/>
    <w:rsid w:val="009B41D8"/>
    <w:rsid w:val="009B4BF5"/>
    <w:rsid w:val="009B4C2F"/>
    <w:rsid w:val="009B4D25"/>
    <w:rsid w:val="009B4DF6"/>
    <w:rsid w:val="009B5163"/>
    <w:rsid w:val="009B52E7"/>
    <w:rsid w:val="009B53A2"/>
    <w:rsid w:val="009B56E0"/>
    <w:rsid w:val="009B572B"/>
    <w:rsid w:val="009B59E7"/>
    <w:rsid w:val="009B5A73"/>
    <w:rsid w:val="009B5AC1"/>
    <w:rsid w:val="009B5C0C"/>
    <w:rsid w:val="009B5C72"/>
    <w:rsid w:val="009B5DF9"/>
    <w:rsid w:val="009B5ECD"/>
    <w:rsid w:val="009B5FBB"/>
    <w:rsid w:val="009B61F1"/>
    <w:rsid w:val="009B6395"/>
    <w:rsid w:val="009B63B6"/>
    <w:rsid w:val="009B63F5"/>
    <w:rsid w:val="009B643C"/>
    <w:rsid w:val="009B6495"/>
    <w:rsid w:val="009B6628"/>
    <w:rsid w:val="009B6E4C"/>
    <w:rsid w:val="009B73D9"/>
    <w:rsid w:val="009B763D"/>
    <w:rsid w:val="009B7663"/>
    <w:rsid w:val="009B76B1"/>
    <w:rsid w:val="009B7A82"/>
    <w:rsid w:val="009B7D68"/>
    <w:rsid w:val="009B7E17"/>
    <w:rsid w:val="009B7E48"/>
    <w:rsid w:val="009C055A"/>
    <w:rsid w:val="009C0634"/>
    <w:rsid w:val="009C07FA"/>
    <w:rsid w:val="009C094A"/>
    <w:rsid w:val="009C0EB1"/>
    <w:rsid w:val="009C0EBC"/>
    <w:rsid w:val="009C149D"/>
    <w:rsid w:val="009C1786"/>
    <w:rsid w:val="009C1943"/>
    <w:rsid w:val="009C19DA"/>
    <w:rsid w:val="009C1BF6"/>
    <w:rsid w:val="009C1C5F"/>
    <w:rsid w:val="009C1E1C"/>
    <w:rsid w:val="009C1EC3"/>
    <w:rsid w:val="009C212E"/>
    <w:rsid w:val="009C2225"/>
    <w:rsid w:val="009C241B"/>
    <w:rsid w:val="009C2902"/>
    <w:rsid w:val="009C29D7"/>
    <w:rsid w:val="009C2A7E"/>
    <w:rsid w:val="009C2AF1"/>
    <w:rsid w:val="009C2BD2"/>
    <w:rsid w:val="009C2D78"/>
    <w:rsid w:val="009C2E05"/>
    <w:rsid w:val="009C3204"/>
    <w:rsid w:val="009C329A"/>
    <w:rsid w:val="009C3450"/>
    <w:rsid w:val="009C35A7"/>
    <w:rsid w:val="009C3906"/>
    <w:rsid w:val="009C392E"/>
    <w:rsid w:val="009C3A5C"/>
    <w:rsid w:val="009C3B06"/>
    <w:rsid w:val="009C3C8B"/>
    <w:rsid w:val="009C3DA0"/>
    <w:rsid w:val="009C3E9B"/>
    <w:rsid w:val="009C3F57"/>
    <w:rsid w:val="009C4185"/>
    <w:rsid w:val="009C431B"/>
    <w:rsid w:val="009C43ED"/>
    <w:rsid w:val="009C4581"/>
    <w:rsid w:val="009C483E"/>
    <w:rsid w:val="009C4932"/>
    <w:rsid w:val="009C4AA2"/>
    <w:rsid w:val="009C4CE1"/>
    <w:rsid w:val="009C4E02"/>
    <w:rsid w:val="009C4E91"/>
    <w:rsid w:val="009C5038"/>
    <w:rsid w:val="009C5059"/>
    <w:rsid w:val="009C50C4"/>
    <w:rsid w:val="009C50ED"/>
    <w:rsid w:val="009C530C"/>
    <w:rsid w:val="009C536F"/>
    <w:rsid w:val="009C5BD2"/>
    <w:rsid w:val="009C62AE"/>
    <w:rsid w:val="009C62EC"/>
    <w:rsid w:val="009C6521"/>
    <w:rsid w:val="009C65B0"/>
    <w:rsid w:val="009C67FA"/>
    <w:rsid w:val="009C6940"/>
    <w:rsid w:val="009C6AA8"/>
    <w:rsid w:val="009C7115"/>
    <w:rsid w:val="009C7312"/>
    <w:rsid w:val="009C75D6"/>
    <w:rsid w:val="009C76BA"/>
    <w:rsid w:val="009C7A90"/>
    <w:rsid w:val="009C7B81"/>
    <w:rsid w:val="009C7BFA"/>
    <w:rsid w:val="009C7C8D"/>
    <w:rsid w:val="009C7CEB"/>
    <w:rsid w:val="009C7EB1"/>
    <w:rsid w:val="009D021C"/>
    <w:rsid w:val="009D044B"/>
    <w:rsid w:val="009D055E"/>
    <w:rsid w:val="009D05A3"/>
    <w:rsid w:val="009D0A6F"/>
    <w:rsid w:val="009D0B3C"/>
    <w:rsid w:val="009D1195"/>
    <w:rsid w:val="009D19B2"/>
    <w:rsid w:val="009D1BC1"/>
    <w:rsid w:val="009D1F5E"/>
    <w:rsid w:val="009D1FBD"/>
    <w:rsid w:val="009D241D"/>
    <w:rsid w:val="009D256A"/>
    <w:rsid w:val="009D29B9"/>
    <w:rsid w:val="009D2A89"/>
    <w:rsid w:val="009D2D38"/>
    <w:rsid w:val="009D2EA8"/>
    <w:rsid w:val="009D2F8D"/>
    <w:rsid w:val="009D3132"/>
    <w:rsid w:val="009D3141"/>
    <w:rsid w:val="009D3329"/>
    <w:rsid w:val="009D3621"/>
    <w:rsid w:val="009D38F2"/>
    <w:rsid w:val="009D446D"/>
    <w:rsid w:val="009D4722"/>
    <w:rsid w:val="009D479A"/>
    <w:rsid w:val="009D4A59"/>
    <w:rsid w:val="009D51A2"/>
    <w:rsid w:val="009D5530"/>
    <w:rsid w:val="009D576B"/>
    <w:rsid w:val="009D579C"/>
    <w:rsid w:val="009D57E4"/>
    <w:rsid w:val="009D5E85"/>
    <w:rsid w:val="009D6058"/>
    <w:rsid w:val="009D622B"/>
    <w:rsid w:val="009D64C5"/>
    <w:rsid w:val="009D655C"/>
    <w:rsid w:val="009D67B6"/>
    <w:rsid w:val="009D6939"/>
    <w:rsid w:val="009D6B3A"/>
    <w:rsid w:val="009D6BC9"/>
    <w:rsid w:val="009D6CA1"/>
    <w:rsid w:val="009D71BB"/>
    <w:rsid w:val="009D779C"/>
    <w:rsid w:val="009D796D"/>
    <w:rsid w:val="009D7B26"/>
    <w:rsid w:val="009D7E38"/>
    <w:rsid w:val="009D7E40"/>
    <w:rsid w:val="009E02E2"/>
    <w:rsid w:val="009E0317"/>
    <w:rsid w:val="009E05FB"/>
    <w:rsid w:val="009E11F3"/>
    <w:rsid w:val="009E11F7"/>
    <w:rsid w:val="009E1ACB"/>
    <w:rsid w:val="009E1CAD"/>
    <w:rsid w:val="009E1D5C"/>
    <w:rsid w:val="009E1EFE"/>
    <w:rsid w:val="009E221F"/>
    <w:rsid w:val="009E2509"/>
    <w:rsid w:val="009E2895"/>
    <w:rsid w:val="009E2ACE"/>
    <w:rsid w:val="009E2DBD"/>
    <w:rsid w:val="009E2F5A"/>
    <w:rsid w:val="009E2F6E"/>
    <w:rsid w:val="009E32C4"/>
    <w:rsid w:val="009E3314"/>
    <w:rsid w:val="009E340F"/>
    <w:rsid w:val="009E36E9"/>
    <w:rsid w:val="009E37E8"/>
    <w:rsid w:val="009E3BB6"/>
    <w:rsid w:val="009E40E0"/>
    <w:rsid w:val="009E434A"/>
    <w:rsid w:val="009E4438"/>
    <w:rsid w:val="009E44AA"/>
    <w:rsid w:val="009E4965"/>
    <w:rsid w:val="009E49D2"/>
    <w:rsid w:val="009E4C0E"/>
    <w:rsid w:val="009E4FC0"/>
    <w:rsid w:val="009E50C2"/>
    <w:rsid w:val="009E515D"/>
    <w:rsid w:val="009E541F"/>
    <w:rsid w:val="009E550F"/>
    <w:rsid w:val="009E5616"/>
    <w:rsid w:val="009E568C"/>
    <w:rsid w:val="009E5AE1"/>
    <w:rsid w:val="009E5C27"/>
    <w:rsid w:val="009E5F76"/>
    <w:rsid w:val="009E5F89"/>
    <w:rsid w:val="009E61D4"/>
    <w:rsid w:val="009E6398"/>
    <w:rsid w:val="009E63C3"/>
    <w:rsid w:val="009E641E"/>
    <w:rsid w:val="009E6593"/>
    <w:rsid w:val="009E65B8"/>
    <w:rsid w:val="009E6B51"/>
    <w:rsid w:val="009E6FB8"/>
    <w:rsid w:val="009E6FD8"/>
    <w:rsid w:val="009E70CC"/>
    <w:rsid w:val="009E731D"/>
    <w:rsid w:val="009E74CF"/>
    <w:rsid w:val="009E77D5"/>
    <w:rsid w:val="009E78B1"/>
    <w:rsid w:val="009F013A"/>
    <w:rsid w:val="009F02DE"/>
    <w:rsid w:val="009F031B"/>
    <w:rsid w:val="009F078B"/>
    <w:rsid w:val="009F0B93"/>
    <w:rsid w:val="009F0CB5"/>
    <w:rsid w:val="009F0E46"/>
    <w:rsid w:val="009F0EBD"/>
    <w:rsid w:val="009F0F1F"/>
    <w:rsid w:val="009F0F42"/>
    <w:rsid w:val="009F1118"/>
    <w:rsid w:val="009F12CF"/>
    <w:rsid w:val="009F14AC"/>
    <w:rsid w:val="009F14D1"/>
    <w:rsid w:val="009F1A9C"/>
    <w:rsid w:val="009F1C0F"/>
    <w:rsid w:val="009F21E6"/>
    <w:rsid w:val="009F232E"/>
    <w:rsid w:val="009F295A"/>
    <w:rsid w:val="009F2988"/>
    <w:rsid w:val="009F29B2"/>
    <w:rsid w:val="009F2CBC"/>
    <w:rsid w:val="009F2FCD"/>
    <w:rsid w:val="009F3120"/>
    <w:rsid w:val="009F35A5"/>
    <w:rsid w:val="009F35FD"/>
    <w:rsid w:val="009F384A"/>
    <w:rsid w:val="009F3A98"/>
    <w:rsid w:val="009F3CA3"/>
    <w:rsid w:val="009F3E71"/>
    <w:rsid w:val="009F41B7"/>
    <w:rsid w:val="009F4464"/>
    <w:rsid w:val="009F4647"/>
    <w:rsid w:val="009F4749"/>
    <w:rsid w:val="009F4982"/>
    <w:rsid w:val="009F4AE8"/>
    <w:rsid w:val="009F4C0C"/>
    <w:rsid w:val="009F4E0C"/>
    <w:rsid w:val="009F4FA8"/>
    <w:rsid w:val="009F5014"/>
    <w:rsid w:val="009F5730"/>
    <w:rsid w:val="009F5AC4"/>
    <w:rsid w:val="009F5DA9"/>
    <w:rsid w:val="009F608D"/>
    <w:rsid w:val="009F6193"/>
    <w:rsid w:val="009F6417"/>
    <w:rsid w:val="009F6467"/>
    <w:rsid w:val="009F6484"/>
    <w:rsid w:val="009F67D5"/>
    <w:rsid w:val="009F685C"/>
    <w:rsid w:val="009F68B9"/>
    <w:rsid w:val="009F6C25"/>
    <w:rsid w:val="009F6CB6"/>
    <w:rsid w:val="009F6D6F"/>
    <w:rsid w:val="009F6DE3"/>
    <w:rsid w:val="009F6F27"/>
    <w:rsid w:val="009F70E8"/>
    <w:rsid w:val="009F74F3"/>
    <w:rsid w:val="009F78EF"/>
    <w:rsid w:val="009F79AF"/>
    <w:rsid w:val="009F79E5"/>
    <w:rsid w:val="00A00362"/>
    <w:rsid w:val="00A004A4"/>
    <w:rsid w:val="00A00626"/>
    <w:rsid w:val="00A0065A"/>
    <w:rsid w:val="00A00994"/>
    <w:rsid w:val="00A00A5F"/>
    <w:rsid w:val="00A00E8B"/>
    <w:rsid w:val="00A00F48"/>
    <w:rsid w:val="00A01466"/>
    <w:rsid w:val="00A01703"/>
    <w:rsid w:val="00A018E3"/>
    <w:rsid w:val="00A01B35"/>
    <w:rsid w:val="00A01C37"/>
    <w:rsid w:val="00A01E38"/>
    <w:rsid w:val="00A01F56"/>
    <w:rsid w:val="00A0211D"/>
    <w:rsid w:val="00A02465"/>
    <w:rsid w:val="00A02601"/>
    <w:rsid w:val="00A0276C"/>
    <w:rsid w:val="00A02A2B"/>
    <w:rsid w:val="00A02A31"/>
    <w:rsid w:val="00A02C78"/>
    <w:rsid w:val="00A02D1F"/>
    <w:rsid w:val="00A02D25"/>
    <w:rsid w:val="00A02ECE"/>
    <w:rsid w:val="00A03468"/>
    <w:rsid w:val="00A03908"/>
    <w:rsid w:val="00A039E2"/>
    <w:rsid w:val="00A03E9B"/>
    <w:rsid w:val="00A0418C"/>
    <w:rsid w:val="00A041BE"/>
    <w:rsid w:val="00A0424E"/>
    <w:rsid w:val="00A044CF"/>
    <w:rsid w:val="00A04B17"/>
    <w:rsid w:val="00A04C22"/>
    <w:rsid w:val="00A04F05"/>
    <w:rsid w:val="00A055B4"/>
    <w:rsid w:val="00A05A79"/>
    <w:rsid w:val="00A05E61"/>
    <w:rsid w:val="00A05F0A"/>
    <w:rsid w:val="00A060FF"/>
    <w:rsid w:val="00A06226"/>
    <w:rsid w:val="00A063CD"/>
    <w:rsid w:val="00A0663C"/>
    <w:rsid w:val="00A06697"/>
    <w:rsid w:val="00A06842"/>
    <w:rsid w:val="00A06CED"/>
    <w:rsid w:val="00A06EAC"/>
    <w:rsid w:val="00A076AD"/>
    <w:rsid w:val="00A07B25"/>
    <w:rsid w:val="00A1026A"/>
    <w:rsid w:val="00A10523"/>
    <w:rsid w:val="00A10949"/>
    <w:rsid w:val="00A10B69"/>
    <w:rsid w:val="00A10E5C"/>
    <w:rsid w:val="00A10EC1"/>
    <w:rsid w:val="00A11531"/>
    <w:rsid w:val="00A11759"/>
    <w:rsid w:val="00A11824"/>
    <w:rsid w:val="00A1182E"/>
    <w:rsid w:val="00A119F9"/>
    <w:rsid w:val="00A11C88"/>
    <w:rsid w:val="00A11FB2"/>
    <w:rsid w:val="00A12019"/>
    <w:rsid w:val="00A12306"/>
    <w:rsid w:val="00A1234F"/>
    <w:rsid w:val="00A1245D"/>
    <w:rsid w:val="00A124CE"/>
    <w:rsid w:val="00A126B5"/>
    <w:rsid w:val="00A127CE"/>
    <w:rsid w:val="00A1288F"/>
    <w:rsid w:val="00A12C0F"/>
    <w:rsid w:val="00A13625"/>
    <w:rsid w:val="00A136AC"/>
    <w:rsid w:val="00A13AB0"/>
    <w:rsid w:val="00A13C5E"/>
    <w:rsid w:val="00A13C9E"/>
    <w:rsid w:val="00A13EB1"/>
    <w:rsid w:val="00A13F08"/>
    <w:rsid w:val="00A1435B"/>
    <w:rsid w:val="00A1454C"/>
    <w:rsid w:val="00A148BD"/>
    <w:rsid w:val="00A149F4"/>
    <w:rsid w:val="00A14AF1"/>
    <w:rsid w:val="00A14CBE"/>
    <w:rsid w:val="00A15331"/>
    <w:rsid w:val="00A15465"/>
    <w:rsid w:val="00A15670"/>
    <w:rsid w:val="00A15AFA"/>
    <w:rsid w:val="00A15BDD"/>
    <w:rsid w:val="00A16118"/>
    <w:rsid w:val="00A166DB"/>
    <w:rsid w:val="00A16FAC"/>
    <w:rsid w:val="00A171F0"/>
    <w:rsid w:val="00A17426"/>
    <w:rsid w:val="00A17434"/>
    <w:rsid w:val="00A1745A"/>
    <w:rsid w:val="00A1746C"/>
    <w:rsid w:val="00A17677"/>
    <w:rsid w:val="00A1776A"/>
    <w:rsid w:val="00A17781"/>
    <w:rsid w:val="00A17C4C"/>
    <w:rsid w:val="00A209A0"/>
    <w:rsid w:val="00A211BD"/>
    <w:rsid w:val="00A21257"/>
    <w:rsid w:val="00A215FC"/>
    <w:rsid w:val="00A2175F"/>
    <w:rsid w:val="00A21A41"/>
    <w:rsid w:val="00A21DF1"/>
    <w:rsid w:val="00A21E5E"/>
    <w:rsid w:val="00A220A9"/>
    <w:rsid w:val="00A221DB"/>
    <w:rsid w:val="00A223B4"/>
    <w:rsid w:val="00A224DE"/>
    <w:rsid w:val="00A226D1"/>
    <w:rsid w:val="00A22FC6"/>
    <w:rsid w:val="00A23105"/>
    <w:rsid w:val="00A236FC"/>
    <w:rsid w:val="00A2371D"/>
    <w:rsid w:val="00A23861"/>
    <w:rsid w:val="00A238DE"/>
    <w:rsid w:val="00A23AF2"/>
    <w:rsid w:val="00A23E73"/>
    <w:rsid w:val="00A23F72"/>
    <w:rsid w:val="00A24C93"/>
    <w:rsid w:val="00A24F3B"/>
    <w:rsid w:val="00A24F52"/>
    <w:rsid w:val="00A250C2"/>
    <w:rsid w:val="00A25538"/>
    <w:rsid w:val="00A25BC2"/>
    <w:rsid w:val="00A25D0D"/>
    <w:rsid w:val="00A2615B"/>
    <w:rsid w:val="00A26162"/>
    <w:rsid w:val="00A2623B"/>
    <w:rsid w:val="00A26479"/>
    <w:rsid w:val="00A264AA"/>
    <w:rsid w:val="00A265BF"/>
    <w:rsid w:val="00A267AE"/>
    <w:rsid w:val="00A26D46"/>
    <w:rsid w:val="00A26D9B"/>
    <w:rsid w:val="00A26E5E"/>
    <w:rsid w:val="00A26F14"/>
    <w:rsid w:val="00A2725B"/>
    <w:rsid w:val="00A2761A"/>
    <w:rsid w:val="00A27800"/>
    <w:rsid w:val="00A27A42"/>
    <w:rsid w:val="00A27AAC"/>
    <w:rsid w:val="00A27AB0"/>
    <w:rsid w:val="00A27D59"/>
    <w:rsid w:val="00A27F01"/>
    <w:rsid w:val="00A30533"/>
    <w:rsid w:val="00A305DF"/>
    <w:rsid w:val="00A30BEE"/>
    <w:rsid w:val="00A30C4B"/>
    <w:rsid w:val="00A312DE"/>
    <w:rsid w:val="00A31856"/>
    <w:rsid w:val="00A3188E"/>
    <w:rsid w:val="00A3193B"/>
    <w:rsid w:val="00A320CF"/>
    <w:rsid w:val="00A320F3"/>
    <w:rsid w:val="00A32298"/>
    <w:rsid w:val="00A324BE"/>
    <w:rsid w:val="00A3284D"/>
    <w:rsid w:val="00A32AA6"/>
    <w:rsid w:val="00A32FAB"/>
    <w:rsid w:val="00A330C6"/>
    <w:rsid w:val="00A335DD"/>
    <w:rsid w:val="00A33AB2"/>
    <w:rsid w:val="00A3450B"/>
    <w:rsid w:val="00A3473B"/>
    <w:rsid w:val="00A35026"/>
    <w:rsid w:val="00A35145"/>
    <w:rsid w:val="00A354DB"/>
    <w:rsid w:val="00A35692"/>
    <w:rsid w:val="00A358DB"/>
    <w:rsid w:val="00A3630C"/>
    <w:rsid w:val="00A36382"/>
    <w:rsid w:val="00A36577"/>
    <w:rsid w:val="00A36587"/>
    <w:rsid w:val="00A365FA"/>
    <w:rsid w:val="00A36634"/>
    <w:rsid w:val="00A36E49"/>
    <w:rsid w:val="00A36ED4"/>
    <w:rsid w:val="00A372D4"/>
    <w:rsid w:val="00A377CF"/>
    <w:rsid w:val="00A378CA"/>
    <w:rsid w:val="00A37954"/>
    <w:rsid w:val="00A37D45"/>
    <w:rsid w:val="00A37DB1"/>
    <w:rsid w:val="00A37E1F"/>
    <w:rsid w:val="00A37FDE"/>
    <w:rsid w:val="00A4019F"/>
    <w:rsid w:val="00A401E0"/>
    <w:rsid w:val="00A404BB"/>
    <w:rsid w:val="00A40603"/>
    <w:rsid w:val="00A40727"/>
    <w:rsid w:val="00A4072D"/>
    <w:rsid w:val="00A4096E"/>
    <w:rsid w:val="00A41516"/>
    <w:rsid w:val="00A418DB"/>
    <w:rsid w:val="00A41A6A"/>
    <w:rsid w:val="00A41C9D"/>
    <w:rsid w:val="00A42112"/>
    <w:rsid w:val="00A422EA"/>
    <w:rsid w:val="00A425DD"/>
    <w:rsid w:val="00A4274B"/>
    <w:rsid w:val="00A427ED"/>
    <w:rsid w:val="00A428DD"/>
    <w:rsid w:val="00A42B18"/>
    <w:rsid w:val="00A42FE2"/>
    <w:rsid w:val="00A43120"/>
    <w:rsid w:val="00A4359C"/>
    <w:rsid w:val="00A43AFC"/>
    <w:rsid w:val="00A446CD"/>
    <w:rsid w:val="00A44824"/>
    <w:rsid w:val="00A44A64"/>
    <w:rsid w:val="00A44D25"/>
    <w:rsid w:val="00A44F3B"/>
    <w:rsid w:val="00A44FE5"/>
    <w:rsid w:val="00A4514C"/>
    <w:rsid w:val="00A45817"/>
    <w:rsid w:val="00A45890"/>
    <w:rsid w:val="00A458CA"/>
    <w:rsid w:val="00A459E7"/>
    <w:rsid w:val="00A45DF4"/>
    <w:rsid w:val="00A45E6D"/>
    <w:rsid w:val="00A45F6B"/>
    <w:rsid w:val="00A46027"/>
    <w:rsid w:val="00A4619F"/>
    <w:rsid w:val="00A463F8"/>
    <w:rsid w:val="00A466C4"/>
    <w:rsid w:val="00A467DE"/>
    <w:rsid w:val="00A46B05"/>
    <w:rsid w:val="00A46C75"/>
    <w:rsid w:val="00A46D39"/>
    <w:rsid w:val="00A46E28"/>
    <w:rsid w:val="00A46E3C"/>
    <w:rsid w:val="00A46EE0"/>
    <w:rsid w:val="00A47263"/>
    <w:rsid w:val="00A47C2B"/>
    <w:rsid w:val="00A47FBA"/>
    <w:rsid w:val="00A5015F"/>
    <w:rsid w:val="00A5032B"/>
    <w:rsid w:val="00A5056C"/>
    <w:rsid w:val="00A506DB"/>
    <w:rsid w:val="00A508CF"/>
    <w:rsid w:val="00A50BD6"/>
    <w:rsid w:val="00A50DB9"/>
    <w:rsid w:val="00A5131F"/>
    <w:rsid w:val="00A515A0"/>
    <w:rsid w:val="00A515FE"/>
    <w:rsid w:val="00A51F68"/>
    <w:rsid w:val="00A520C8"/>
    <w:rsid w:val="00A52366"/>
    <w:rsid w:val="00A523DE"/>
    <w:rsid w:val="00A52674"/>
    <w:rsid w:val="00A5287F"/>
    <w:rsid w:val="00A529DC"/>
    <w:rsid w:val="00A5300C"/>
    <w:rsid w:val="00A531C3"/>
    <w:rsid w:val="00A53219"/>
    <w:rsid w:val="00A5349A"/>
    <w:rsid w:val="00A536C6"/>
    <w:rsid w:val="00A537D7"/>
    <w:rsid w:val="00A538CB"/>
    <w:rsid w:val="00A53AF0"/>
    <w:rsid w:val="00A53D04"/>
    <w:rsid w:val="00A53E36"/>
    <w:rsid w:val="00A53FF0"/>
    <w:rsid w:val="00A5407F"/>
    <w:rsid w:val="00A54116"/>
    <w:rsid w:val="00A547DC"/>
    <w:rsid w:val="00A54D31"/>
    <w:rsid w:val="00A54E44"/>
    <w:rsid w:val="00A54EA0"/>
    <w:rsid w:val="00A54F19"/>
    <w:rsid w:val="00A54FB5"/>
    <w:rsid w:val="00A54FC9"/>
    <w:rsid w:val="00A5514E"/>
    <w:rsid w:val="00A553D2"/>
    <w:rsid w:val="00A554C5"/>
    <w:rsid w:val="00A55752"/>
    <w:rsid w:val="00A55BC9"/>
    <w:rsid w:val="00A55F32"/>
    <w:rsid w:val="00A56174"/>
    <w:rsid w:val="00A562CC"/>
    <w:rsid w:val="00A564D5"/>
    <w:rsid w:val="00A56EE2"/>
    <w:rsid w:val="00A56F4A"/>
    <w:rsid w:val="00A57118"/>
    <w:rsid w:val="00A571BE"/>
    <w:rsid w:val="00A574A9"/>
    <w:rsid w:val="00A574D9"/>
    <w:rsid w:val="00A57893"/>
    <w:rsid w:val="00A57A47"/>
    <w:rsid w:val="00A57AAD"/>
    <w:rsid w:val="00A57C57"/>
    <w:rsid w:val="00A57F35"/>
    <w:rsid w:val="00A60106"/>
    <w:rsid w:val="00A60264"/>
    <w:rsid w:val="00A60322"/>
    <w:rsid w:val="00A604A8"/>
    <w:rsid w:val="00A604FA"/>
    <w:rsid w:val="00A60528"/>
    <w:rsid w:val="00A60679"/>
    <w:rsid w:val="00A60735"/>
    <w:rsid w:val="00A6087E"/>
    <w:rsid w:val="00A60A3F"/>
    <w:rsid w:val="00A60B89"/>
    <w:rsid w:val="00A60C3C"/>
    <w:rsid w:val="00A60D7F"/>
    <w:rsid w:val="00A60F9B"/>
    <w:rsid w:val="00A612BD"/>
    <w:rsid w:val="00A61A23"/>
    <w:rsid w:val="00A61A95"/>
    <w:rsid w:val="00A61FA8"/>
    <w:rsid w:val="00A625CA"/>
    <w:rsid w:val="00A625DA"/>
    <w:rsid w:val="00A6288D"/>
    <w:rsid w:val="00A628B8"/>
    <w:rsid w:val="00A629FF"/>
    <w:rsid w:val="00A62A9F"/>
    <w:rsid w:val="00A62AE4"/>
    <w:rsid w:val="00A6320C"/>
    <w:rsid w:val="00A632AA"/>
    <w:rsid w:val="00A636C5"/>
    <w:rsid w:val="00A63744"/>
    <w:rsid w:val="00A638F6"/>
    <w:rsid w:val="00A639F8"/>
    <w:rsid w:val="00A63A4A"/>
    <w:rsid w:val="00A63AC1"/>
    <w:rsid w:val="00A63BD0"/>
    <w:rsid w:val="00A63C59"/>
    <w:rsid w:val="00A63F8D"/>
    <w:rsid w:val="00A63FFA"/>
    <w:rsid w:val="00A64230"/>
    <w:rsid w:val="00A64381"/>
    <w:rsid w:val="00A643E5"/>
    <w:rsid w:val="00A647FA"/>
    <w:rsid w:val="00A6488E"/>
    <w:rsid w:val="00A6488F"/>
    <w:rsid w:val="00A649D5"/>
    <w:rsid w:val="00A656E0"/>
    <w:rsid w:val="00A6589E"/>
    <w:rsid w:val="00A65A80"/>
    <w:rsid w:val="00A65B8F"/>
    <w:rsid w:val="00A65C58"/>
    <w:rsid w:val="00A65D1C"/>
    <w:rsid w:val="00A65D4F"/>
    <w:rsid w:val="00A66103"/>
    <w:rsid w:val="00A66219"/>
    <w:rsid w:val="00A6630F"/>
    <w:rsid w:val="00A6670B"/>
    <w:rsid w:val="00A66C00"/>
    <w:rsid w:val="00A66C0B"/>
    <w:rsid w:val="00A66EAB"/>
    <w:rsid w:val="00A673D8"/>
    <w:rsid w:val="00A673E1"/>
    <w:rsid w:val="00A675EB"/>
    <w:rsid w:val="00A67C5E"/>
    <w:rsid w:val="00A67D3E"/>
    <w:rsid w:val="00A67DA9"/>
    <w:rsid w:val="00A67FD2"/>
    <w:rsid w:val="00A700B6"/>
    <w:rsid w:val="00A70458"/>
    <w:rsid w:val="00A705F6"/>
    <w:rsid w:val="00A7088D"/>
    <w:rsid w:val="00A70A8B"/>
    <w:rsid w:val="00A70FD8"/>
    <w:rsid w:val="00A71382"/>
    <w:rsid w:val="00A71463"/>
    <w:rsid w:val="00A71C09"/>
    <w:rsid w:val="00A71C93"/>
    <w:rsid w:val="00A71F73"/>
    <w:rsid w:val="00A72087"/>
    <w:rsid w:val="00A7223F"/>
    <w:rsid w:val="00A72C9C"/>
    <w:rsid w:val="00A72D6D"/>
    <w:rsid w:val="00A72F2F"/>
    <w:rsid w:val="00A73076"/>
    <w:rsid w:val="00A7322D"/>
    <w:rsid w:val="00A7343A"/>
    <w:rsid w:val="00A735CD"/>
    <w:rsid w:val="00A73779"/>
    <w:rsid w:val="00A7394A"/>
    <w:rsid w:val="00A73D01"/>
    <w:rsid w:val="00A74147"/>
    <w:rsid w:val="00A741C8"/>
    <w:rsid w:val="00A7422B"/>
    <w:rsid w:val="00A74500"/>
    <w:rsid w:val="00A745AB"/>
    <w:rsid w:val="00A747E6"/>
    <w:rsid w:val="00A7495C"/>
    <w:rsid w:val="00A74A26"/>
    <w:rsid w:val="00A74BCD"/>
    <w:rsid w:val="00A74BD0"/>
    <w:rsid w:val="00A74C60"/>
    <w:rsid w:val="00A74CB4"/>
    <w:rsid w:val="00A74FD2"/>
    <w:rsid w:val="00A7509A"/>
    <w:rsid w:val="00A751DE"/>
    <w:rsid w:val="00A7586A"/>
    <w:rsid w:val="00A75891"/>
    <w:rsid w:val="00A76093"/>
    <w:rsid w:val="00A7612C"/>
    <w:rsid w:val="00A763E5"/>
    <w:rsid w:val="00A764A0"/>
    <w:rsid w:val="00A76AD9"/>
    <w:rsid w:val="00A76B4B"/>
    <w:rsid w:val="00A76BFA"/>
    <w:rsid w:val="00A76E0C"/>
    <w:rsid w:val="00A77035"/>
    <w:rsid w:val="00A77185"/>
    <w:rsid w:val="00A772E1"/>
    <w:rsid w:val="00A774F2"/>
    <w:rsid w:val="00A775A2"/>
    <w:rsid w:val="00A77B2A"/>
    <w:rsid w:val="00A77D0C"/>
    <w:rsid w:val="00A77EEC"/>
    <w:rsid w:val="00A77F0C"/>
    <w:rsid w:val="00A80096"/>
    <w:rsid w:val="00A80603"/>
    <w:rsid w:val="00A80705"/>
    <w:rsid w:val="00A80EE5"/>
    <w:rsid w:val="00A813C4"/>
    <w:rsid w:val="00A814F5"/>
    <w:rsid w:val="00A8151E"/>
    <w:rsid w:val="00A81702"/>
    <w:rsid w:val="00A81733"/>
    <w:rsid w:val="00A8198E"/>
    <w:rsid w:val="00A81AF5"/>
    <w:rsid w:val="00A81CC1"/>
    <w:rsid w:val="00A81EA0"/>
    <w:rsid w:val="00A82043"/>
    <w:rsid w:val="00A82168"/>
    <w:rsid w:val="00A8220B"/>
    <w:rsid w:val="00A8257D"/>
    <w:rsid w:val="00A825D3"/>
    <w:rsid w:val="00A82785"/>
    <w:rsid w:val="00A827DC"/>
    <w:rsid w:val="00A8293E"/>
    <w:rsid w:val="00A82C66"/>
    <w:rsid w:val="00A83159"/>
    <w:rsid w:val="00A8331F"/>
    <w:rsid w:val="00A83322"/>
    <w:rsid w:val="00A835BC"/>
    <w:rsid w:val="00A8361F"/>
    <w:rsid w:val="00A8379B"/>
    <w:rsid w:val="00A837B8"/>
    <w:rsid w:val="00A837FD"/>
    <w:rsid w:val="00A83C6B"/>
    <w:rsid w:val="00A83DCE"/>
    <w:rsid w:val="00A83F16"/>
    <w:rsid w:val="00A84159"/>
    <w:rsid w:val="00A84E65"/>
    <w:rsid w:val="00A850D3"/>
    <w:rsid w:val="00A85166"/>
    <w:rsid w:val="00A85453"/>
    <w:rsid w:val="00A8551C"/>
    <w:rsid w:val="00A85621"/>
    <w:rsid w:val="00A856DD"/>
    <w:rsid w:val="00A8574C"/>
    <w:rsid w:val="00A85CFB"/>
    <w:rsid w:val="00A85F32"/>
    <w:rsid w:val="00A86267"/>
    <w:rsid w:val="00A86382"/>
    <w:rsid w:val="00A86386"/>
    <w:rsid w:val="00A863AD"/>
    <w:rsid w:val="00A86BC2"/>
    <w:rsid w:val="00A86F34"/>
    <w:rsid w:val="00A86F9D"/>
    <w:rsid w:val="00A8712E"/>
    <w:rsid w:val="00A872B4"/>
    <w:rsid w:val="00A873E1"/>
    <w:rsid w:val="00A87566"/>
    <w:rsid w:val="00A87598"/>
    <w:rsid w:val="00A8788B"/>
    <w:rsid w:val="00A87A2F"/>
    <w:rsid w:val="00A87B4D"/>
    <w:rsid w:val="00A87D80"/>
    <w:rsid w:val="00A87F30"/>
    <w:rsid w:val="00A87F4B"/>
    <w:rsid w:val="00A90042"/>
    <w:rsid w:val="00A900E2"/>
    <w:rsid w:val="00A90237"/>
    <w:rsid w:val="00A9025B"/>
    <w:rsid w:val="00A90431"/>
    <w:rsid w:val="00A9073B"/>
    <w:rsid w:val="00A90980"/>
    <w:rsid w:val="00A90A61"/>
    <w:rsid w:val="00A90E0E"/>
    <w:rsid w:val="00A91437"/>
    <w:rsid w:val="00A915AA"/>
    <w:rsid w:val="00A91625"/>
    <w:rsid w:val="00A91897"/>
    <w:rsid w:val="00A9190F"/>
    <w:rsid w:val="00A919D6"/>
    <w:rsid w:val="00A91ED8"/>
    <w:rsid w:val="00A91FFB"/>
    <w:rsid w:val="00A920AD"/>
    <w:rsid w:val="00A921E1"/>
    <w:rsid w:val="00A921F7"/>
    <w:rsid w:val="00A92535"/>
    <w:rsid w:val="00A92866"/>
    <w:rsid w:val="00A92D6A"/>
    <w:rsid w:val="00A92DB8"/>
    <w:rsid w:val="00A93078"/>
    <w:rsid w:val="00A93BA6"/>
    <w:rsid w:val="00A93BBE"/>
    <w:rsid w:val="00A93C19"/>
    <w:rsid w:val="00A93DBA"/>
    <w:rsid w:val="00A94728"/>
    <w:rsid w:val="00A947C2"/>
    <w:rsid w:val="00A9482B"/>
    <w:rsid w:val="00A9492E"/>
    <w:rsid w:val="00A949E6"/>
    <w:rsid w:val="00A94B73"/>
    <w:rsid w:val="00A94BA0"/>
    <w:rsid w:val="00A94BB7"/>
    <w:rsid w:val="00A94DF0"/>
    <w:rsid w:val="00A9509A"/>
    <w:rsid w:val="00A950E2"/>
    <w:rsid w:val="00A953E4"/>
    <w:rsid w:val="00A9545E"/>
    <w:rsid w:val="00A95674"/>
    <w:rsid w:val="00A95C30"/>
    <w:rsid w:val="00A95F2F"/>
    <w:rsid w:val="00A95FE9"/>
    <w:rsid w:val="00A96057"/>
    <w:rsid w:val="00A960C4"/>
    <w:rsid w:val="00A961B1"/>
    <w:rsid w:val="00A9623F"/>
    <w:rsid w:val="00A962DD"/>
    <w:rsid w:val="00A963F2"/>
    <w:rsid w:val="00A96BB6"/>
    <w:rsid w:val="00A970D1"/>
    <w:rsid w:val="00A975B5"/>
    <w:rsid w:val="00A9776D"/>
    <w:rsid w:val="00A978C9"/>
    <w:rsid w:val="00A9798A"/>
    <w:rsid w:val="00A97B42"/>
    <w:rsid w:val="00A97D3F"/>
    <w:rsid w:val="00A97E0B"/>
    <w:rsid w:val="00A97E54"/>
    <w:rsid w:val="00AA0101"/>
    <w:rsid w:val="00AA04BE"/>
    <w:rsid w:val="00AA07B5"/>
    <w:rsid w:val="00AA0922"/>
    <w:rsid w:val="00AA0BA1"/>
    <w:rsid w:val="00AA0BE5"/>
    <w:rsid w:val="00AA0E0B"/>
    <w:rsid w:val="00AA1271"/>
    <w:rsid w:val="00AA1586"/>
    <w:rsid w:val="00AA1760"/>
    <w:rsid w:val="00AA1943"/>
    <w:rsid w:val="00AA1BF2"/>
    <w:rsid w:val="00AA1DDB"/>
    <w:rsid w:val="00AA2015"/>
    <w:rsid w:val="00AA23B1"/>
    <w:rsid w:val="00AA2434"/>
    <w:rsid w:val="00AA25AD"/>
    <w:rsid w:val="00AA26E5"/>
    <w:rsid w:val="00AA27E9"/>
    <w:rsid w:val="00AA28ED"/>
    <w:rsid w:val="00AA29BA"/>
    <w:rsid w:val="00AA2C97"/>
    <w:rsid w:val="00AA32E4"/>
    <w:rsid w:val="00AA32FB"/>
    <w:rsid w:val="00AA34B8"/>
    <w:rsid w:val="00AA34C7"/>
    <w:rsid w:val="00AA3759"/>
    <w:rsid w:val="00AA3765"/>
    <w:rsid w:val="00AA3779"/>
    <w:rsid w:val="00AA37D7"/>
    <w:rsid w:val="00AA396A"/>
    <w:rsid w:val="00AA399E"/>
    <w:rsid w:val="00AA3B7C"/>
    <w:rsid w:val="00AA3C66"/>
    <w:rsid w:val="00AA3E90"/>
    <w:rsid w:val="00AA40B8"/>
    <w:rsid w:val="00AA4460"/>
    <w:rsid w:val="00AA45D3"/>
    <w:rsid w:val="00AA45FF"/>
    <w:rsid w:val="00AA484C"/>
    <w:rsid w:val="00AA48BF"/>
    <w:rsid w:val="00AA4D52"/>
    <w:rsid w:val="00AA4E28"/>
    <w:rsid w:val="00AA505F"/>
    <w:rsid w:val="00AA52F9"/>
    <w:rsid w:val="00AA5857"/>
    <w:rsid w:val="00AA597A"/>
    <w:rsid w:val="00AA5D9F"/>
    <w:rsid w:val="00AA5DE6"/>
    <w:rsid w:val="00AA5E37"/>
    <w:rsid w:val="00AA5E92"/>
    <w:rsid w:val="00AA6242"/>
    <w:rsid w:val="00AA62F3"/>
    <w:rsid w:val="00AA652B"/>
    <w:rsid w:val="00AA696A"/>
    <w:rsid w:val="00AA6B8E"/>
    <w:rsid w:val="00AA6E84"/>
    <w:rsid w:val="00AA7205"/>
    <w:rsid w:val="00AA7458"/>
    <w:rsid w:val="00AA797E"/>
    <w:rsid w:val="00AA7B1C"/>
    <w:rsid w:val="00AA7B29"/>
    <w:rsid w:val="00AA7CE9"/>
    <w:rsid w:val="00AB0268"/>
    <w:rsid w:val="00AB03FA"/>
    <w:rsid w:val="00AB0442"/>
    <w:rsid w:val="00AB08A1"/>
    <w:rsid w:val="00AB1120"/>
    <w:rsid w:val="00AB122C"/>
    <w:rsid w:val="00AB125B"/>
    <w:rsid w:val="00AB14C0"/>
    <w:rsid w:val="00AB164F"/>
    <w:rsid w:val="00AB17ED"/>
    <w:rsid w:val="00AB18B2"/>
    <w:rsid w:val="00AB1E93"/>
    <w:rsid w:val="00AB1FEA"/>
    <w:rsid w:val="00AB2592"/>
    <w:rsid w:val="00AB2768"/>
    <w:rsid w:val="00AB305B"/>
    <w:rsid w:val="00AB347C"/>
    <w:rsid w:val="00AB3E46"/>
    <w:rsid w:val="00AB40EB"/>
    <w:rsid w:val="00AB4508"/>
    <w:rsid w:val="00AB47A5"/>
    <w:rsid w:val="00AB4A38"/>
    <w:rsid w:val="00AB4EF8"/>
    <w:rsid w:val="00AB54F8"/>
    <w:rsid w:val="00AB5670"/>
    <w:rsid w:val="00AB5737"/>
    <w:rsid w:val="00AB59E0"/>
    <w:rsid w:val="00AB64D4"/>
    <w:rsid w:val="00AB6505"/>
    <w:rsid w:val="00AB6700"/>
    <w:rsid w:val="00AB677E"/>
    <w:rsid w:val="00AB68D1"/>
    <w:rsid w:val="00AB6C26"/>
    <w:rsid w:val="00AB6CC6"/>
    <w:rsid w:val="00AB6DAF"/>
    <w:rsid w:val="00AB709A"/>
    <w:rsid w:val="00AB76E8"/>
    <w:rsid w:val="00AB77B4"/>
    <w:rsid w:val="00AB79EB"/>
    <w:rsid w:val="00AB7A19"/>
    <w:rsid w:val="00AB7A64"/>
    <w:rsid w:val="00AB7A68"/>
    <w:rsid w:val="00AB7B52"/>
    <w:rsid w:val="00AB7DC8"/>
    <w:rsid w:val="00AB7EDE"/>
    <w:rsid w:val="00AB7FCF"/>
    <w:rsid w:val="00AC0010"/>
    <w:rsid w:val="00AC0059"/>
    <w:rsid w:val="00AC0405"/>
    <w:rsid w:val="00AC050F"/>
    <w:rsid w:val="00AC079A"/>
    <w:rsid w:val="00AC09AB"/>
    <w:rsid w:val="00AC0B4A"/>
    <w:rsid w:val="00AC0C18"/>
    <w:rsid w:val="00AC0ED1"/>
    <w:rsid w:val="00AC105E"/>
    <w:rsid w:val="00AC10BE"/>
    <w:rsid w:val="00AC116A"/>
    <w:rsid w:val="00AC11D1"/>
    <w:rsid w:val="00AC127D"/>
    <w:rsid w:val="00AC1481"/>
    <w:rsid w:val="00AC16D9"/>
    <w:rsid w:val="00AC17E3"/>
    <w:rsid w:val="00AC186D"/>
    <w:rsid w:val="00AC187F"/>
    <w:rsid w:val="00AC1908"/>
    <w:rsid w:val="00AC1D47"/>
    <w:rsid w:val="00AC1D84"/>
    <w:rsid w:val="00AC1F7B"/>
    <w:rsid w:val="00AC1F7F"/>
    <w:rsid w:val="00AC20FF"/>
    <w:rsid w:val="00AC28C9"/>
    <w:rsid w:val="00AC2ED2"/>
    <w:rsid w:val="00AC2FE4"/>
    <w:rsid w:val="00AC316A"/>
    <w:rsid w:val="00AC342D"/>
    <w:rsid w:val="00AC3438"/>
    <w:rsid w:val="00AC3A44"/>
    <w:rsid w:val="00AC3BFC"/>
    <w:rsid w:val="00AC3EA9"/>
    <w:rsid w:val="00AC3F1F"/>
    <w:rsid w:val="00AC409A"/>
    <w:rsid w:val="00AC41B0"/>
    <w:rsid w:val="00AC43BF"/>
    <w:rsid w:val="00AC4BDF"/>
    <w:rsid w:val="00AC50C8"/>
    <w:rsid w:val="00AC55BC"/>
    <w:rsid w:val="00AC56BA"/>
    <w:rsid w:val="00AC5A53"/>
    <w:rsid w:val="00AC5ABE"/>
    <w:rsid w:val="00AC5B51"/>
    <w:rsid w:val="00AC5E08"/>
    <w:rsid w:val="00AC6026"/>
    <w:rsid w:val="00AC60D5"/>
    <w:rsid w:val="00AC66B9"/>
    <w:rsid w:val="00AC6847"/>
    <w:rsid w:val="00AC6A4A"/>
    <w:rsid w:val="00AC6AF5"/>
    <w:rsid w:val="00AC6BC1"/>
    <w:rsid w:val="00AC6F74"/>
    <w:rsid w:val="00AC6F7E"/>
    <w:rsid w:val="00AC7020"/>
    <w:rsid w:val="00AC7358"/>
    <w:rsid w:val="00AC7490"/>
    <w:rsid w:val="00AC7597"/>
    <w:rsid w:val="00AC7CAF"/>
    <w:rsid w:val="00AC7DEE"/>
    <w:rsid w:val="00AC7E56"/>
    <w:rsid w:val="00AD02F5"/>
    <w:rsid w:val="00AD03B3"/>
    <w:rsid w:val="00AD04B5"/>
    <w:rsid w:val="00AD05D8"/>
    <w:rsid w:val="00AD061C"/>
    <w:rsid w:val="00AD08AD"/>
    <w:rsid w:val="00AD09A3"/>
    <w:rsid w:val="00AD0AC8"/>
    <w:rsid w:val="00AD0CD0"/>
    <w:rsid w:val="00AD0D5F"/>
    <w:rsid w:val="00AD0D88"/>
    <w:rsid w:val="00AD0F99"/>
    <w:rsid w:val="00AD1130"/>
    <w:rsid w:val="00AD172C"/>
    <w:rsid w:val="00AD17A2"/>
    <w:rsid w:val="00AD1806"/>
    <w:rsid w:val="00AD1837"/>
    <w:rsid w:val="00AD1911"/>
    <w:rsid w:val="00AD193A"/>
    <w:rsid w:val="00AD1CAC"/>
    <w:rsid w:val="00AD1E26"/>
    <w:rsid w:val="00AD1FC5"/>
    <w:rsid w:val="00AD24B0"/>
    <w:rsid w:val="00AD29DC"/>
    <w:rsid w:val="00AD2AFD"/>
    <w:rsid w:val="00AD2E37"/>
    <w:rsid w:val="00AD2E99"/>
    <w:rsid w:val="00AD2F1E"/>
    <w:rsid w:val="00AD309A"/>
    <w:rsid w:val="00AD3102"/>
    <w:rsid w:val="00AD340E"/>
    <w:rsid w:val="00AD37E9"/>
    <w:rsid w:val="00AD3B68"/>
    <w:rsid w:val="00AD3BDC"/>
    <w:rsid w:val="00AD3C42"/>
    <w:rsid w:val="00AD3D38"/>
    <w:rsid w:val="00AD4017"/>
    <w:rsid w:val="00AD4290"/>
    <w:rsid w:val="00AD4948"/>
    <w:rsid w:val="00AD4A92"/>
    <w:rsid w:val="00AD4C28"/>
    <w:rsid w:val="00AD5103"/>
    <w:rsid w:val="00AD5B54"/>
    <w:rsid w:val="00AD5E71"/>
    <w:rsid w:val="00AD5F83"/>
    <w:rsid w:val="00AD60EE"/>
    <w:rsid w:val="00AD65DD"/>
    <w:rsid w:val="00AD6734"/>
    <w:rsid w:val="00AD6839"/>
    <w:rsid w:val="00AD6A1A"/>
    <w:rsid w:val="00AD6F6D"/>
    <w:rsid w:val="00AD720C"/>
    <w:rsid w:val="00AD744F"/>
    <w:rsid w:val="00AD750F"/>
    <w:rsid w:val="00AD79C2"/>
    <w:rsid w:val="00AD7A6B"/>
    <w:rsid w:val="00AE003F"/>
    <w:rsid w:val="00AE005F"/>
    <w:rsid w:val="00AE038C"/>
    <w:rsid w:val="00AE06B4"/>
    <w:rsid w:val="00AE09C4"/>
    <w:rsid w:val="00AE0B4C"/>
    <w:rsid w:val="00AE0F3F"/>
    <w:rsid w:val="00AE1349"/>
    <w:rsid w:val="00AE1449"/>
    <w:rsid w:val="00AE17E3"/>
    <w:rsid w:val="00AE1952"/>
    <w:rsid w:val="00AE1C4F"/>
    <w:rsid w:val="00AE1C56"/>
    <w:rsid w:val="00AE1D43"/>
    <w:rsid w:val="00AE1E47"/>
    <w:rsid w:val="00AE1E67"/>
    <w:rsid w:val="00AE21E1"/>
    <w:rsid w:val="00AE26D8"/>
    <w:rsid w:val="00AE27D5"/>
    <w:rsid w:val="00AE30B0"/>
    <w:rsid w:val="00AE3244"/>
    <w:rsid w:val="00AE335D"/>
    <w:rsid w:val="00AE355B"/>
    <w:rsid w:val="00AE35C5"/>
    <w:rsid w:val="00AE35D6"/>
    <w:rsid w:val="00AE3793"/>
    <w:rsid w:val="00AE3802"/>
    <w:rsid w:val="00AE3AB8"/>
    <w:rsid w:val="00AE3B96"/>
    <w:rsid w:val="00AE3D0A"/>
    <w:rsid w:val="00AE3DC9"/>
    <w:rsid w:val="00AE41EE"/>
    <w:rsid w:val="00AE4489"/>
    <w:rsid w:val="00AE4668"/>
    <w:rsid w:val="00AE4BA6"/>
    <w:rsid w:val="00AE4F36"/>
    <w:rsid w:val="00AE5033"/>
    <w:rsid w:val="00AE549D"/>
    <w:rsid w:val="00AE56DE"/>
    <w:rsid w:val="00AE5CEB"/>
    <w:rsid w:val="00AE6112"/>
    <w:rsid w:val="00AE628B"/>
    <w:rsid w:val="00AE65BC"/>
    <w:rsid w:val="00AE69DB"/>
    <w:rsid w:val="00AE6C1C"/>
    <w:rsid w:val="00AE6E17"/>
    <w:rsid w:val="00AE6FF2"/>
    <w:rsid w:val="00AE7015"/>
    <w:rsid w:val="00AE71B0"/>
    <w:rsid w:val="00AE7271"/>
    <w:rsid w:val="00AE733F"/>
    <w:rsid w:val="00AE74F7"/>
    <w:rsid w:val="00AE75F0"/>
    <w:rsid w:val="00AE773E"/>
    <w:rsid w:val="00AE7812"/>
    <w:rsid w:val="00AE7A47"/>
    <w:rsid w:val="00AE7B09"/>
    <w:rsid w:val="00AE7C9E"/>
    <w:rsid w:val="00AE7D07"/>
    <w:rsid w:val="00AE7FC7"/>
    <w:rsid w:val="00AF0079"/>
    <w:rsid w:val="00AF00FD"/>
    <w:rsid w:val="00AF0145"/>
    <w:rsid w:val="00AF039D"/>
    <w:rsid w:val="00AF0A95"/>
    <w:rsid w:val="00AF0D5D"/>
    <w:rsid w:val="00AF0DB2"/>
    <w:rsid w:val="00AF0DF3"/>
    <w:rsid w:val="00AF0FCD"/>
    <w:rsid w:val="00AF1010"/>
    <w:rsid w:val="00AF10AA"/>
    <w:rsid w:val="00AF10AD"/>
    <w:rsid w:val="00AF130F"/>
    <w:rsid w:val="00AF142E"/>
    <w:rsid w:val="00AF148B"/>
    <w:rsid w:val="00AF14C5"/>
    <w:rsid w:val="00AF161C"/>
    <w:rsid w:val="00AF16C1"/>
    <w:rsid w:val="00AF1C8F"/>
    <w:rsid w:val="00AF1DC2"/>
    <w:rsid w:val="00AF1E9D"/>
    <w:rsid w:val="00AF1F72"/>
    <w:rsid w:val="00AF2727"/>
    <w:rsid w:val="00AF27A6"/>
    <w:rsid w:val="00AF280C"/>
    <w:rsid w:val="00AF2AC9"/>
    <w:rsid w:val="00AF2B1E"/>
    <w:rsid w:val="00AF2CD8"/>
    <w:rsid w:val="00AF3091"/>
    <w:rsid w:val="00AF31CD"/>
    <w:rsid w:val="00AF3431"/>
    <w:rsid w:val="00AF35A2"/>
    <w:rsid w:val="00AF39DE"/>
    <w:rsid w:val="00AF39FB"/>
    <w:rsid w:val="00AF3B31"/>
    <w:rsid w:val="00AF3D17"/>
    <w:rsid w:val="00AF3E1E"/>
    <w:rsid w:val="00AF41B5"/>
    <w:rsid w:val="00AF469A"/>
    <w:rsid w:val="00AF472F"/>
    <w:rsid w:val="00AF4A20"/>
    <w:rsid w:val="00AF4D2D"/>
    <w:rsid w:val="00AF4E3F"/>
    <w:rsid w:val="00AF5091"/>
    <w:rsid w:val="00AF50FD"/>
    <w:rsid w:val="00AF511B"/>
    <w:rsid w:val="00AF5353"/>
    <w:rsid w:val="00AF53F4"/>
    <w:rsid w:val="00AF5543"/>
    <w:rsid w:val="00AF5A47"/>
    <w:rsid w:val="00AF5A6A"/>
    <w:rsid w:val="00AF5CF0"/>
    <w:rsid w:val="00AF5DC4"/>
    <w:rsid w:val="00AF6091"/>
    <w:rsid w:val="00AF6181"/>
    <w:rsid w:val="00AF658C"/>
    <w:rsid w:val="00AF661C"/>
    <w:rsid w:val="00AF6740"/>
    <w:rsid w:val="00AF6845"/>
    <w:rsid w:val="00AF68C1"/>
    <w:rsid w:val="00AF6B8D"/>
    <w:rsid w:val="00AF6BEB"/>
    <w:rsid w:val="00AF6CA0"/>
    <w:rsid w:val="00AF6CA4"/>
    <w:rsid w:val="00AF6E8A"/>
    <w:rsid w:val="00AF70E7"/>
    <w:rsid w:val="00AF72A5"/>
    <w:rsid w:val="00AF73B3"/>
    <w:rsid w:val="00AF7808"/>
    <w:rsid w:val="00AF7819"/>
    <w:rsid w:val="00AF7BDE"/>
    <w:rsid w:val="00B0010D"/>
    <w:rsid w:val="00B003BA"/>
    <w:rsid w:val="00B0047E"/>
    <w:rsid w:val="00B00577"/>
    <w:rsid w:val="00B0066A"/>
    <w:rsid w:val="00B00705"/>
    <w:rsid w:val="00B0093F"/>
    <w:rsid w:val="00B00941"/>
    <w:rsid w:val="00B009EC"/>
    <w:rsid w:val="00B00C50"/>
    <w:rsid w:val="00B01103"/>
    <w:rsid w:val="00B01334"/>
    <w:rsid w:val="00B01729"/>
    <w:rsid w:val="00B0174F"/>
    <w:rsid w:val="00B01783"/>
    <w:rsid w:val="00B019BE"/>
    <w:rsid w:val="00B01ECF"/>
    <w:rsid w:val="00B027A5"/>
    <w:rsid w:val="00B02976"/>
    <w:rsid w:val="00B02B9F"/>
    <w:rsid w:val="00B02D4C"/>
    <w:rsid w:val="00B02E25"/>
    <w:rsid w:val="00B02F1F"/>
    <w:rsid w:val="00B02FC4"/>
    <w:rsid w:val="00B03110"/>
    <w:rsid w:val="00B03288"/>
    <w:rsid w:val="00B038E8"/>
    <w:rsid w:val="00B03954"/>
    <w:rsid w:val="00B0435C"/>
    <w:rsid w:val="00B04469"/>
    <w:rsid w:val="00B044A6"/>
    <w:rsid w:val="00B046D7"/>
    <w:rsid w:val="00B04722"/>
    <w:rsid w:val="00B04728"/>
    <w:rsid w:val="00B0473B"/>
    <w:rsid w:val="00B047BB"/>
    <w:rsid w:val="00B048EB"/>
    <w:rsid w:val="00B049B3"/>
    <w:rsid w:val="00B04A37"/>
    <w:rsid w:val="00B04D6B"/>
    <w:rsid w:val="00B05347"/>
    <w:rsid w:val="00B05468"/>
    <w:rsid w:val="00B056BC"/>
    <w:rsid w:val="00B057B3"/>
    <w:rsid w:val="00B057DC"/>
    <w:rsid w:val="00B05952"/>
    <w:rsid w:val="00B05B2A"/>
    <w:rsid w:val="00B05EDF"/>
    <w:rsid w:val="00B0635B"/>
    <w:rsid w:val="00B06692"/>
    <w:rsid w:val="00B066C9"/>
    <w:rsid w:val="00B06C52"/>
    <w:rsid w:val="00B06C9D"/>
    <w:rsid w:val="00B06EDB"/>
    <w:rsid w:val="00B07039"/>
    <w:rsid w:val="00B07726"/>
    <w:rsid w:val="00B078E1"/>
    <w:rsid w:val="00B07A0B"/>
    <w:rsid w:val="00B07EA8"/>
    <w:rsid w:val="00B10048"/>
    <w:rsid w:val="00B1005B"/>
    <w:rsid w:val="00B102AA"/>
    <w:rsid w:val="00B10473"/>
    <w:rsid w:val="00B10892"/>
    <w:rsid w:val="00B10910"/>
    <w:rsid w:val="00B10A22"/>
    <w:rsid w:val="00B10CA1"/>
    <w:rsid w:val="00B10DAF"/>
    <w:rsid w:val="00B11202"/>
    <w:rsid w:val="00B114CE"/>
    <w:rsid w:val="00B11810"/>
    <w:rsid w:val="00B118A9"/>
    <w:rsid w:val="00B119D3"/>
    <w:rsid w:val="00B11C48"/>
    <w:rsid w:val="00B11DF0"/>
    <w:rsid w:val="00B11E0A"/>
    <w:rsid w:val="00B120E8"/>
    <w:rsid w:val="00B125E0"/>
    <w:rsid w:val="00B1292F"/>
    <w:rsid w:val="00B12983"/>
    <w:rsid w:val="00B12BD4"/>
    <w:rsid w:val="00B12CB5"/>
    <w:rsid w:val="00B12DDB"/>
    <w:rsid w:val="00B12F37"/>
    <w:rsid w:val="00B12F59"/>
    <w:rsid w:val="00B13223"/>
    <w:rsid w:val="00B134AB"/>
    <w:rsid w:val="00B13548"/>
    <w:rsid w:val="00B13599"/>
    <w:rsid w:val="00B1382B"/>
    <w:rsid w:val="00B139C7"/>
    <w:rsid w:val="00B13A65"/>
    <w:rsid w:val="00B13B50"/>
    <w:rsid w:val="00B13B9A"/>
    <w:rsid w:val="00B1482F"/>
    <w:rsid w:val="00B14B62"/>
    <w:rsid w:val="00B14D09"/>
    <w:rsid w:val="00B151DC"/>
    <w:rsid w:val="00B15204"/>
    <w:rsid w:val="00B153FC"/>
    <w:rsid w:val="00B15459"/>
    <w:rsid w:val="00B1549E"/>
    <w:rsid w:val="00B15524"/>
    <w:rsid w:val="00B15AF2"/>
    <w:rsid w:val="00B15CC6"/>
    <w:rsid w:val="00B15DA1"/>
    <w:rsid w:val="00B15DA9"/>
    <w:rsid w:val="00B15E2E"/>
    <w:rsid w:val="00B16592"/>
    <w:rsid w:val="00B16B9A"/>
    <w:rsid w:val="00B16BDD"/>
    <w:rsid w:val="00B16CD5"/>
    <w:rsid w:val="00B16E23"/>
    <w:rsid w:val="00B17018"/>
    <w:rsid w:val="00B17133"/>
    <w:rsid w:val="00B172F2"/>
    <w:rsid w:val="00B17301"/>
    <w:rsid w:val="00B1738C"/>
    <w:rsid w:val="00B173C3"/>
    <w:rsid w:val="00B1760E"/>
    <w:rsid w:val="00B17672"/>
    <w:rsid w:val="00B176B9"/>
    <w:rsid w:val="00B17774"/>
    <w:rsid w:val="00B1791F"/>
    <w:rsid w:val="00B17C52"/>
    <w:rsid w:val="00B17DFF"/>
    <w:rsid w:val="00B17FBD"/>
    <w:rsid w:val="00B2006C"/>
    <w:rsid w:val="00B2028A"/>
    <w:rsid w:val="00B202C7"/>
    <w:rsid w:val="00B20538"/>
    <w:rsid w:val="00B20687"/>
    <w:rsid w:val="00B206D7"/>
    <w:rsid w:val="00B20B01"/>
    <w:rsid w:val="00B20DBD"/>
    <w:rsid w:val="00B210FE"/>
    <w:rsid w:val="00B21149"/>
    <w:rsid w:val="00B21354"/>
    <w:rsid w:val="00B21A84"/>
    <w:rsid w:val="00B22178"/>
    <w:rsid w:val="00B22245"/>
    <w:rsid w:val="00B2266F"/>
    <w:rsid w:val="00B22A46"/>
    <w:rsid w:val="00B237AD"/>
    <w:rsid w:val="00B23C4C"/>
    <w:rsid w:val="00B23CBE"/>
    <w:rsid w:val="00B23D81"/>
    <w:rsid w:val="00B23EC8"/>
    <w:rsid w:val="00B23ED7"/>
    <w:rsid w:val="00B2406B"/>
    <w:rsid w:val="00B242DF"/>
    <w:rsid w:val="00B24307"/>
    <w:rsid w:val="00B245C7"/>
    <w:rsid w:val="00B24687"/>
    <w:rsid w:val="00B247B6"/>
    <w:rsid w:val="00B24855"/>
    <w:rsid w:val="00B24AE9"/>
    <w:rsid w:val="00B24CCB"/>
    <w:rsid w:val="00B2502E"/>
    <w:rsid w:val="00B25137"/>
    <w:rsid w:val="00B254B5"/>
    <w:rsid w:val="00B25880"/>
    <w:rsid w:val="00B25A68"/>
    <w:rsid w:val="00B25B12"/>
    <w:rsid w:val="00B25D71"/>
    <w:rsid w:val="00B25DEA"/>
    <w:rsid w:val="00B26577"/>
    <w:rsid w:val="00B26682"/>
    <w:rsid w:val="00B2669D"/>
    <w:rsid w:val="00B26AD4"/>
    <w:rsid w:val="00B26B46"/>
    <w:rsid w:val="00B26B6D"/>
    <w:rsid w:val="00B26D3B"/>
    <w:rsid w:val="00B26F74"/>
    <w:rsid w:val="00B27000"/>
    <w:rsid w:val="00B272DA"/>
    <w:rsid w:val="00B273CB"/>
    <w:rsid w:val="00B277CE"/>
    <w:rsid w:val="00B279D4"/>
    <w:rsid w:val="00B27C84"/>
    <w:rsid w:val="00B27F69"/>
    <w:rsid w:val="00B30189"/>
    <w:rsid w:val="00B304CD"/>
    <w:rsid w:val="00B30630"/>
    <w:rsid w:val="00B3087A"/>
    <w:rsid w:val="00B30ABC"/>
    <w:rsid w:val="00B30DEB"/>
    <w:rsid w:val="00B30F6F"/>
    <w:rsid w:val="00B3116C"/>
    <w:rsid w:val="00B31209"/>
    <w:rsid w:val="00B31295"/>
    <w:rsid w:val="00B3135C"/>
    <w:rsid w:val="00B3145E"/>
    <w:rsid w:val="00B31576"/>
    <w:rsid w:val="00B31654"/>
    <w:rsid w:val="00B3186D"/>
    <w:rsid w:val="00B31C4A"/>
    <w:rsid w:val="00B32073"/>
    <w:rsid w:val="00B32137"/>
    <w:rsid w:val="00B32430"/>
    <w:rsid w:val="00B3264A"/>
    <w:rsid w:val="00B32AF1"/>
    <w:rsid w:val="00B32FE3"/>
    <w:rsid w:val="00B32FF1"/>
    <w:rsid w:val="00B33079"/>
    <w:rsid w:val="00B33248"/>
    <w:rsid w:val="00B33354"/>
    <w:rsid w:val="00B33401"/>
    <w:rsid w:val="00B33BE4"/>
    <w:rsid w:val="00B33D16"/>
    <w:rsid w:val="00B33D4E"/>
    <w:rsid w:val="00B33F1E"/>
    <w:rsid w:val="00B34065"/>
    <w:rsid w:val="00B342F4"/>
    <w:rsid w:val="00B347E4"/>
    <w:rsid w:val="00B348A6"/>
    <w:rsid w:val="00B34A2E"/>
    <w:rsid w:val="00B34D68"/>
    <w:rsid w:val="00B34D98"/>
    <w:rsid w:val="00B35630"/>
    <w:rsid w:val="00B356DB"/>
    <w:rsid w:val="00B35B5D"/>
    <w:rsid w:val="00B36173"/>
    <w:rsid w:val="00B363D5"/>
    <w:rsid w:val="00B36508"/>
    <w:rsid w:val="00B366DE"/>
    <w:rsid w:val="00B36730"/>
    <w:rsid w:val="00B368F9"/>
    <w:rsid w:val="00B36D98"/>
    <w:rsid w:val="00B36EBB"/>
    <w:rsid w:val="00B36FF9"/>
    <w:rsid w:val="00B37073"/>
    <w:rsid w:val="00B3725B"/>
    <w:rsid w:val="00B37456"/>
    <w:rsid w:val="00B375EE"/>
    <w:rsid w:val="00B37628"/>
    <w:rsid w:val="00B37666"/>
    <w:rsid w:val="00B3767E"/>
    <w:rsid w:val="00B37876"/>
    <w:rsid w:val="00B37897"/>
    <w:rsid w:val="00B379E3"/>
    <w:rsid w:val="00B37A97"/>
    <w:rsid w:val="00B37B17"/>
    <w:rsid w:val="00B37B96"/>
    <w:rsid w:val="00B37D42"/>
    <w:rsid w:val="00B37E48"/>
    <w:rsid w:val="00B401BE"/>
    <w:rsid w:val="00B40571"/>
    <w:rsid w:val="00B40B1D"/>
    <w:rsid w:val="00B40D14"/>
    <w:rsid w:val="00B4110B"/>
    <w:rsid w:val="00B41296"/>
    <w:rsid w:val="00B41326"/>
    <w:rsid w:val="00B41335"/>
    <w:rsid w:val="00B41465"/>
    <w:rsid w:val="00B41AA5"/>
    <w:rsid w:val="00B41D6C"/>
    <w:rsid w:val="00B42018"/>
    <w:rsid w:val="00B42070"/>
    <w:rsid w:val="00B42155"/>
    <w:rsid w:val="00B424EF"/>
    <w:rsid w:val="00B42640"/>
    <w:rsid w:val="00B4268A"/>
    <w:rsid w:val="00B42844"/>
    <w:rsid w:val="00B42940"/>
    <w:rsid w:val="00B42B64"/>
    <w:rsid w:val="00B42E43"/>
    <w:rsid w:val="00B42E6F"/>
    <w:rsid w:val="00B43489"/>
    <w:rsid w:val="00B435C3"/>
    <w:rsid w:val="00B437B0"/>
    <w:rsid w:val="00B43A42"/>
    <w:rsid w:val="00B43A47"/>
    <w:rsid w:val="00B43B6A"/>
    <w:rsid w:val="00B43B97"/>
    <w:rsid w:val="00B43CE4"/>
    <w:rsid w:val="00B43EF2"/>
    <w:rsid w:val="00B43FB8"/>
    <w:rsid w:val="00B44005"/>
    <w:rsid w:val="00B446F4"/>
    <w:rsid w:val="00B4474A"/>
    <w:rsid w:val="00B448A4"/>
    <w:rsid w:val="00B44A46"/>
    <w:rsid w:val="00B44B97"/>
    <w:rsid w:val="00B45160"/>
    <w:rsid w:val="00B4523C"/>
    <w:rsid w:val="00B45946"/>
    <w:rsid w:val="00B45E73"/>
    <w:rsid w:val="00B4636C"/>
    <w:rsid w:val="00B465E7"/>
    <w:rsid w:val="00B466E4"/>
    <w:rsid w:val="00B46BD2"/>
    <w:rsid w:val="00B46BD5"/>
    <w:rsid w:val="00B46C5A"/>
    <w:rsid w:val="00B46D53"/>
    <w:rsid w:val="00B46F6F"/>
    <w:rsid w:val="00B4726C"/>
    <w:rsid w:val="00B4740B"/>
    <w:rsid w:val="00B475C6"/>
    <w:rsid w:val="00B4766C"/>
    <w:rsid w:val="00B47742"/>
    <w:rsid w:val="00B47859"/>
    <w:rsid w:val="00B47A1E"/>
    <w:rsid w:val="00B47CA2"/>
    <w:rsid w:val="00B47DA1"/>
    <w:rsid w:val="00B47F80"/>
    <w:rsid w:val="00B47FB9"/>
    <w:rsid w:val="00B47FC8"/>
    <w:rsid w:val="00B504FB"/>
    <w:rsid w:val="00B50A50"/>
    <w:rsid w:val="00B50B02"/>
    <w:rsid w:val="00B50C17"/>
    <w:rsid w:val="00B50C5D"/>
    <w:rsid w:val="00B50CE9"/>
    <w:rsid w:val="00B50E2E"/>
    <w:rsid w:val="00B50E6F"/>
    <w:rsid w:val="00B50F59"/>
    <w:rsid w:val="00B51142"/>
    <w:rsid w:val="00B519D5"/>
    <w:rsid w:val="00B51C07"/>
    <w:rsid w:val="00B51DDE"/>
    <w:rsid w:val="00B51E85"/>
    <w:rsid w:val="00B520BF"/>
    <w:rsid w:val="00B520DB"/>
    <w:rsid w:val="00B524EF"/>
    <w:rsid w:val="00B527A6"/>
    <w:rsid w:val="00B52B1D"/>
    <w:rsid w:val="00B52B71"/>
    <w:rsid w:val="00B52D0E"/>
    <w:rsid w:val="00B52FA6"/>
    <w:rsid w:val="00B5306B"/>
    <w:rsid w:val="00B532EC"/>
    <w:rsid w:val="00B53367"/>
    <w:rsid w:val="00B53554"/>
    <w:rsid w:val="00B53737"/>
    <w:rsid w:val="00B53806"/>
    <w:rsid w:val="00B53B8A"/>
    <w:rsid w:val="00B53DA5"/>
    <w:rsid w:val="00B53ECE"/>
    <w:rsid w:val="00B54136"/>
    <w:rsid w:val="00B5452D"/>
    <w:rsid w:val="00B54612"/>
    <w:rsid w:val="00B547E6"/>
    <w:rsid w:val="00B54E06"/>
    <w:rsid w:val="00B54F9A"/>
    <w:rsid w:val="00B55081"/>
    <w:rsid w:val="00B552A7"/>
    <w:rsid w:val="00B555D4"/>
    <w:rsid w:val="00B5573D"/>
    <w:rsid w:val="00B557CD"/>
    <w:rsid w:val="00B55959"/>
    <w:rsid w:val="00B5599A"/>
    <w:rsid w:val="00B55BB3"/>
    <w:rsid w:val="00B55C80"/>
    <w:rsid w:val="00B55C9E"/>
    <w:rsid w:val="00B5627D"/>
    <w:rsid w:val="00B56281"/>
    <w:rsid w:val="00B56709"/>
    <w:rsid w:val="00B56954"/>
    <w:rsid w:val="00B56DFD"/>
    <w:rsid w:val="00B56FBD"/>
    <w:rsid w:val="00B57253"/>
    <w:rsid w:val="00B57C0A"/>
    <w:rsid w:val="00B57CBE"/>
    <w:rsid w:val="00B57F80"/>
    <w:rsid w:val="00B600F5"/>
    <w:rsid w:val="00B60270"/>
    <w:rsid w:val="00B6030C"/>
    <w:rsid w:val="00B6035B"/>
    <w:rsid w:val="00B60447"/>
    <w:rsid w:val="00B605B7"/>
    <w:rsid w:val="00B607B6"/>
    <w:rsid w:val="00B608B8"/>
    <w:rsid w:val="00B608DB"/>
    <w:rsid w:val="00B60924"/>
    <w:rsid w:val="00B6099C"/>
    <w:rsid w:val="00B60BD5"/>
    <w:rsid w:val="00B60DC4"/>
    <w:rsid w:val="00B60E70"/>
    <w:rsid w:val="00B60F5C"/>
    <w:rsid w:val="00B61039"/>
    <w:rsid w:val="00B61121"/>
    <w:rsid w:val="00B61318"/>
    <w:rsid w:val="00B61328"/>
    <w:rsid w:val="00B61338"/>
    <w:rsid w:val="00B6151B"/>
    <w:rsid w:val="00B61605"/>
    <w:rsid w:val="00B616F9"/>
    <w:rsid w:val="00B61D4B"/>
    <w:rsid w:val="00B61FF1"/>
    <w:rsid w:val="00B620BB"/>
    <w:rsid w:val="00B62717"/>
    <w:rsid w:val="00B62A13"/>
    <w:rsid w:val="00B62B09"/>
    <w:rsid w:val="00B62EFF"/>
    <w:rsid w:val="00B6300F"/>
    <w:rsid w:val="00B6310B"/>
    <w:rsid w:val="00B633AE"/>
    <w:rsid w:val="00B6356E"/>
    <w:rsid w:val="00B63B66"/>
    <w:rsid w:val="00B63CAB"/>
    <w:rsid w:val="00B6416B"/>
    <w:rsid w:val="00B6417F"/>
    <w:rsid w:val="00B641BD"/>
    <w:rsid w:val="00B641ED"/>
    <w:rsid w:val="00B64665"/>
    <w:rsid w:val="00B646B7"/>
    <w:rsid w:val="00B64811"/>
    <w:rsid w:val="00B6492D"/>
    <w:rsid w:val="00B64A65"/>
    <w:rsid w:val="00B64B9C"/>
    <w:rsid w:val="00B64F2E"/>
    <w:rsid w:val="00B64FCC"/>
    <w:rsid w:val="00B65103"/>
    <w:rsid w:val="00B651EA"/>
    <w:rsid w:val="00B651FF"/>
    <w:rsid w:val="00B652A5"/>
    <w:rsid w:val="00B6583A"/>
    <w:rsid w:val="00B65A06"/>
    <w:rsid w:val="00B65E70"/>
    <w:rsid w:val="00B65E77"/>
    <w:rsid w:val="00B663F3"/>
    <w:rsid w:val="00B66420"/>
    <w:rsid w:val="00B668F3"/>
    <w:rsid w:val="00B67182"/>
    <w:rsid w:val="00B671A2"/>
    <w:rsid w:val="00B67256"/>
    <w:rsid w:val="00B67BA8"/>
    <w:rsid w:val="00B67E77"/>
    <w:rsid w:val="00B67EAC"/>
    <w:rsid w:val="00B70714"/>
    <w:rsid w:val="00B7092E"/>
    <w:rsid w:val="00B70D3D"/>
    <w:rsid w:val="00B71319"/>
    <w:rsid w:val="00B7140F"/>
    <w:rsid w:val="00B715FD"/>
    <w:rsid w:val="00B71616"/>
    <w:rsid w:val="00B71AB6"/>
    <w:rsid w:val="00B71BA3"/>
    <w:rsid w:val="00B71CD8"/>
    <w:rsid w:val="00B71CD9"/>
    <w:rsid w:val="00B7249F"/>
    <w:rsid w:val="00B725A2"/>
    <w:rsid w:val="00B72649"/>
    <w:rsid w:val="00B72895"/>
    <w:rsid w:val="00B728D7"/>
    <w:rsid w:val="00B72927"/>
    <w:rsid w:val="00B72D0D"/>
    <w:rsid w:val="00B72DA5"/>
    <w:rsid w:val="00B734FC"/>
    <w:rsid w:val="00B736DF"/>
    <w:rsid w:val="00B73F03"/>
    <w:rsid w:val="00B7404F"/>
    <w:rsid w:val="00B741F4"/>
    <w:rsid w:val="00B74941"/>
    <w:rsid w:val="00B74C52"/>
    <w:rsid w:val="00B74CD1"/>
    <w:rsid w:val="00B74DF0"/>
    <w:rsid w:val="00B74FAD"/>
    <w:rsid w:val="00B752F3"/>
    <w:rsid w:val="00B75377"/>
    <w:rsid w:val="00B753BB"/>
    <w:rsid w:val="00B75858"/>
    <w:rsid w:val="00B75979"/>
    <w:rsid w:val="00B75AAC"/>
    <w:rsid w:val="00B75D7C"/>
    <w:rsid w:val="00B75D7F"/>
    <w:rsid w:val="00B75E76"/>
    <w:rsid w:val="00B75FFA"/>
    <w:rsid w:val="00B76125"/>
    <w:rsid w:val="00B76230"/>
    <w:rsid w:val="00B76455"/>
    <w:rsid w:val="00B765E6"/>
    <w:rsid w:val="00B76657"/>
    <w:rsid w:val="00B766EB"/>
    <w:rsid w:val="00B76860"/>
    <w:rsid w:val="00B7694E"/>
    <w:rsid w:val="00B7697B"/>
    <w:rsid w:val="00B76B64"/>
    <w:rsid w:val="00B76DC7"/>
    <w:rsid w:val="00B76F69"/>
    <w:rsid w:val="00B76F8C"/>
    <w:rsid w:val="00B77250"/>
    <w:rsid w:val="00B773C9"/>
    <w:rsid w:val="00B77D44"/>
    <w:rsid w:val="00B77E1C"/>
    <w:rsid w:val="00B77FD3"/>
    <w:rsid w:val="00B80441"/>
    <w:rsid w:val="00B806A6"/>
    <w:rsid w:val="00B80D85"/>
    <w:rsid w:val="00B8107E"/>
    <w:rsid w:val="00B8125D"/>
    <w:rsid w:val="00B812AC"/>
    <w:rsid w:val="00B81344"/>
    <w:rsid w:val="00B814EF"/>
    <w:rsid w:val="00B817DF"/>
    <w:rsid w:val="00B81C72"/>
    <w:rsid w:val="00B81F5D"/>
    <w:rsid w:val="00B822FE"/>
    <w:rsid w:val="00B824B1"/>
    <w:rsid w:val="00B8282C"/>
    <w:rsid w:val="00B82AE5"/>
    <w:rsid w:val="00B82B4A"/>
    <w:rsid w:val="00B82CC2"/>
    <w:rsid w:val="00B82EC9"/>
    <w:rsid w:val="00B82FB5"/>
    <w:rsid w:val="00B835DD"/>
    <w:rsid w:val="00B8364E"/>
    <w:rsid w:val="00B838EF"/>
    <w:rsid w:val="00B83996"/>
    <w:rsid w:val="00B83A68"/>
    <w:rsid w:val="00B83E01"/>
    <w:rsid w:val="00B83E06"/>
    <w:rsid w:val="00B84194"/>
    <w:rsid w:val="00B84241"/>
    <w:rsid w:val="00B8469F"/>
    <w:rsid w:val="00B847C3"/>
    <w:rsid w:val="00B8482D"/>
    <w:rsid w:val="00B849F8"/>
    <w:rsid w:val="00B84A1C"/>
    <w:rsid w:val="00B84A88"/>
    <w:rsid w:val="00B84B7F"/>
    <w:rsid w:val="00B84D87"/>
    <w:rsid w:val="00B84DE3"/>
    <w:rsid w:val="00B85118"/>
    <w:rsid w:val="00B8557F"/>
    <w:rsid w:val="00B855BE"/>
    <w:rsid w:val="00B856B6"/>
    <w:rsid w:val="00B85B06"/>
    <w:rsid w:val="00B85C20"/>
    <w:rsid w:val="00B85D67"/>
    <w:rsid w:val="00B85F9A"/>
    <w:rsid w:val="00B86137"/>
    <w:rsid w:val="00B862D9"/>
    <w:rsid w:val="00B8648B"/>
    <w:rsid w:val="00B86652"/>
    <w:rsid w:val="00B8679C"/>
    <w:rsid w:val="00B86AC3"/>
    <w:rsid w:val="00B86C8E"/>
    <w:rsid w:val="00B8724F"/>
    <w:rsid w:val="00B874FA"/>
    <w:rsid w:val="00B87589"/>
    <w:rsid w:val="00B87603"/>
    <w:rsid w:val="00B8767C"/>
    <w:rsid w:val="00B87746"/>
    <w:rsid w:val="00B877AA"/>
    <w:rsid w:val="00B878E1"/>
    <w:rsid w:val="00B87C77"/>
    <w:rsid w:val="00B87E15"/>
    <w:rsid w:val="00B87E6C"/>
    <w:rsid w:val="00B87E9F"/>
    <w:rsid w:val="00B87EB0"/>
    <w:rsid w:val="00B90149"/>
    <w:rsid w:val="00B90252"/>
    <w:rsid w:val="00B902D6"/>
    <w:rsid w:val="00B902EB"/>
    <w:rsid w:val="00B907D4"/>
    <w:rsid w:val="00B90DBA"/>
    <w:rsid w:val="00B9137D"/>
    <w:rsid w:val="00B91718"/>
    <w:rsid w:val="00B91BC2"/>
    <w:rsid w:val="00B91C88"/>
    <w:rsid w:val="00B91E60"/>
    <w:rsid w:val="00B92224"/>
    <w:rsid w:val="00B923C7"/>
    <w:rsid w:val="00B9270D"/>
    <w:rsid w:val="00B92734"/>
    <w:rsid w:val="00B928E2"/>
    <w:rsid w:val="00B928EE"/>
    <w:rsid w:val="00B92960"/>
    <w:rsid w:val="00B92C6B"/>
    <w:rsid w:val="00B92DD2"/>
    <w:rsid w:val="00B92F34"/>
    <w:rsid w:val="00B93102"/>
    <w:rsid w:val="00B933E8"/>
    <w:rsid w:val="00B934AE"/>
    <w:rsid w:val="00B93513"/>
    <w:rsid w:val="00B93532"/>
    <w:rsid w:val="00B93A46"/>
    <w:rsid w:val="00B93C68"/>
    <w:rsid w:val="00B93CE8"/>
    <w:rsid w:val="00B93F05"/>
    <w:rsid w:val="00B93F14"/>
    <w:rsid w:val="00B93F18"/>
    <w:rsid w:val="00B940C9"/>
    <w:rsid w:val="00B941A2"/>
    <w:rsid w:val="00B94245"/>
    <w:rsid w:val="00B94308"/>
    <w:rsid w:val="00B943DD"/>
    <w:rsid w:val="00B94403"/>
    <w:rsid w:val="00B9448D"/>
    <w:rsid w:val="00B9456E"/>
    <w:rsid w:val="00B946D2"/>
    <w:rsid w:val="00B94787"/>
    <w:rsid w:val="00B94D51"/>
    <w:rsid w:val="00B95117"/>
    <w:rsid w:val="00B9539F"/>
    <w:rsid w:val="00B954AF"/>
    <w:rsid w:val="00B95C91"/>
    <w:rsid w:val="00B96068"/>
    <w:rsid w:val="00B96652"/>
    <w:rsid w:val="00B96860"/>
    <w:rsid w:val="00B96876"/>
    <w:rsid w:val="00B968CE"/>
    <w:rsid w:val="00B96AAB"/>
    <w:rsid w:val="00B96BCA"/>
    <w:rsid w:val="00B96DC9"/>
    <w:rsid w:val="00B97044"/>
    <w:rsid w:val="00B971B9"/>
    <w:rsid w:val="00B97250"/>
    <w:rsid w:val="00B97932"/>
    <w:rsid w:val="00B97A2C"/>
    <w:rsid w:val="00B97B1F"/>
    <w:rsid w:val="00B97B67"/>
    <w:rsid w:val="00BA0110"/>
    <w:rsid w:val="00BA06AA"/>
    <w:rsid w:val="00BA06F0"/>
    <w:rsid w:val="00BA077E"/>
    <w:rsid w:val="00BA0A94"/>
    <w:rsid w:val="00BA0E1D"/>
    <w:rsid w:val="00BA0E21"/>
    <w:rsid w:val="00BA0EF5"/>
    <w:rsid w:val="00BA0F03"/>
    <w:rsid w:val="00BA0FDC"/>
    <w:rsid w:val="00BA1782"/>
    <w:rsid w:val="00BA1ABE"/>
    <w:rsid w:val="00BA1B59"/>
    <w:rsid w:val="00BA1CBC"/>
    <w:rsid w:val="00BA1DA0"/>
    <w:rsid w:val="00BA1F64"/>
    <w:rsid w:val="00BA20F6"/>
    <w:rsid w:val="00BA2351"/>
    <w:rsid w:val="00BA2463"/>
    <w:rsid w:val="00BA2649"/>
    <w:rsid w:val="00BA277C"/>
    <w:rsid w:val="00BA292E"/>
    <w:rsid w:val="00BA29F7"/>
    <w:rsid w:val="00BA2A1B"/>
    <w:rsid w:val="00BA2BEA"/>
    <w:rsid w:val="00BA2CDD"/>
    <w:rsid w:val="00BA2E81"/>
    <w:rsid w:val="00BA389D"/>
    <w:rsid w:val="00BA3A81"/>
    <w:rsid w:val="00BA3BB6"/>
    <w:rsid w:val="00BA3C56"/>
    <w:rsid w:val="00BA3D53"/>
    <w:rsid w:val="00BA4090"/>
    <w:rsid w:val="00BA452D"/>
    <w:rsid w:val="00BA455F"/>
    <w:rsid w:val="00BA45B7"/>
    <w:rsid w:val="00BA482A"/>
    <w:rsid w:val="00BA4BAF"/>
    <w:rsid w:val="00BA4CA6"/>
    <w:rsid w:val="00BA4CE1"/>
    <w:rsid w:val="00BA4D32"/>
    <w:rsid w:val="00BA4DA0"/>
    <w:rsid w:val="00BA4EB1"/>
    <w:rsid w:val="00BA52EA"/>
    <w:rsid w:val="00BA5569"/>
    <w:rsid w:val="00BA58C9"/>
    <w:rsid w:val="00BA58D3"/>
    <w:rsid w:val="00BA59D2"/>
    <w:rsid w:val="00BA5BFA"/>
    <w:rsid w:val="00BA5DB5"/>
    <w:rsid w:val="00BA63CE"/>
    <w:rsid w:val="00BA642A"/>
    <w:rsid w:val="00BA6717"/>
    <w:rsid w:val="00BA69A6"/>
    <w:rsid w:val="00BA6D9A"/>
    <w:rsid w:val="00BA6FF0"/>
    <w:rsid w:val="00BA71E2"/>
    <w:rsid w:val="00BA7283"/>
    <w:rsid w:val="00BA738E"/>
    <w:rsid w:val="00BA73C1"/>
    <w:rsid w:val="00BA7771"/>
    <w:rsid w:val="00BA7843"/>
    <w:rsid w:val="00BA7EA9"/>
    <w:rsid w:val="00BA7F16"/>
    <w:rsid w:val="00BB0024"/>
    <w:rsid w:val="00BB0092"/>
    <w:rsid w:val="00BB0183"/>
    <w:rsid w:val="00BB0301"/>
    <w:rsid w:val="00BB089E"/>
    <w:rsid w:val="00BB0C62"/>
    <w:rsid w:val="00BB0D11"/>
    <w:rsid w:val="00BB0FF4"/>
    <w:rsid w:val="00BB131B"/>
    <w:rsid w:val="00BB1504"/>
    <w:rsid w:val="00BB15CF"/>
    <w:rsid w:val="00BB182B"/>
    <w:rsid w:val="00BB1BBB"/>
    <w:rsid w:val="00BB1D65"/>
    <w:rsid w:val="00BB1DD4"/>
    <w:rsid w:val="00BB1F18"/>
    <w:rsid w:val="00BB1FC2"/>
    <w:rsid w:val="00BB2037"/>
    <w:rsid w:val="00BB219D"/>
    <w:rsid w:val="00BB229A"/>
    <w:rsid w:val="00BB2377"/>
    <w:rsid w:val="00BB2415"/>
    <w:rsid w:val="00BB2944"/>
    <w:rsid w:val="00BB2C96"/>
    <w:rsid w:val="00BB2CB1"/>
    <w:rsid w:val="00BB2D11"/>
    <w:rsid w:val="00BB3057"/>
    <w:rsid w:val="00BB330C"/>
    <w:rsid w:val="00BB3448"/>
    <w:rsid w:val="00BB346E"/>
    <w:rsid w:val="00BB3638"/>
    <w:rsid w:val="00BB39DD"/>
    <w:rsid w:val="00BB3A66"/>
    <w:rsid w:val="00BB3DD6"/>
    <w:rsid w:val="00BB438D"/>
    <w:rsid w:val="00BB47C5"/>
    <w:rsid w:val="00BB4907"/>
    <w:rsid w:val="00BB4948"/>
    <w:rsid w:val="00BB49A2"/>
    <w:rsid w:val="00BB4B0F"/>
    <w:rsid w:val="00BB4B35"/>
    <w:rsid w:val="00BB4B3B"/>
    <w:rsid w:val="00BB4C8F"/>
    <w:rsid w:val="00BB4E72"/>
    <w:rsid w:val="00BB52EE"/>
    <w:rsid w:val="00BB55DB"/>
    <w:rsid w:val="00BB5726"/>
    <w:rsid w:val="00BB5D4B"/>
    <w:rsid w:val="00BB5F97"/>
    <w:rsid w:val="00BB62A5"/>
    <w:rsid w:val="00BB6A9C"/>
    <w:rsid w:val="00BB6B7E"/>
    <w:rsid w:val="00BB6DD0"/>
    <w:rsid w:val="00BB76FB"/>
    <w:rsid w:val="00BB7736"/>
    <w:rsid w:val="00BB7B68"/>
    <w:rsid w:val="00BC0247"/>
    <w:rsid w:val="00BC053D"/>
    <w:rsid w:val="00BC05AF"/>
    <w:rsid w:val="00BC0B94"/>
    <w:rsid w:val="00BC0CF7"/>
    <w:rsid w:val="00BC0FCE"/>
    <w:rsid w:val="00BC1053"/>
    <w:rsid w:val="00BC112A"/>
    <w:rsid w:val="00BC1265"/>
    <w:rsid w:val="00BC14FB"/>
    <w:rsid w:val="00BC16EB"/>
    <w:rsid w:val="00BC1B82"/>
    <w:rsid w:val="00BC1CA6"/>
    <w:rsid w:val="00BC1D1F"/>
    <w:rsid w:val="00BC1E18"/>
    <w:rsid w:val="00BC23AE"/>
    <w:rsid w:val="00BC2526"/>
    <w:rsid w:val="00BC268A"/>
    <w:rsid w:val="00BC26D2"/>
    <w:rsid w:val="00BC26E6"/>
    <w:rsid w:val="00BC274E"/>
    <w:rsid w:val="00BC282A"/>
    <w:rsid w:val="00BC2CCC"/>
    <w:rsid w:val="00BC2D09"/>
    <w:rsid w:val="00BC31F0"/>
    <w:rsid w:val="00BC324C"/>
    <w:rsid w:val="00BC368E"/>
    <w:rsid w:val="00BC3897"/>
    <w:rsid w:val="00BC3AEC"/>
    <w:rsid w:val="00BC3ECD"/>
    <w:rsid w:val="00BC414C"/>
    <w:rsid w:val="00BC4331"/>
    <w:rsid w:val="00BC443E"/>
    <w:rsid w:val="00BC465B"/>
    <w:rsid w:val="00BC4695"/>
    <w:rsid w:val="00BC474B"/>
    <w:rsid w:val="00BC478F"/>
    <w:rsid w:val="00BC4833"/>
    <w:rsid w:val="00BC4C3D"/>
    <w:rsid w:val="00BC4E5F"/>
    <w:rsid w:val="00BC4EFC"/>
    <w:rsid w:val="00BC512A"/>
    <w:rsid w:val="00BC53E9"/>
    <w:rsid w:val="00BC5576"/>
    <w:rsid w:val="00BC586C"/>
    <w:rsid w:val="00BC58C9"/>
    <w:rsid w:val="00BC5A47"/>
    <w:rsid w:val="00BC5C5C"/>
    <w:rsid w:val="00BC5F62"/>
    <w:rsid w:val="00BC6166"/>
    <w:rsid w:val="00BC627D"/>
    <w:rsid w:val="00BC644B"/>
    <w:rsid w:val="00BC66BE"/>
    <w:rsid w:val="00BC6821"/>
    <w:rsid w:val="00BC6AC3"/>
    <w:rsid w:val="00BC6ADF"/>
    <w:rsid w:val="00BC6BD4"/>
    <w:rsid w:val="00BC6C1C"/>
    <w:rsid w:val="00BC6D0F"/>
    <w:rsid w:val="00BC6FAA"/>
    <w:rsid w:val="00BC6FAE"/>
    <w:rsid w:val="00BC72D0"/>
    <w:rsid w:val="00BC73B0"/>
    <w:rsid w:val="00BC741A"/>
    <w:rsid w:val="00BC77A7"/>
    <w:rsid w:val="00BC7A01"/>
    <w:rsid w:val="00BC7AE6"/>
    <w:rsid w:val="00BC7CA8"/>
    <w:rsid w:val="00BC7E24"/>
    <w:rsid w:val="00BC7E70"/>
    <w:rsid w:val="00BD0158"/>
    <w:rsid w:val="00BD0B44"/>
    <w:rsid w:val="00BD0DDC"/>
    <w:rsid w:val="00BD0ED2"/>
    <w:rsid w:val="00BD0F94"/>
    <w:rsid w:val="00BD13E7"/>
    <w:rsid w:val="00BD13EC"/>
    <w:rsid w:val="00BD1659"/>
    <w:rsid w:val="00BD167B"/>
    <w:rsid w:val="00BD16BF"/>
    <w:rsid w:val="00BD1BAA"/>
    <w:rsid w:val="00BD1CC9"/>
    <w:rsid w:val="00BD21F9"/>
    <w:rsid w:val="00BD228D"/>
    <w:rsid w:val="00BD237A"/>
    <w:rsid w:val="00BD23FA"/>
    <w:rsid w:val="00BD24D0"/>
    <w:rsid w:val="00BD2E3F"/>
    <w:rsid w:val="00BD31A7"/>
    <w:rsid w:val="00BD33AE"/>
    <w:rsid w:val="00BD33BA"/>
    <w:rsid w:val="00BD35B1"/>
    <w:rsid w:val="00BD3848"/>
    <w:rsid w:val="00BD3874"/>
    <w:rsid w:val="00BD38FC"/>
    <w:rsid w:val="00BD3A98"/>
    <w:rsid w:val="00BD3DB8"/>
    <w:rsid w:val="00BD4090"/>
    <w:rsid w:val="00BD44EA"/>
    <w:rsid w:val="00BD452A"/>
    <w:rsid w:val="00BD45BD"/>
    <w:rsid w:val="00BD47CE"/>
    <w:rsid w:val="00BD48FF"/>
    <w:rsid w:val="00BD4C66"/>
    <w:rsid w:val="00BD4E3A"/>
    <w:rsid w:val="00BD4F08"/>
    <w:rsid w:val="00BD4FDD"/>
    <w:rsid w:val="00BD5006"/>
    <w:rsid w:val="00BD5781"/>
    <w:rsid w:val="00BD5823"/>
    <w:rsid w:val="00BD5B2A"/>
    <w:rsid w:val="00BD61B6"/>
    <w:rsid w:val="00BD62E0"/>
    <w:rsid w:val="00BD6315"/>
    <w:rsid w:val="00BD632C"/>
    <w:rsid w:val="00BD64B5"/>
    <w:rsid w:val="00BD6564"/>
    <w:rsid w:val="00BD672F"/>
    <w:rsid w:val="00BD68D3"/>
    <w:rsid w:val="00BD6920"/>
    <w:rsid w:val="00BD6CFC"/>
    <w:rsid w:val="00BD6E78"/>
    <w:rsid w:val="00BD6E7C"/>
    <w:rsid w:val="00BD6F63"/>
    <w:rsid w:val="00BD72CD"/>
    <w:rsid w:val="00BD76B7"/>
    <w:rsid w:val="00BD77F2"/>
    <w:rsid w:val="00BD7822"/>
    <w:rsid w:val="00BD7863"/>
    <w:rsid w:val="00BD7D6F"/>
    <w:rsid w:val="00BD7E8B"/>
    <w:rsid w:val="00BD7E92"/>
    <w:rsid w:val="00BD7EDF"/>
    <w:rsid w:val="00BD7F84"/>
    <w:rsid w:val="00BE014D"/>
    <w:rsid w:val="00BE0477"/>
    <w:rsid w:val="00BE05D0"/>
    <w:rsid w:val="00BE09AD"/>
    <w:rsid w:val="00BE1187"/>
    <w:rsid w:val="00BE11C2"/>
    <w:rsid w:val="00BE1353"/>
    <w:rsid w:val="00BE15AE"/>
    <w:rsid w:val="00BE170B"/>
    <w:rsid w:val="00BE1A49"/>
    <w:rsid w:val="00BE1AC8"/>
    <w:rsid w:val="00BE1C38"/>
    <w:rsid w:val="00BE1F33"/>
    <w:rsid w:val="00BE26FB"/>
    <w:rsid w:val="00BE28C6"/>
    <w:rsid w:val="00BE299C"/>
    <w:rsid w:val="00BE2B64"/>
    <w:rsid w:val="00BE2E8A"/>
    <w:rsid w:val="00BE2E8D"/>
    <w:rsid w:val="00BE2FCF"/>
    <w:rsid w:val="00BE3237"/>
    <w:rsid w:val="00BE3622"/>
    <w:rsid w:val="00BE385C"/>
    <w:rsid w:val="00BE38B4"/>
    <w:rsid w:val="00BE3A36"/>
    <w:rsid w:val="00BE3D73"/>
    <w:rsid w:val="00BE3DD0"/>
    <w:rsid w:val="00BE402D"/>
    <w:rsid w:val="00BE4381"/>
    <w:rsid w:val="00BE4448"/>
    <w:rsid w:val="00BE46DF"/>
    <w:rsid w:val="00BE4AAF"/>
    <w:rsid w:val="00BE4AB1"/>
    <w:rsid w:val="00BE4B4D"/>
    <w:rsid w:val="00BE4C3A"/>
    <w:rsid w:val="00BE4CDA"/>
    <w:rsid w:val="00BE4F58"/>
    <w:rsid w:val="00BE51B3"/>
    <w:rsid w:val="00BE5236"/>
    <w:rsid w:val="00BE52B6"/>
    <w:rsid w:val="00BE5301"/>
    <w:rsid w:val="00BE550E"/>
    <w:rsid w:val="00BE56FD"/>
    <w:rsid w:val="00BE5967"/>
    <w:rsid w:val="00BE5CA2"/>
    <w:rsid w:val="00BE5D9E"/>
    <w:rsid w:val="00BE5F01"/>
    <w:rsid w:val="00BE6083"/>
    <w:rsid w:val="00BE61CD"/>
    <w:rsid w:val="00BE620E"/>
    <w:rsid w:val="00BE623A"/>
    <w:rsid w:val="00BE6333"/>
    <w:rsid w:val="00BE6530"/>
    <w:rsid w:val="00BE653A"/>
    <w:rsid w:val="00BE65E7"/>
    <w:rsid w:val="00BE65FE"/>
    <w:rsid w:val="00BE6703"/>
    <w:rsid w:val="00BE6716"/>
    <w:rsid w:val="00BE6862"/>
    <w:rsid w:val="00BE6987"/>
    <w:rsid w:val="00BE6B72"/>
    <w:rsid w:val="00BE71F1"/>
    <w:rsid w:val="00BE7251"/>
    <w:rsid w:val="00BE73A2"/>
    <w:rsid w:val="00BE745B"/>
    <w:rsid w:val="00BE747C"/>
    <w:rsid w:val="00BE755B"/>
    <w:rsid w:val="00BE76EB"/>
    <w:rsid w:val="00BE796B"/>
    <w:rsid w:val="00BE7AE8"/>
    <w:rsid w:val="00BE7CC2"/>
    <w:rsid w:val="00BF0243"/>
    <w:rsid w:val="00BF08B0"/>
    <w:rsid w:val="00BF0922"/>
    <w:rsid w:val="00BF09EE"/>
    <w:rsid w:val="00BF0ADF"/>
    <w:rsid w:val="00BF0DCC"/>
    <w:rsid w:val="00BF11CB"/>
    <w:rsid w:val="00BF17E2"/>
    <w:rsid w:val="00BF1A78"/>
    <w:rsid w:val="00BF1B74"/>
    <w:rsid w:val="00BF1DBD"/>
    <w:rsid w:val="00BF1F00"/>
    <w:rsid w:val="00BF217C"/>
    <w:rsid w:val="00BF21C8"/>
    <w:rsid w:val="00BF22CB"/>
    <w:rsid w:val="00BF27BD"/>
    <w:rsid w:val="00BF2858"/>
    <w:rsid w:val="00BF2AC0"/>
    <w:rsid w:val="00BF2FD6"/>
    <w:rsid w:val="00BF2FEE"/>
    <w:rsid w:val="00BF306E"/>
    <w:rsid w:val="00BF30FB"/>
    <w:rsid w:val="00BF31A1"/>
    <w:rsid w:val="00BF32FA"/>
    <w:rsid w:val="00BF3973"/>
    <w:rsid w:val="00BF3AF5"/>
    <w:rsid w:val="00BF3BB7"/>
    <w:rsid w:val="00BF3C71"/>
    <w:rsid w:val="00BF3D3F"/>
    <w:rsid w:val="00BF3EEF"/>
    <w:rsid w:val="00BF465D"/>
    <w:rsid w:val="00BF4691"/>
    <w:rsid w:val="00BF46B5"/>
    <w:rsid w:val="00BF4BF2"/>
    <w:rsid w:val="00BF4F48"/>
    <w:rsid w:val="00BF5240"/>
    <w:rsid w:val="00BF596F"/>
    <w:rsid w:val="00BF5A59"/>
    <w:rsid w:val="00BF5ABB"/>
    <w:rsid w:val="00BF5CE4"/>
    <w:rsid w:val="00BF5D65"/>
    <w:rsid w:val="00BF5FA2"/>
    <w:rsid w:val="00BF63E9"/>
    <w:rsid w:val="00BF64AC"/>
    <w:rsid w:val="00BF64EB"/>
    <w:rsid w:val="00BF6524"/>
    <w:rsid w:val="00BF6698"/>
    <w:rsid w:val="00BF687B"/>
    <w:rsid w:val="00BF6981"/>
    <w:rsid w:val="00BF6C88"/>
    <w:rsid w:val="00BF6E5D"/>
    <w:rsid w:val="00BF71CF"/>
    <w:rsid w:val="00BF7646"/>
    <w:rsid w:val="00BF7731"/>
    <w:rsid w:val="00BF7B20"/>
    <w:rsid w:val="00BF7B7C"/>
    <w:rsid w:val="00BF7BDD"/>
    <w:rsid w:val="00BF7CF6"/>
    <w:rsid w:val="00BF7F51"/>
    <w:rsid w:val="00C002E2"/>
    <w:rsid w:val="00C00396"/>
    <w:rsid w:val="00C004C2"/>
    <w:rsid w:val="00C007EA"/>
    <w:rsid w:val="00C00A6B"/>
    <w:rsid w:val="00C00ECA"/>
    <w:rsid w:val="00C00F7A"/>
    <w:rsid w:val="00C01085"/>
    <w:rsid w:val="00C0134B"/>
    <w:rsid w:val="00C01561"/>
    <w:rsid w:val="00C01604"/>
    <w:rsid w:val="00C016AE"/>
    <w:rsid w:val="00C01729"/>
    <w:rsid w:val="00C01901"/>
    <w:rsid w:val="00C01903"/>
    <w:rsid w:val="00C01A89"/>
    <w:rsid w:val="00C01BAC"/>
    <w:rsid w:val="00C01DBD"/>
    <w:rsid w:val="00C01FD7"/>
    <w:rsid w:val="00C01FDF"/>
    <w:rsid w:val="00C0275C"/>
    <w:rsid w:val="00C027D0"/>
    <w:rsid w:val="00C02C3D"/>
    <w:rsid w:val="00C0315D"/>
    <w:rsid w:val="00C03274"/>
    <w:rsid w:val="00C033ED"/>
    <w:rsid w:val="00C0379B"/>
    <w:rsid w:val="00C03AC4"/>
    <w:rsid w:val="00C03B28"/>
    <w:rsid w:val="00C03C10"/>
    <w:rsid w:val="00C03FF5"/>
    <w:rsid w:val="00C041BC"/>
    <w:rsid w:val="00C0425F"/>
    <w:rsid w:val="00C042B4"/>
    <w:rsid w:val="00C0444C"/>
    <w:rsid w:val="00C04576"/>
    <w:rsid w:val="00C04810"/>
    <w:rsid w:val="00C048AA"/>
    <w:rsid w:val="00C04F7F"/>
    <w:rsid w:val="00C0562E"/>
    <w:rsid w:val="00C05685"/>
    <w:rsid w:val="00C05993"/>
    <w:rsid w:val="00C05E43"/>
    <w:rsid w:val="00C05E75"/>
    <w:rsid w:val="00C062D8"/>
    <w:rsid w:val="00C0656E"/>
    <w:rsid w:val="00C06AE7"/>
    <w:rsid w:val="00C06CCC"/>
    <w:rsid w:val="00C07081"/>
    <w:rsid w:val="00C07199"/>
    <w:rsid w:val="00C075C7"/>
    <w:rsid w:val="00C0778D"/>
    <w:rsid w:val="00C07ACE"/>
    <w:rsid w:val="00C100BD"/>
    <w:rsid w:val="00C100E9"/>
    <w:rsid w:val="00C103B7"/>
    <w:rsid w:val="00C104DC"/>
    <w:rsid w:val="00C1063A"/>
    <w:rsid w:val="00C10B96"/>
    <w:rsid w:val="00C10C6C"/>
    <w:rsid w:val="00C10F12"/>
    <w:rsid w:val="00C110FD"/>
    <w:rsid w:val="00C1164E"/>
    <w:rsid w:val="00C117A3"/>
    <w:rsid w:val="00C11C20"/>
    <w:rsid w:val="00C11C97"/>
    <w:rsid w:val="00C11D72"/>
    <w:rsid w:val="00C11E6C"/>
    <w:rsid w:val="00C11EC5"/>
    <w:rsid w:val="00C12024"/>
    <w:rsid w:val="00C121EE"/>
    <w:rsid w:val="00C12437"/>
    <w:rsid w:val="00C12BAE"/>
    <w:rsid w:val="00C12D25"/>
    <w:rsid w:val="00C12EA1"/>
    <w:rsid w:val="00C12FD8"/>
    <w:rsid w:val="00C1310A"/>
    <w:rsid w:val="00C1370B"/>
    <w:rsid w:val="00C13994"/>
    <w:rsid w:val="00C139E3"/>
    <w:rsid w:val="00C13A13"/>
    <w:rsid w:val="00C13D29"/>
    <w:rsid w:val="00C13DEE"/>
    <w:rsid w:val="00C13E1D"/>
    <w:rsid w:val="00C13F6E"/>
    <w:rsid w:val="00C14039"/>
    <w:rsid w:val="00C14738"/>
    <w:rsid w:val="00C147C0"/>
    <w:rsid w:val="00C1496E"/>
    <w:rsid w:val="00C14984"/>
    <w:rsid w:val="00C14D07"/>
    <w:rsid w:val="00C150B3"/>
    <w:rsid w:val="00C15176"/>
    <w:rsid w:val="00C15350"/>
    <w:rsid w:val="00C153FE"/>
    <w:rsid w:val="00C154C7"/>
    <w:rsid w:val="00C1566F"/>
    <w:rsid w:val="00C15797"/>
    <w:rsid w:val="00C161DD"/>
    <w:rsid w:val="00C16459"/>
    <w:rsid w:val="00C1691C"/>
    <w:rsid w:val="00C16DFF"/>
    <w:rsid w:val="00C1701B"/>
    <w:rsid w:val="00C171A6"/>
    <w:rsid w:val="00C171E0"/>
    <w:rsid w:val="00C17424"/>
    <w:rsid w:val="00C17979"/>
    <w:rsid w:val="00C17AE9"/>
    <w:rsid w:val="00C17D60"/>
    <w:rsid w:val="00C17E74"/>
    <w:rsid w:val="00C200CF"/>
    <w:rsid w:val="00C20240"/>
    <w:rsid w:val="00C20346"/>
    <w:rsid w:val="00C20424"/>
    <w:rsid w:val="00C2058B"/>
    <w:rsid w:val="00C20B4B"/>
    <w:rsid w:val="00C20BCE"/>
    <w:rsid w:val="00C20CBF"/>
    <w:rsid w:val="00C20D0D"/>
    <w:rsid w:val="00C20E2C"/>
    <w:rsid w:val="00C20EC7"/>
    <w:rsid w:val="00C20F6B"/>
    <w:rsid w:val="00C20FF3"/>
    <w:rsid w:val="00C211DB"/>
    <w:rsid w:val="00C2149B"/>
    <w:rsid w:val="00C21692"/>
    <w:rsid w:val="00C21760"/>
    <w:rsid w:val="00C21E33"/>
    <w:rsid w:val="00C220C8"/>
    <w:rsid w:val="00C22180"/>
    <w:rsid w:val="00C222C4"/>
    <w:rsid w:val="00C223B1"/>
    <w:rsid w:val="00C22436"/>
    <w:rsid w:val="00C22664"/>
    <w:rsid w:val="00C22A69"/>
    <w:rsid w:val="00C22EDD"/>
    <w:rsid w:val="00C22F0A"/>
    <w:rsid w:val="00C230B9"/>
    <w:rsid w:val="00C23167"/>
    <w:rsid w:val="00C23435"/>
    <w:rsid w:val="00C23C1F"/>
    <w:rsid w:val="00C23D0C"/>
    <w:rsid w:val="00C23D3C"/>
    <w:rsid w:val="00C23EC3"/>
    <w:rsid w:val="00C23F23"/>
    <w:rsid w:val="00C2402B"/>
    <w:rsid w:val="00C241D5"/>
    <w:rsid w:val="00C24217"/>
    <w:rsid w:val="00C24253"/>
    <w:rsid w:val="00C24619"/>
    <w:rsid w:val="00C24728"/>
    <w:rsid w:val="00C24B32"/>
    <w:rsid w:val="00C24C9C"/>
    <w:rsid w:val="00C24EFD"/>
    <w:rsid w:val="00C24FBA"/>
    <w:rsid w:val="00C250D7"/>
    <w:rsid w:val="00C25308"/>
    <w:rsid w:val="00C253E5"/>
    <w:rsid w:val="00C2560A"/>
    <w:rsid w:val="00C256CF"/>
    <w:rsid w:val="00C256FB"/>
    <w:rsid w:val="00C257EF"/>
    <w:rsid w:val="00C25AB3"/>
    <w:rsid w:val="00C25AFB"/>
    <w:rsid w:val="00C25C35"/>
    <w:rsid w:val="00C25EAD"/>
    <w:rsid w:val="00C26179"/>
    <w:rsid w:val="00C26629"/>
    <w:rsid w:val="00C26696"/>
    <w:rsid w:val="00C26835"/>
    <w:rsid w:val="00C269AE"/>
    <w:rsid w:val="00C26F08"/>
    <w:rsid w:val="00C2706A"/>
    <w:rsid w:val="00C27788"/>
    <w:rsid w:val="00C278F2"/>
    <w:rsid w:val="00C27D50"/>
    <w:rsid w:val="00C27DD8"/>
    <w:rsid w:val="00C27F80"/>
    <w:rsid w:val="00C300C5"/>
    <w:rsid w:val="00C301B8"/>
    <w:rsid w:val="00C3051F"/>
    <w:rsid w:val="00C30577"/>
    <w:rsid w:val="00C305B1"/>
    <w:rsid w:val="00C306C0"/>
    <w:rsid w:val="00C307DB"/>
    <w:rsid w:val="00C30B06"/>
    <w:rsid w:val="00C30BB5"/>
    <w:rsid w:val="00C30E55"/>
    <w:rsid w:val="00C30F9B"/>
    <w:rsid w:val="00C30FEA"/>
    <w:rsid w:val="00C31065"/>
    <w:rsid w:val="00C31218"/>
    <w:rsid w:val="00C31E59"/>
    <w:rsid w:val="00C31ECF"/>
    <w:rsid w:val="00C32156"/>
    <w:rsid w:val="00C322AF"/>
    <w:rsid w:val="00C32391"/>
    <w:rsid w:val="00C326F8"/>
    <w:rsid w:val="00C3274C"/>
    <w:rsid w:val="00C32BDB"/>
    <w:rsid w:val="00C32DB2"/>
    <w:rsid w:val="00C33037"/>
    <w:rsid w:val="00C3352F"/>
    <w:rsid w:val="00C33583"/>
    <w:rsid w:val="00C335E1"/>
    <w:rsid w:val="00C337DD"/>
    <w:rsid w:val="00C338F7"/>
    <w:rsid w:val="00C33C1A"/>
    <w:rsid w:val="00C33C90"/>
    <w:rsid w:val="00C33EAF"/>
    <w:rsid w:val="00C33F9C"/>
    <w:rsid w:val="00C3456B"/>
    <w:rsid w:val="00C34777"/>
    <w:rsid w:val="00C349AC"/>
    <w:rsid w:val="00C34FD5"/>
    <w:rsid w:val="00C35145"/>
    <w:rsid w:val="00C351E5"/>
    <w:rsid w:val="00C35555"/>
    <w:rsid w:val="00C3573E"/>
    <w:rsid w:val="00C3585A"/>
    <w:rsid w:val="00C360BB"/>
    <w:rsid w:val="00C360E7"/>
    <w:rsid w:val="00C361C0"/>
    <w:rsid w:val="00C36276"/>
    <w:rsid w:val="00C363EC"/>
    <w:rsid w:val="00C3648B"/>
    <w:rsid w:val="00C3656E"/>
    <w:rsid w:val="00C368A0"/>
    <w:rsid w:val="00C36905"/>
    <w:rsid w:val="00C36CFC"/>
    <w:rsid w:val="00C36FD5"/>
    <w:rsid w:val="00C37971"/>
    <w:rsid w:val="00C37D7B"/>
    <w:rsid w:val="00C37E3C"/>
    <w:rsid w:val="00C37E6D"/>
    <w:rsid w:val="00C37F09"/>
    <w:rsid w:val="00C400E0"/>
    <w:rsid w:val="00C4067E"/>
    <w:rsid w:val="00C40BBD"/>
    <w:rsid w:val="00C40C23"/>
    <w:rsid w:val="00C40E89"/>
    <w:rsid w:val="00C40EF7"/>
    <w:rsid w:val="00C40F47"/>
    <w:rsid w:val="00C41104"/>
    <w:rsid w:val="00C41214"/>
    <w:rsid w:val="00C413C5"/>
    <w:rsid w:val="00C417FD"/>
    <w:rsid w:val="00C419D5"/>
    <w:rsid w:val="00C42096"/>
    <w:rsid w:val="00C42174"/>
    <w:rsid w:val="00C42232"/>
    <w:rsid w:val="00C4249A"/>
    <w:rsid w:val="00C4294C"/>
    <w:rsid w:val="00C42A5B"/>
    <w:rsid w:val="00C42BB0"/>
    <w:rsid w:val="00C42CE4"/>
    <w:rsid w:val="00C42D86"/>
    <w:rsid w:val="00C42E04"/>
    <w:rsid w:val="00C42F83"/>
    <w:rsid w:val="00C4302A"/>
    <w:rsid w:val="00C4310A"/>
    <w:rsid w:val="00C435FF"/>
    <w:rsid w:val="00C43BD5"/>
    <w:rsid w:val="00C43C74"/>
    <w:rsid w:val="00C43CA0"/>
    <w:rsid w:val="00C43ECC"/>
    <w:rsid w:val="00C43F31"/>
    <w:rsid w:val="00C440A7"/>
    <w:rsid w:val="00C445C2"/>
    <w:rsid w:val="00C44634"/>
    <w:rsid w:val="00C44AC8"/>
    <w:rsid w:val="00C44B5B"/>
    <w:rsid w:val="00C44B69"/>
    <w:rsid w:val="00C44D73"/>
    <w:rsid w:val="00C44D7D"/>
    <w:rsid w:val="00C44FC3"/>
    <w:rsid w:val="00C44FDF"/>
    <w:rsid w:val="00C4556C"/>
    <w:rsid w:val="00C4567A"/>
    <w:rsid w:val="00C4568B"/>
    <w:rsid w:val="00C458B3"/>
    <w:rsid w:val="00C45B85"/>
    <w:rsid w:val="00C45D5B"/>
    <w:rsid w:val="00C46300"/>
    <w:rsid w:val="00C4632A"/>
    <w:rsid w:val="00C4666F"/>
    <w:rsid w:val="00C466FE"/>
    <w:rsid w:val="00C4675F"/>
    <w:rsid w:val="00C46A68"/>
    <w:rsid w:val="00C46B85"/>
    <w:rsid w:val="00C46F40"/>
    <w:rsid w:val="00C471CD"/>
    <w:rsid w:val="00C4720D"/>
    <w:rsid w:val="00C47553"/>
    <w:rsid w:val="00C47993"/>
    <w:rsid w:val="00C47B25"/>
    <w:rsid w:val="00C47BDD"/>
    <w:rsid w:val="00C47C03"/>
    <w:rsid w:val="00C47CBF"/>
    <w:rsid w:val="00C47E06"/>
    <w:rsid w:val="00C47E5E"/>
    <w:rsid w:val="00C47ED6"/>
    <w:rsid w:val="00C47F29"/>
    <w:rsid w:val="00C47FCF"/>
    <w:rsid w:val="00C5009C"/>
    <w:rsid w:val="00C5044C"/>
    <w:rsid w:val="00C50491"/>
    <w:rsid w:val="00C5068B"/>
    <w:rsid w:val="00C506EE"/>
    <w:rsid w:val="00C5080D"/>
    <w:rsid w:val="00C50C19"/>
    <w:rsid w:val="00C50D82"/>
    <w:rsid w:val="00C50EDE"/>
    <w:rsid w:val="00C50FAB"/>
    <w:rsid w:val="00C50FB6"/>
    <w:rsid w:val="00C51642"/>
    <w:rsid w:val="00C51B35"/>
    <w:rsid w:val="00C51BE5"/>
    <w:rsid w:val="00C51F44"/>
    <w:rsid w:val="00C51F54"/>
    <w:rsid w:val="00C520A1"/>
    <w:rsid w:val="00C520CE"/>
    <w:rsid w:val="00C522D7"/>
    <w:rsid w:val="00C52744"/>
    <w:rsid w:val="00C527DB"/>
    <w:rsid w:val="00C528A8"/>
    <w:rsid w:val="00C52E4C"/>
    <w:rsid w:val="00C52EB8"/>
    <w:rsid w:val="00C52FB2"/>
    <w:rsid w:val="00C5313F"/>
    <w:rsid w:val="00C532C8"/>
    <w:rsid w:val="00C533E8"/>
    <w:rsid w:val="00C53539"/>
    <w:rsid w:val="00C535A2"/>
    <w:rsid w:val="00C53A2B"/>
    <w:rsid w:val="00C53E26"/>
    <w:rsid w:val="00C53EF9"/>
    <w:rsid w:val="00C54009"/>
    <w:rsid w:val="00C54030"/>
    <w:rsid w:val="00C5403F"/>
    <w:rsid w:val="00C54198"/>
    <w:rsid w:val="00C546F3"/>
    <w:rsid w:val="00C547E0"/>
    <w:rsid w:val="00C54981"/>
    <w:rsid w:val="00C54B0C"/>
    <w:rsid w:val="00C54CD7"/>
    <w:rsid w:val="00C5525D"/>
    <w:rsid w:val="00C55719"/>
    <w:rsid w:val="00C55AED"/>
    <w:rsid w:val="00C55CDC"/>
    <w:rsid w:val="00C55F36"/>
    <w:rsid w:val="00C5643F"/>
    <w:rsid w:val="00C566DE"/>
    <w:rsid w:val="00C567C5"/>
    <w:rsid w:val="00C567E1"/>
    <w:rsid w:val="00C569DE"/>
    <w:rsid w:val="00C56BBB"/>
    <w:rsid w:val="00C5744D"/>
    <w:rsid w:val="00C574BD"/>
    <w:rsid w:val="00C5767B"/>
    <w:rsid w:val="00C57B34"/>
    <w:rsid w:val="00C57DDD"/>
    <w:rsid w:val="00C60455"/>
    <w:rsid w:val="00C605A1"/>
    <w:rsid w:val="00C6072E"/>
    <w:rsid w:val="00C60753"/>
    <w:rsid w:val="00C60983"/>
    <w:rsid w:val="00C60996"/>
    <w:rsid w:val="00C60C49"/>
    <w:rsid w:val="00C60C4B"/>
    <w:rsid w:val="00C61234"/>
    <w:rsid w:val="00C612D4"/>
    <w:rsid w:val="00C61D69"/>
    <w:rsid w:val="00C61D8F"/>
    <w:rsid w:val="00C61F72"/>
    <w:rsid w:val="00C61F74"/>
    <w:rsid w:val="00C6224B"/>
    <w:rsid w:val="00C62404"/>
    <w:rsid w:val="00C625A9"/>
    <w:rsid w:val="00C625CE"/>
    <w:rsid w:val="00C62658"/>
    <w:rsid w:val="00C62675"/>
    <w:rsid w:val="00C62785"/>
    <w:rsid w:val="00C62C06"/>
    <w:rsid w:val="00C62C10"/>
    <w:rsid w:val="00C6309A"/>
    <w:rsid w:val="00C6324C"/>
    <w:rsid w:val="00C63381"/>
    <w:rsid w:val="00C63446"/>
    <w:rsid w:val="00C63454"/>
    <w:rsid w:val="00C63AAE"/>
    <w:rsid w:val="00C63EC5"/>
    <w:rsid w:val="00C63F4D"/>
    <w:rsid w:val="00C64125"/>
    <w:rsid w:val="00C643AA"/>
    <w:rsid w:val="00C643D0"/>
    <w:rsid w:val="00C646CF"/>
    <w:rsid w:val="00C64728"/>
    <w:rsid w:val="00C64743"/>
    <w:rsid w:val="00C64822"/>
    <w:rsid w:val="00C64982"/>
    <w:rsid w:val="00C64B15"/>
    <w:rsid w:val="00C64C6F"/>
    <w:rsid w:val="00C64EA8"/>
    <w:rsid w:val="00C6555B"/>
    <w:rsid w:val="00C656ED"/>
    <w:rsid w:val="00C657A5"/>
    <w:rsid w:val="00C6589D"/>
    <w:rsid w:val="00C65FA7"/>
    <w:rsid w:val="00C66449"/>
    <w:rsid w:val="00C6661A"/>
    <w:rsid w:val="00C669D1"/>
    <w:rsid w:val="00C66BEE"/>
    <w:rsid w:val="00C66EE8"/>
    <w:rsid w:val="00C66FB3"/>
    <w:rsid w:val="00C67141"/>
    <w:rsid w:val="00C678C2"/>
    <w:rsid w:val="00C679DA"/>
    <w:rsid w:val="00C67A39"/>
    <w:rsid w:val="00C67B90"/>
    <w:rsid w:val="00C67C31"/>
    <w:rsid w:val="00C70019"/>
    <w:rsid w:val="00C707D6"/>
    <w:rsid w:val="00C70B92"/>
    <w:rsid w:val="00C70C24"/>
    <w:rsid w:val="00C70C4F"/>
    <w:rsid w:val="00C70D89"/>
    <w:rsid w:val="00C71128"/>
    <w:rsid w:val="00C71581"/>
    <w:rsid w:val="00C71814"/>
    <w:rsid w:val="00C71C1D"/>
    <w:rsid w:val="00C71F1C"/>
    <w:rsid w:val="00C7209D"/>
    <w:rsid w:val="00C72510"/>
    <w:rsid w:val="00C725A8"/>
    <w:rsid w:val="00C727B3"/>
    <w:rsid w:val="00C72885"/>
    <w:rsid w:val="00C72898"/>
    <w:rsid w:val="00C72A7C"/>
    <w:rsid w:val="00C72DED"/>
    <w:rsid w:val="00C72F0C"/>
    <w:rsid w:val="00C72F2D"/>
    <w:rsid w:val="00C7323C"/>
    <w:rsid w:val="00C733E3"/>
    <w:rsid w:val="00C73757"/>
    <w:rsid w:val="00C739BB"/>
    <w:rsid w:val="00C73A6B"/>
    <w:rsid w:val="00C73DD2"/>
    <w:rsid w:val="00C740E2"/>
    <w:rsid w:val="00C74257"/>
    <w:rsid w:val="00C7428C"/>
    <w:rsid w:val="00C74290"/>
    <w:rsid w:val="00C7444A"/>
    <w:rsid w:val="00C7451A"/>
    <w:rsid w:val="00C745DF"/>
    <w:rsid w:val="00C74600"/>
    <w:rsid w:val="00C7465A"/>
    <w:rsid w:val="00C74E47"/>
    <w:rsid w:val="00C75165"/>
    <w:rsid w:val="00C7559A"/>
    <w:rsid w:val="00C75676"/>
    <w:rsid w:val="00C758D6"/>
    <w:rsid w:val="00C75BF1"/>
    <w:rsid w:val="00C761F7"/>
    <w:rsid w:val="00C762F7"/>
    <w:rsid w:val="00C764FB"/>
    <w:rsid w:val="00C76525"/>
    <w:rsid w:val="00C76612"/>
    <w:rsid w:val="00C7682B"/>
    <w:rsid w:val="00C7692A"/>
    <w:rsid w:val="00C76BBD"/>
    <w:rsid w:val="00C76EFA"/>
    <w:rsid w:val="00C77001"/>
    <w:rsid w:val="00C77085"/>
    <w:rsid w:val="00C770C7"/>
    <w:rsid w:val="00C77279"/>
    <w:rsid w:val="00C77381"/>
    <w:rsid w:val="00C773C0"/>
    <w:rsid w:val="00C773DD"/>
    <w:rsid w:val="00C7746C"/>
    <w:rsid w:val="00C778E2"/>
    <w:rsid w:val="00C77939"/>
    <w:rsid w:val="00C779EC"/>
    <w:rsid w:val="00C77C31"/>
    <w:rsid w:val="00C80010"/>
    <w:rsid w:val="00C800F0"/>
    <w:rsid w:val="00C80531"/>
    <w:rsid w:val="00C80543"/>
    <w:rsid w:val="00C80778"/>
    <w:rsid w:val="00C80AB3"/>
    <w:rsid w:val="00C80B14"/>
    <w:rsid w:val="00C80FE2"/>
    <w:rsid w:val="00C8104A"/>
    <w:rsid w:val="00C810D0"/>
    <w:rsid w:val="00C81166"/>
    <w:rsid w:val="00C8134D"/>
    <w:rsid w:val="00C8143B"/>
    <w:rsid w:val="00C81A43"/>
    <w:rsid w:val="00C81BA3"/>
    <w:rsid w:val="00C81C6C"/>
    <w:rsid w:val="00C82B56"/>
    <w:rsid w:val="00C82DCF"/>
    <w:rsid w:val="00C82EF3"/>
    <w:rsid w:val="00C830E9"/>
    <w:rsid w:val="00C83171"/>
    <w:rsid w:val="00C832C1"/>
    <w:rsid w:val="00C832FF"/>
    <w:rsid w:val="00C83338"/>
    <w:rsid w:val="00C8353E"/>
    <w:rsid w:val="00C83723"/>
    <w:rsid w:val="00C838E7"/>
    <w:rsid w:val="00C839EC"/>
    <w:rsid w:val="00C8423C"/>
    <w:rsid w:val="00C84316"/>
    <w:rsid w:val="00C8460D"/>
    <w:rsid w:val="00C84A41"/>
    <w:rsid w:val="00C84EB5"/>
    <w:rsid w:val="00C852C1"/>
    <w:rsid w:val="00C85778"/>
    <w:rsid w:val="00C85AFB"/>
    <w:rsid w:val="00C85B0D"/>
    <w:rsid w:val="00C85C79"/>
    <w:rsid w:val="00C8604C"/>
    <w:rsid w:val="00C8640F"/>
    <w:rsid w:val="00C86585"/>
    <w:rsid w:val="00C86C34"/>
    <w:rsid w:val="00C86E97"/>
    <w:rsid w:val="00C86EBA"/>
    <w:rsid w:val="00C86F89"/>
    <w:rsid w:val="00C8704C"/>
    <w:rsid w:val="00C8718F"/>
    <w:rsid w:val="00C87413"/>
    <w:rsid w:val="00C87564"/>
    <w:rsid w:val="00C87B5E"/>
    <w:rsid w:val="00C87B90"/>
    <w:rsid w:val="00C90171"/>
    <w:rsid w:val="00C90512"/>
    <w:rsid w:val="00C90579"/>
    <w:rsid w:val="00C90691"/>
    <w:rsid w:val="00C90AAE"/>
    <w:rsid w:val="00C90D19"/>
    <w:rsid w:val="00C90EC9"/>
    <w:rsid w:val="00C91158"/>
    <w:rsid w:val="00C91222"/>
    <w:rsid w:val="00C912BE"/>
    <w:rsid w:val="00C91435"/>
    <w:rsid w:val="00C915E7"/>
    <w:rsid w:val="00C91641"/>
    <w:rsid w:val="00C91C17"/>
    <w:rsid w:val="00C92032"/>
    <w:rsid w:val="00C926DC"/>
    <w:rsid w:val="00C927A7"/>
    <w:rsid w:val="00C927B3"/>
    <w:rsid w:val="00C92913"/>
    <w:rsid w:val="00C92BFD"/>
    <w:rsid w:val="00C92C37"/>
    <w:rsid w:val="00C9320E"/>
    <w:rsid w:val="00C9360C"/>
    <w:rsid w:val="00C93774"/>
    <w:rsid w:val="00C93888"/>
    <w:rsid w:val="00C93AF2"/>
    <w:rsid w:val="00C93C29"/>
    <w:rsid w:val="00C94320"/>
    <w:rsid w:val="00C94430"/>
    <w:rsid w:val="00C9461C"/>
    <w:rsid w:val="00C94756"/>
    <w:rsid w:val="00C94A2E"/>
    <w:rsid w:val="00C94B94"/>
    <w:rsid w:val="00C9501F"/>
    <w:rsid w:val="00C95038"/>
    <w:rsid w:val="00C95155"/>
    <w:rsid w:val="00C9538C"/>
    <w:rsid w:val="00C9563C"/>
    <w:rsid w:val="00C957CB"/>
    <w:rsid w:val="00C95949"/>
    <w:rsid w:val="00C95CEF"/>
    <w:rsid w:val="00C95DC7"/>
    <w:rsid w:val="00C95F86"/>
    <w:rsid w:val="00C95FE0"/>
    <w:rsid w:val="00C96553"/>
    <w:rsid w:val="00C96572"/>
    <w:rsid w:val="00C9664F"/>
    <w:rsid w:val="00C968C2"/>
    <w:rsid w:val="00C9694B"/>
    <w:rsid w:val="00C969E7"/>
    <w:rsid w:val="00C96AF5"/>
    <w:rsid w:val="00C96FA1"/>
    <w:rsid w:val="00C971E8"/>
    <w:rsid w:val="00C97206"/>
    <w:rsid w:val="00C97381"/>
    <w:rsid w:val="00C97A5F"/>
    <w:rsid w:val="00C97EB2"/>
    <w:rsid w:val="00CA0104"/>
    <w:rsid w:val="00CA02C4"/>
    <w:rsid w:val="00CA08ED"/>
    <w:rsid w:val="00CA096B"/>
    <w:rsid w:val="00CA0D40"/>
    <w:rsid w:val="00CA0FE5"/>
    <w:rsid w:val="00CA12EF"/>
    <w:rsid w:val="00CA1390"/>
    <w:rsid w:val="00CA1D77"/>
    <w:rsid w:val="00CA1D90"/>
    <w:rsid w:val="00CA1E05"/>
    <w:rsid w:val="00CA2016"/>
    <w:rsid w:val="00CA2134"/>
    <w:rsid w:val="00CA255C"/>
    <w:rsid w:val="00CA28DD"/>
    <w:rsid w:val="00CA2E92"/>
    <w:rsid w:val="00CA3097"/>
    <w:rsid w:val="00CA3697"/>
    <w:rsid w:val="00CA3A38"/>
    <w:rsid w:val="00CA3C08"/>
    <w:rsid w:val="00CA3C97"/>
    <w:rsid w:val="00CA3D6C"/>
    <w:rsid w:val="00CA3E2A"/>
    <w:rsid w:val="00CA3FB2"/>
    <w:rsid w:val="00CA404D"/>
    <w:rsid w:val="00CA417E"/>
    <w:rsid w:val="00CA4204"/>
    <w:rsid w:val="00CA43AB"/>
    <w:rsid w:val="00CA4457"/>
    <w:rsid w:val="00CA450F"/>
    <w:rsid w:val="00CA457B"/>
    <w:rsid w:val="00CA469A"/>
    <w:rsid w:val="00CA4974"/>
    <w:rsid w:val="00CA49B3"/>
    <w:rsid w:val="00CA49F2"/>
    <w:rsid w:val="00CA4C1E"/>
    <w:rsid w:val="00CA4D73"/>
    <w:rsid w:val="00CA50EB"/>
    <w:rsid w:val="00CA56EF"/>
    <w:rsid w:val="00CA56FE"/>
    <w:rsid w:val="00CA5830"/>
    <w:rsid w:val="00CA58FA"/>
    <w:rsid w:val="00CA58FB"/>
    <w:rsid w:val="00CA5DF3"/>
    <w:rsid w:val="00CA5E86"/>
    <w:rsid w:val="00CA5F2E"/>
    <w:rsid w:val="00CA625D"/>
    <w:rsid w:val="00CA654C"/>
    <w:rsid w:val="00CA67B9"/>
    <w:rsid w:val="00CA6A34"/>
    <w:rsid w:val="00CA6B7C"/>
    <w:rsid w:val="00CA6D71"/>
    <w:rsid w:val="00CA6E77"/>
    <w:rsid w:val="00CA6E88"/>
    <w:rsid w:val="00CA6EE0"/>
    <w:rsid w:val="00CA6F76"/>
    <w:rsid w:val="00CA6FA7"/>
    <w:rsid w:val="00CA6FF7"/>
    <w:rsid w:val="00CA7055"/>
    <w:rsid w:val="00CA71F4"/>
    <w:rsid w:val="00CA72E5"/>
    <w:rsid w:val="00CA7319"/>
    <w:rsid w:val="00CA746D"/>
    <w:rsid w:val="00CA75A0"/>
    <w:rsid w:val="00CA783A"/>
    <w:rsid w:val="00CA79DC"/>
    <w:rsid w:val="00CA7EA6"/>
    <w:rsid w:val="00CA7FB1"/>
    <w:rsid w:val="00CA7FF1"/>
    <w:rsid w:val="00CB0343"/>
    <w:rsid w:val="00CB0405"/>
    <w:rsid w:val="00CB0724"/>
    <w:rsid w:val="00CB088A"/>
    <w:rsid w:val="00CB0F3E"/>
    <w:rsid w:val="00CB15CC"/>
    <w:rsid w:val="00CB18EC"/>
    <w:rsid w:val="00CB1997"/>
    <w:rsid w:val="00CB1C0E"/>
    <w:rsid w:val="00CB1F4F"/>
    <w:rsid w:val="00CB209E"/>
    <w:rsid w:val="00CB2294"/>
    <w:rsid w:val="00CB27FD"/>
    <w:rsid w:val="00CB2981"/>
    <w:rsid w:val="00CB2A97"/>
    <w:rsid w:val="00CB2F06"/>
    <w:rsid w:val="00CB3064"/>
    <w:rsid w:val="00CB31B5"/>
    <w:rsid w:val="00CB3229"/>
    <w:rsid w:val="00CB37D7"/>
    <w:rsid w:val="00CB38A8"/>
    <w:rsid w:val="00CB3B08"/>
    <w:rsid w:val="00CB3D2A"/>
    <w:rsid w:val="00CB3EAD"/>
    <w:rsid w:val="00CB40E8"/>
    <w:rsid w:val="00CB42D7"/>
    <w:rsid w:val="00CB44B1"/>
    <w:rsid w:val="00CB4A3A"/>
    <w:rsid w:val="00CB4BFA"/>
    <w:rsid w:val="00CB4C65"/>
    <w:rsid w:val="00CB4C7D"/>
    <w:rsid w:val="00CB4CC0"/>
    <w:rsid w:val="00CB4ED4"/>
    <w:rsid w:val="00CB5659"/>
    <w:rsid w:val="00CB573F"/>
    <w:rsid w:val="00CB597C"/>
    <w:rsid w:val="00CB5BC6"/>
    <w:rsid w:val="00CB5C05"/>
    <w:rsid w:val="00CB5C27"/>
    <w:rsid w:val="00CB5CE2"/>
    <w:rsid w:val="00CB5F94"/>
    <w:rsid w:val="00CB6490"/>
    <w:rsid w:val="00CB659B"/>
    <w:rsid w:val="00CB65C1"/>
    <w:rsid w:val="00CB65EB"/>
    <w:rsid w:val="00CB6893"/>
    <w:rsid w:val="00CB7013"/>
    <w:rsid w:val="00CB70A9"/>
    <w:rsid w:val="00CB71D1"/>
    <w:rsid w:val="00CB7626"/>
    <w:rsid w:val="00CB77A7"/>
    <w:rsid w:val="00CB7AD2"/>
    <w:rsid w:val="00CB7B5E"/>
    <w:rsid w:val="00CB7FBE"/>
    <w:rsid w:val="00CC0275"/>
    <w:rsid w:val="00CC047B"/>
    <w:rsid w:val="00CC0710"/>
    <w:rsid w:val="00CC08DD"/>
    <w:rsid w:val="00CC0B07"/>
    <w:rsid w:val="00CC0BAA"/>
    <w:rsid w:val="00CC0BFE"/>
    <w:rsid w:val="00CC0CDF"/>
    <w:rsid w:val="00CC0DBE"/>
    <w:rsid w:val="00CC0EEC"/>
    <w:rsid w:val="00CC0F24"/>
    <w:rsid w:val="00CC0FC4"/>
    <w:rsid w:val="00CC11C1"/>
    <w:rsid w:val="00CC11CD"/>
    <w:rsid w:val="00CC167F"/>
    <w:rsid w:val="00CC1911"/>
    <w:rsid w:val="00CC19BC"/>
    <w:rsid w:val="00CC1AB6"/>
    <w:rsid w:val="00CC1B99"/>
    <w:rsid w:val="00CC1CF1"/>
    <w:rsid w:val="00CC228D"/>
    <w:rsid w:val="00CC251B"/>
    <w:rsid w:val="00CC2590"/>
    <w:rsid w:val="00CC2759"/>
    <w:rsid w:val="00CC281C"/>
    <w:rsid w:val="00CC296D"/>
    <w:rsid w:val="00CC2AC4"/>
    <w:rsid w:val="00CC2EFF"/>
    <w:rsid w:val="00CC3386"/>
    <w:rsid w:val="00CC35B2"/>
    <w:rsid w:val="00CC370C"/>
    <w:rsid w:val="00CC39D3"/>
    <w:rsid w:val="00CC3C0D"/>
    <w:rsid w:val="00CC3EFD"/>
    <w:rsid w:val="00CC4073"/>
    <w:rsid w:val="00CC4086"/>
    <w:rsid w:val="00CC40F6"/>
    <w:rsid w:val="00CC4231"/>
    <w:rsid w:val="00CC44C6"/>
    <w:rsid w:val="00CC46C8"/>
    <w:rsid w:val="00CC4CBE"/>
    <w:rsid w:val="00CC4DAA"/>
    <w:rsid w:val="00CC4E05"/>
    <w:rsid w:val="00CC4E5E"/>
    <w:rsid w:val="00CC51CA"/>
    <w:rsid w:val="00CC5327"/>
    <w:rsid w:val="00CC559E"/>
    <w:rsid w:val="00CC5698"/>
    <w:rsid w:val="00CC5775"/>
    <w:rsid w:val="00CC57BA"/>
    <w:rsid w:val="00CC5C17"/>
    <w:rsid w:val="00CC5D5D"/>
    <w:rsid w:val="00CC5EFD"/>
    <w:rsid w:val="00CC5F41"/>
    <w:rsid w:val="00CC6119"/>
    <w:rsid w:val="00CC6997"/>
    <w:rsid w:val="00CC6A30"/>
    <w:rsid w:val="00CC6B26"/>
    <w:rsid w:val="00CC72EA"/>
    <w:rsid w:val="00CC730B"/>
    <w:rsid w:val="00CC74B6"/>
    <w:rsid w:val="00CD005C"/>
    <w:rsid w:val="00CD0386"/>
    <w:rsid w:val="00CD09D7"/>
    <w:rsid w:val="00CD0BA4"/>
    <w:rsid w:val="00CD0BC0"/>
    <w:rsid w:val="00CD13C7"/>
    <w:rsid w:val="00CD1825"/>
    <w:rsid w:val="00CD1870"/>
    <w:rsid w:val="00CD1E8B"/>
    <w:rsid w:val="00CD2060"/>
    <w:rsid w:val="00CD210F"/>
    <w:rsid w:val="00CD2355"/>
    <w:rsid w:val="00CD2889"/>
    <w:rsid w:val="00CD2B6B"/>
    <w:rsid w:val="00CD2BC9"/>
    <w:rsid w:val="00CD2D4A"/>
    <w:rsid w:val="00CD2D87"/>
    <w:rsid w:val="00CD30D8"/>
    <w:rsid w:val="00CD30DB"/>
    <w:rsid w:val="00CD32C6"/>
    <w:rsid w:val="00CD34FC"/>
    <w:rsid w:val="00CD3BCA"/>
    <w:rsid w:val="00CD3F40"/>
    <w:rsid w:val="00CD3FCF"/>
    <w:rsid w:val="00CD3FFA"/>
    <w:rsid w:val="00CD4484"/>
    <w:rsid w:val="00CD48DF"/>
    <w:rsid w:val="00CD4939"/>
    <w:rsid w:val="00CD4C9D"/>
    <w:rsid w:val="00CD52E6"/>
    <w:rsid w:val="00CD55B1"/>
    <w:rsid w:val="00CD55E5"/>
    <w:rsid w:val="00CD55F6"/>
    <w:rsid w:val="00CD56CC"/>
    <w:rsid w:val="00CD58D9"/>
    <w:rsid w:val="00CD5937"/>
    <w:rsid w:val="00CD5B79"/>
    <w:rsid w:val="00CD5BC8"/>
    <w:rsid w:val="00CD5E67"/>
    <w:rsid w:val="00CD63B2"/>
    <w:rsid w:val="00CD6442"/>
    <w:rsid w:val="00CD64CD"/>
    <w:rsid w:val="00CD674C"/>
    <w:rsid w:val="00CD6846"/>
    <w:rsid w:val="00CD6AF0"/>
    <w:rsid w:val="00CD6C04"/>
    <w:rsid w:val="00CD6E6C"/>
    <w:rsid w:val="00CD6F67"/>
    <w:rsid w:val="00CD7053"/>
    <w:rsid w:val="00CD729B"/>
    <w:rsid w:val="00CD74C6"/>
    <w:rsid w:val="00CD75A9"/>
    <w:rsid w:val="00CD7790"/>
    <w:rsid w:val="00CD7829"/>
    <w:rsid w:val="00CD782D"/>
    <w:rsid w:val="00CD7B4E"/>
    <w:rsid w:val="00CD7BD7"/>
    <w:rsid w:val="00CE00E1"/>
    <w:rsid w:val="00CE0119"/>
    <w:rsid w:val="00CE01B3"/>
    <w:rsid w:val="00CE027E"/>
    <w:rsid w:val="00CE0380"/>
    <w:rsid w:val="00CE0413"/>
    <w:rsid w:val="00CE05CC"/>
    <w:rsid w:val="00CE069E"/>
    <w:rsid w:val="00CE06B0"/>
    <w:rsid w:val="00CE09B6"/>
    <w:rsid w:val="00CE09F8"/>
    <w:rsid w:val="00CE0C42"/>
    <w:rsid w:val="00CE0CFC"/>
    <w:rsid w:val="00CE0E85"/>
    <w:rsid w:val="00CE1058"/>
    <w:rsid w:val="00CE122F"/>
    <w:rsid w:val="00CE1451"/>
    <w:rsid w:val="00CE1652"/>
    <w:rsid w:val="00CE1729"/>
    <w:rsid w:val="00CE18B8"/>
    <w:rsid w:val="00CE1907"/>
    <w:rsid w:val="00CE1963"/>
    <w:rsid w:val="00CE1A68"/>
    <w:rsid w:val="00CE1AE4"/>
    <w:rsid w:val="00CE1C73"/>
    <w:rsid w:val="00CE1D07"/>
    <w:rsid w:val="00CE1D42"/>
    <w:rsid w:val="00CE2126"/>
    <w:rsid w:val="00CE2577"/>
    <w:rsid w:val="00CE25C2"/>
    <w:rsid w:val="00CE27E8"/>
    <w:rsid w:val="00CE2935"/>
    <w:rsid w:val="00CE2CBB"/>
    <w:rsid w:val="00CE2D8A"/>
    <w:rsid w:val="00CE2F6A"/>
    <w:rsid w:val="00CE30A2"/>
    <w:rsid w:val="00CE32B6"/>
    <w:rsid w:val="00CE3436"/>
    <w:rsid w:val="00CE3D56"/>
    <w:rsid w:val="00CE3D98"/>
    <w:rsid w:val="00CE3E80"/>
    <w:rsid w:val="00CE40E0"/>
    <w:rsid w:val="00CE41AC"/>
    <w:rsid w:val="00CE4273"/>
    <w:rsid w:val="00CE42E2"/>
    <w:rsid w:val="00CE443C"/>
    <w:rsid w:val="00CE47A3"/>
    <w:rsid w:val="00CE48B2"/>
    <w:rsid w:val="00CE49BF"/>
    <w:rsid w:val="00CE4C20"/>
    <w:rsid w:val="00CE4CFD"/>
    <w:rsid w:val="00CE4DC7"/>
    <w:rsid w:val="00CE4E02"/>
    <w:rsid w:val="00CE4FEE"/>
    <w:rsid w:val="00CE5255"/>
    <w:rsid w:val="00CE5663"/>
    <w:rsid w:val="00CE579D"/>
    <w:rsid w:val="00CE57FF"/>
    <w:rsid w:val="00CE5DD6"/>
    <w:rsid w:val="00CE5F1B"/>
    <w:rsid w:val="00CE6559"/>
    <w:rsid w:val="00CE66F5"/>
    <w:rsid w:val="00CE67E9"/>
    <w:rsid w:val="00CE699E"/>
    <w:rsid w:val="00CE6EBD"/>
    <w:rsid w:val="00CE7065"/>
    <w:rsid w:val="00CE74C0"/>
    <w:rsid w:val="00CE76EE"/>
    <w:rsid w:val="00CE7971"/>
    <w:rsid w:val="00CE7A3E"/>
    <w:rsid w:val="00CE7AEE"/>
    <w:rsid w:val="00CE7CAE"/>
    <w:rsid w:val="00CE7F0D"/>
    <w:rsid w:val="00CE7F52"/>
    <w:rsid w:val="00CF0109"/>
    <w:rsid w:val="00CF0248"/>
    <w:rsid w:val="00CF024B"/>
    <w:rsid w:val="00CF0318"/>
    <w:rsid w:val="00CF0392"/>
    <w:rsid w:val="00CF0481"/>
    <w:rsid w:val="00CF054B"/>
    <w:rsid w:val="00CF0BF5"/>
    <w:rsid w:val="00CF0C12"/>
    <w:rsid w:val="00CF0CD8"/>
    <w:rsid w:val="00CF1032"/>
    <w:rsid w:val="00CF1049"/>
    <w:rsid w:val="00CF104D"/>
    <w:rsid w:val="00CF1614"/>
    <w:rsid w:val="00CF1654"/>
    <w:rsid w:val="00CF1836"/>
    <w:rsid w:val="00CF1A58"/>
    <w:rsid w:val="00CF1EDA"/>
    <w:rsid w:val="00CF21FC"/>
    <w:rsid w:val="00CF22E4"/>
    <w:rsid w:val="00CF22FD"/>
    <w:rsid w:val="00CF2601"/>
    <w:rsid w:val="00CF265F"/>
    <w:rsid w:val="00CF26F5"/>
    <w:rsid w:val="00CF28FD"/>
    <w:rsid w:val="00CF2B77"/>
    <w:rsid w:val="00CF2F58"/>
    <w:rsid w:val="00CF30A8"/>
    <w:rsid w:val="00CF32E6"/>
    <w:rsid w:val="00CF3599"/>
    <w:rsid w:val="00CF3672"/>
    <w:rsid w:val="00CF3709"/>
    <w:rsid w:val="00CF3B9B"/>
    <w:rsid w:val="00CF3F5E"/>
    <w:rsid w:val="00CF44FD"/>
    <w:rsid w:val="00CF48BE"/>
    <w:rsid w:val="00CF4ADB"/>
    <w:rsid w:val="00CF4C07"/>
    <w:rsid w:val="00CF4DD8"/>
    <w:rsid w:val="00CF4FAA"/>
    <w:rsid w:val="00CF5014"/>
    <w:rsid w:val="00CF50CD"/>
    <w:rsid w:val="00CF539C"/>
    <w:rsid w:val="00CF53D9"/>
    <w:rsid w:val="00CF553F"/>
    <w:rsid w:val="00CF5A94"/>
    <w:rsid w:val="00CF5D5D"/>
    <w:rsid w:val="00CF60BC"/>
    <w:rsid w:val="00CF63D7"/>
    <w:rsid w:val="00CF663F"/>
    <w:rsid w:val="00CF66D4"/>
    <w:rsid w:val="00CF66DE"/>
    <w:rsid w:val="00CF6842"/>
    <w:rsid w:val="00CF6930"/>
    <w:rsid w:val="00CF693C"/>
    <w:rsid w:val="00CF6CBD"/>
    <w:rsid w:val="00CF6DC9"/>
    <w:rsid w:val="00CF714D"/>
    <w:rsid w:val="00CF73E5"/>
    <w:rsid w:val="00CF7CB3"/>
    <w:rsid w:val="00CF7CF3"/>
    <w:rsid w:val="00CF7D66"/>
    <w:rsid w:val="00D00001"/>
    <w:rsid w:val="00D000A2"/>
    <w:rsid w:val="00D000E5"/>
    <w:rsid w:val="00D00548"/>
    <w:rsid w:val="00D009F1"/>
    <w:rsid w:val="00D00A4F"/>
    <w:rsid w:val="00D01078"/>
    <w:rsid w:val="00D010BF"/>
    <w:rsid w:val="00D01A75"/>
    <w:rsid w:val="00D01BE1"/>
    <w:rsid w:val="00D02393"/>
    <w:rsid w:val="00D023C9"/>
    <w:rsid w:val="00D0243D"/>
    <w:rsid w:val="00D024AE"/>
    <w:rsid w:val="00D02546"/>
    <w:rsid w:val="00D02565"/>
    <w:rsid w:val="00D025A1"/>
    <w:rsid w:val="00D0293A"/>
    <w:rsid w:val="00D02A73"/>
    <w:rsid w:val="00D02E15"/>
    <w:rsid w:val="00D03210"/>
    <w:rsid w:val="00D034DA"/>
    <w:rsid w:val="00D035DD"/>
    <w:rsid w:val="00D03708"/>
    <w:rsid w:val="00D039FD"/>
    <w:rsid w:val="00D03EBA"/>
    <w:rsid w:val="00D03EF9"/>
    <w:rsid w:val="00D0401C"/>
    <w:rsid w:val="00D040A2"/>
    <w:rsid w:val="00D043ED"/>
    <w:rsid w:val="00D048CA"/>
    <w:rsid w:val="00D048E3"/>
    <w:rsid w:val="00D049CB"/>
    <w:rsid w:val="00D049E5"/>
    <w:rsid w:val="00D04E44"/>
    <w:rsid w:val="00D04EB1"/>
    <w:rsid w:val="00D050CF"/>
    <w:rsid w:val="00D052D6"/>
    <w:rsid w:val="00D05579"/>
    <w:rsid w:val="00D056D1"/>
    <w:rsid w:val="00D057E3"/>
    <w:rsid w:val="00D05A13"/>
    <w:rsid w:val="00D05C6B"/>
    <w:rsid w:val="00D05DB8"/>
    <w:rsid w:val="00D05FD0"/>
    <w:rsid w:val="00D05FD5"/>
    <w:rsid w:val="00D06301"/>
    <w:rsid w:val="00D06438"/>
    <w:rsid w:val="00D06484"/>
    <w:rsid w:val="00D06791"/>
    <w:rsid w:val="00D06ACF"/>
    <w:rsid w:val="00D06B19"/>
    <w:rsid w:val="00D06C25"/>
    <w:rsid w:val="00D07092"/>
    <w:rsid w:val="00D071A5"/>
    <w:rsid w:val="00D0725B"/>
    <w:rsid w:val="00D07510"/>
    <w:rsid w:val="00D0763F"/>
    <w:rsid w:val="00D077C0"/>
    <w:rsid w:val="00D079B4"/>
    <w:rsid w:val="00D07FEF"/>
    <w:rsid w:val="00D10149"/>
    <w:rsid w:val="00D10723"/>
    <w:rsid w:val="00D10AB4"/>
    <w:rsid w:val="00D10BA5"/>
    <w:rsid w:val="00D10DA9"/>
    <w:rsid w:val="00D1146A"/>
    <w:rsid w:val="00D11609"/>
    <w:rsid w:val="00D1173C"/>
    <w:rsid w:val="00D117EF"/>
    <w:rsid w:val="00D118A8"/>
    <w:rsid w:val="00D11A28"/>
    <w:rsid w:val="00D11F63"/>
    <w:rsid w:val="00D1217C"/>
    <w:rsid w:val="00D12180"/>
    <w:rsid w:val="00D12445"/>
    <w:rsid w:val="00D1246E"/>
    <w:rsid w:val="00D124D1"/>
    <w:rsid w:val="00D12C91"/>
    <w:rsid w:val="00D12D8E"/>
    <w:rsid w:val="00D12E52"/>
    <w:rsid w:val="00D12FCA"/>
    <w:rsid w:val="00D136A7"/>
    <w:rsid w:val="00D13878"/>
    <w:rsid w:val="00D139D4"/>
    <w:rsid w:val="00D13CA9"/>
    <w:rsid w:val="00D13CE1"/>
    <w:rsid w:val="00D13D99"/>
    <w:rsid w:val="00D13E2F"/>
    <w:rsid w:val="00D14003"/>
    <w:rsid w:val="00D140C2"/>
    <w:rsid w:val="00D14388"/>
    <w:rsid w:val="00D1474D"/>
    <w:rsid w:val="00D14D67"/>
    <w:rsid w:val="00D14DB8"/>
    <w:rsid w:val="00D15400"/>
    <w:rsid w:val="00D15436"/>
    <w:rsid w:val="00D15667"/>
    <w:rsid w:val="00D1569F"/>
    <w:rsid w:val="00D15962"/>
    <w:rsid w:val="00D15965"/>
    <w:rsid w:val="00D1597F"/>
    <w:rsid w:val="00D15E36"/>
    <w:rsid w:val="00D15E55"/>
    <w:rsid w:val="00D15F7A"/>
    <w:rsid w:val="00D16155"/>
    <w:rsid w:val="00D1638C"/>
    <w:rsid w:val="00D163E8"/>
    <w:rsid w:val="00D1663A"/>
    <w:rsid w:val="00D166EB"/>
    <w:rsid w:val="00D16734"/>
    <w:rsid w:val="00D171AA"/>
    <w:rsid w:val="00D172EE"/>
    <w:rsid w:val="00D17731"/>
    <w:rsid w:val="00D17B04"/>
    <w:rsid w:val="00D17B21"/>
    <w:rsid w:val="00D17C9F"/>
    <w:rsid w:val="00D17F37"/>
    <w:rsid w:val="00D200C1"/>
    <w:rsid w:val="00D202EB"/>
    <w:rsid w:val="00D20370"/>
    <w:rsid w:val="00D20597"/>
    <w:rsid w:val="00D209A1"/>
    <w:rsid w:val="00D20A51"/>
    <w:rsid w:val="00D20BC4"/>
    <w:rsid w:val="00D20DED"/>
    <w:rsid w:val="00D20E40"/>
    <w:rsid w:val="00D20F34"/>
    <w:rsid w:val="00D2115F"/>
    <w:rsid w:val="00D211F8"/>
    <w:rsid w:val="00D211FB"/>
    <w:rsid w:val="00D212CB"/>
    <w:rsid w:val="00D21379"/>
    <w:rsid w:val="00D214E3"/>
    <w:rsid w:val="00D215AB"/>
    <w:rsid w:val="00D21B21"/>
    <w:rsid w:val="00D21C6E"/>
    <w:rsid w:val="00D21EB3"/>
    <w:rsid w:val="00D21EFA"/>
    <w:rsid w:val="00D21F43"/>
    <w:rsid w:val="00D2228C"/>
    <w:rsid w:val="00D224A4"/>
    <w:rsid w:val="00D2286D"/>
    <w:rsid w:val="00D228FA"/>
    <w:rsid w:val="00D229C0"/>
    <w:rsid w:val="00D22DB6"/>
    <w:rsid w:val="00D23011"/>
    <w:rsid w:val="00D233AB"/>
    <w:rsid w:val="00D24007"/>
    <w:rsid w:val="00D24133"/>
    <w:rsid w:val="00D243CE"/>
    <w:rsid w:val="00D243D1"/>
    <w:rsid w:val="00D24546"/>
    <w:rsid w:val="00D2458C"/>
    <w:rsid w:val="00D2496D"/>
    <w:rsid w:val="00D24B49"/>
    <w:rsid w:val="00D24ED8"/>
    <w:rsid w:val="00D25044"/>
    <w:rsid w:val="00D2516A"/>
    <w:rsid w:val="00D25544"/>
    <w:rsid w:val="00D255C7"/>
    <w:rsid w:val="00D25776"/>
    <w:rsid w:val="00D25FD0"/>
    <w:rsid w:val="00D2631F"/>
    <w:rsid w:val="00D264E7"/>
    <w:rsid w:val="00D26630"/>
    <w:rsid w:val="00D2666A"/>
    <w:rsid w:val="00D26698"/>
    <w:rsid w:val="00D268CA"/>
    <w:rsid w:val="00D268D8"/>
    <w:rsid w:val="00D269CD"/>
    <w:rsid w:val="00D26C9B"/>
    <w:rsid w:val="00D26DAE"/>
    <w:rsid w:val="00D27216"/>
    <w:rsid w:val="00D272AB"/>
    <w:rsid w:val="00D2763A"/>
    <w:rsid w:val="00D2763B"/>
    <w:rsid w:val="00D276C2"/>
    <w:rsid w:val="00D2774A"/>
    <w:rsid w:val="00D2778C"/>
    <w:rsid w:val="00D27A22"/>
    <w:rsid w:val="00D27B05"/>
    <w:rsid w:val="00D301F5"/>
    <w:rsid w:val="00D30211"/>
    <w:rsid w:val="00D307B0"/>
    <w:rsid w:val="00D30D3C"/>
    <w:rsid w:val="00D30DCB"/>
    <w:rsid w:val="00D30EBA"/>
    <w:rsid w:val="00D30F23"/>
    <w:rsid w:val="00D30F7D"/>
    <w:rsid w:val="00D31091"/>
    <w:rsid w:val="00D31178"/>
    <w:rsid w:val="00D314DD"/>
    <w:rsid w:val="00D3157B"/>
    <w:rsid w:val="00D3165D"/>
    <w:rsid w:val="00D3198E"/>
    <w:rsid w:val="00D31A86"/>
    <w:rsid w:val="00D31B43"/>
    <w:rsid w:val="00D31C6B"/>
    <w:rsid w:val="00D31D50"/>
    <w:rsid w:val="00D321D0"/>
    <w:rsid w:val="00D3226F"/>
    <w:rsid w:val="00D32285"/>
    <w:rsid w:val="00D325D0"/>
    <w:rsid w:val="00D32780"/>
    <w:rsid w:val="00D32A6A"/>
    <w:rsid w:val="00D32E66"/>
    <w:rsid w:val="00D32E8A"/>
    <w:rsid w:val="00D32EEC"/>
    <w:rsid w:val="00D33072"/>
    <w:rsid w:val="00D330A0"/>
    <w:rsid w:val="00D33487"/>
    <w:rsid w:val="00D3369B"/>
    <w:rsid w:val="00D337E1"/>
    <w:rsid w:val="00D3395D"/>
    <w:rsid w:val="00D33B86"/>
    <w:rsid w:val="00D33D7B"/>
    <w:rsid w:val="00D33D94"/>
    <w:rsid w:val="00D34077"/>
    <w:rsid w:val="00D34115"/>
    <w:rsid w:val="00D345A2"/>
    <w:rsid w:val="00D34767"/>
    <w:rsid w:val="00D347B8"/>
    <w:rsid w:val="00D34845"/>
    <w:rsid w:val="00D348BB"/>
    <w:rsid w:val="00D34D42"/>
    <w:rsid w:val="00D350C1"/>
    <w:rsid w:val="00D35109"/>
    <w:rsid w:val="00D3552A"/>
    <w:rsid w:val="00D35559"/>
    <w:rsid w:val="00D35586"/>
    <w:rsid w:val="00D356AF"/>
    <w:rsid w:val="00D35E57"/>
    <w:rsid w:val="00D3641E"/>
    <w:rsid w:val="00D36587"/>
    <w:rsid w:val="00D366D9"/>
    <w:rsid w:val="00D36774"/>
    <w:rsid w:val="00D367EA"/>
    <w:rsid w:val="00D36851"/>
    <w:rsid w:val="00D36CFC"/>
    <w:rsid w:val="00D36E58"/>
    <w:rsid w:val="00D37137"/>
    <w:rsid w:val="00D37280"/>
    <w:rsid w:val="00D37825"/>
    <w:rsid w:val="00D37ADF"/>
    <w:rsid w:val="00D37D8D"/>
    <w:rsid w:val="00D37E6D"/>
    <w:rsid w:val="00D37ED6"/>
    <w:rsid w:val="00D37FD5"/>
    <w:rsid w:val="00D4002B"/>
    <w:rsid w:val="00D40301"/>
    <w:rsid w:val="00D404C1"/>
    <w:rsid w:val="00D404DC"/>
    <w:rsid w:val="00D404E2"/>
    <w:rsid w:val="00D405CB"/>
    <w:rsid w:val="00D40734"/>
    <w:rsid w:val="00D40BDC"/>
    <w:rsid w:val="00D40C24"/>
    <w:rsid w:val="00D40D27"/>
    <w:rsid w:val="00D410EA"/>
    <w:rsid w:val="00D411E2"/>
    <w:rsid w:val="00D412EC"/>
    <w:rsid w:val="00D41734"/>
    <w:rsid w:val="00D41F67"/>
    <w:rsid w:val="00D41FF7"/>
    <w:rsid w:val="00D4221D"/>
    <w:rsid w:val="00D42870"/>
    <w:rsid w:val="00D42BC0"/>
    <w:rsid w:val="00D42C80"/>
    <w:rsid w:val="00D4306C"/>
    <w:rsid w:val="00D435EB"/>
    <w:rsid w:val="00D437F4"/>
    <w:rsid w:val="00D439AB"/>
    <w:rsid w:val="00D43CDD"/>
    <w:rsid w:val="00D43D44"/>
    <w:rsid w:val="00D440A9"/>
    <w:rsid w:val="00D44146"/>
    <w:rsid w:val="00D4457F"/>
    <w:rsid w:val="00D447E1"/>
    <w:rsid w:val="00D449E1"/>
    <w:rsid w:val="00D44ACF"/>
    <w:rsid w:val="00D44DA8"/>
    <w:rsid w:val="00D44DAF"/>
    <w:rsid w:val="00D44E1B"/>
    <w:rsid w:val="00D44E5D"/>
    <w:rsid w:val="00D451A3"/>
    <w:rsid w:val="00D4544E"/>
    <w:rsid w:val="00D45B79"/>
    <w:rsid w:val="00D45B8A"/>
    <w:rsid w:val="00D45F0E"/>
    <w:rsid w:val="00D46079"/>
    <w:rsid w:val="00D46396"/>
    <w:rsid w:val="00D4655D"/>
    <w:rsid w:val="00D465DE"/>
    <w:rsid w:val="00D46905"/>
    <w:rsid w:val="00D4693D"/>
    <w:rsid w:val="00D46DB3"/>
    <w:rsid w:val="00D46F08"/>
    <w:rsid w:val="00D47706"/>
    <w:rsid w:val="00D477D7"/>
    <w:rsid w:val="00D47E26"/>
    <w:rsid w:val="00D47F68"/>
    <w:rsid w:val="00D50089"/>
    <w:rsid w:val="00D505DD"/>
    <w:rsid w:val="00D506FA"/>
    <w:rsid w:val="00D50785"/>
    <w:rsid w:val="00D50861"/>
    <w:rsid w:val="00D50C1B"/>
    <w:rsid w:val="00D50F83"/>
    <w:rsid w:val="00D516F6"/>
    <w:rsid w:val="00D51A5C"/>
    <w:rsid w:val="00D51BDA"/>
    <w:rsid w:val="00D51D24"/>
    <w:rsid w:val="00D51DEC"/>
    <w:rsid w:val="00D51F44"/>
    <w:rsid w:val="00D52617"/>
    <w:rsid w:val="00D52755"/>
    <w:rsid w:val="00D52897"/>
    <w:rsid w:val="00D5295B"/>
    <w:rsid w:val="00D53016"/>
    <w:rsid w:val="00D530E3"/>
    <w:rsid w:val="00D53A44"/>
    <w:rsid w:val="00D53BD4"/>
    <w:rsid w:val="00D53C26"/>
    <w:rsid w:val="00D53E40"/>
    <w:rsid w:val="00D53EB1"/>
    <w:rsid w:val="00D54446"/>
    <w:rsid w:val="00D54596"/>
    <w:rsid w:val="00D546A9"/>
    <w:rsid w:val="00D54A30"/>
    <w:rsid w:val="00D54C2D"/>
    <w:rsid w:val="00D54C9C"/>
    <w:rsid w:val="00D54D9A"/>
    <w:rsid w:val="00D5547D"/>
    <w:rsid w:val="00D556FD"/>
    <w:rsid w:val="00D55CA8"/>
    <w:rsid w:val="00D56117"/>
    <w:rsid w:val="00D56343"/>
    <w:rsid w:val="00D56389"/>
    <w:rsid w:val="00D56625"/>
    <w:rsid w:val="00D56662"/>
    <w:rsid w:val="00D5687B"/>
    <w:rsid w:val="00D5697F"/>
    <w:rsid w:val="00D56E6D"/>
    <w:rsid w:val="00D5718D"/>
    <w:rsid w:val="00D573F7"/>
    <w:rsid w:val="00D57513"/>
    <w:rsid w:val="00D5754F"/>
    <w:rsid w:val="00D57700"/>
    <w:rsid w:val="00D57706"/>
    <w:rsid w:val="00D5779F"/>
    <w:rsid w:val="00D57A11"/>
    <w:rsid w:val="00D57E88"/>
    <w:rsid w:val="00D601B3"/>
    <w:rsid w:val="00D609AF"/>
    <w:rsid w:val="00D60ABB"/>
    <w:rsid w:val="00D60F15"/>
    <w:rsid w:val="00D61350"/>
    <w:rsid w:val="00D614BE"/>
    <w:rsid w:val="00D614CE"/>
    <w:rsid w:val="00D61718"/>
    <w:rsid w:val="00D6174F"/>
    <w:rsid w:val="00D617A8"/>
    <w:rsid w:val="00D61A40"/>
    <w:rsid w:val="00D61D58"/>
    <w:rsid w:val="00D61DD9"/>
    <w:rsid w:val="00D62274"/>
    <w:rsid w:val="00D6232B"/>
    <w:rsid w:val="00D62572"/>
    <w:rsid w:val="00D62612"/>
    <w:rsid w:val="00D6289A"/>
    <w:rsid w:val="00D629F7"/>
    <w:rsid w:val="00D62AA4"/>
    <w:rsid w:val="00D62C29"/>
    <w:rsid w:val="00D62CD2"/>
    <w:rsid w:val="00D62E03"/>
    <w:rsid w:val="00D6316A"/>
    <w:rsid w:val="00D632DD"/>
    <w:rsid w:val="00D633B2"/>
    <w:rsid w:val="00D634B9"/>
    <w:rsid w:val="00D637EE"/>
    <w:rsid w:val="00D637FD"/>
    <w:rsid w:val="00D63B85"/>
    <w:rsid w:val="00D643F5"/>
    <w:rsid w:val="00D64792"/>
    <w:rsid w:val="00D64861"/>
    <w:rsid w:val="00D64951"/>
    <w:rsid w:val="00D649C5"/>
    <w:rsid w:val="00D64BD1"/>
    <w:rsid w:val="00D64E23"/>
    <w:rsid w:val="00D65148"/>
    <w:rsid w:val="00D652B0"/>
    <w:rsid w:val="00D655B8"/>
    <w:rsid w:val="00D65668"/>
    <w:rsid w:val="00D65729"/>
    <w:rsid w:val="00D65F0C"/>
    <w:rsid w:val="00D661AE"/>
    <w:rsid w:val="00D666D9"/>
    <w:rsid w:val="00D6676E"/>
    <w:rsid w:val="00D66823"/>
    <w:rsid w:val="00D6692F"/>
    <w:rsid w:val="00D66BDE"/>
    <w:rsid w:val="00D66C65"/>
    <w:rsid w:val="00D66CD7"/>
    <w:rsid w:val="00D66E22"/>
    <w:rsid w:val="00D6709B"/>
    <w:rsid w:val="00D671A8"/>
    <w:rsid w:val="00D6735C"/>
    <w:rsid w:val="00D67495"/>
    <w:rsid w:val="00D67711"/>
    <w:rsid w:val="00D67DA4"/>
    <w:rsid w:val="00D70232"/>
    <w:rsid w:val="00D70511"/>
    <w:rsid w:val="00D70A32"/>
    <w:rsid w:val="00D70B36"/>
    <w:rsid w:val="00D70B63"/>
    <w:rsid w:val="00D70BAF"/>
    <w:rsid w:val="00D70C2F"/>
    <w:rsid w:val="00D70E54"/>
    <w:rsid w:val="00D7104A"/>
    <w:rsid w:val="00D71238"/>
    <w:rsid w:val="00D713C0"/>
    <w:rsid w:val="00D71449"/>
    <w:rsid w:val="00D7146C"/>
    <w:rsid w:val="00D714DB"/>
    <w:rsid w:val="00D71542"/>
    <w:rsid w:val="00D71588"/>
    <w:rsid w:val="00D7162A"/>
    <w:rsid w:val="00D716D2"/>
    <w:rsid w:val="00D718A1"/>
    <w:rsid w:val="00D7195F"/>
    <w:rsid w:val="00D71A49"/>
    <w:rsid w:val="00D71AE7"/>
    <w:rsid w:val="00D71FE4"/>
    <w:rsid w:val="00D7255C"/>
    <w:rsid w:val="00D72761"/>
    <w:rsid w:val="00D72794"/>
    <w:rsid w:val="00D7290F"/>
    <w:rsid w:val="00D72A3D"/>
    <w:rsid w:val="00D7300E"/>
    <w:rsid w:val="00D733A3"/>
    <w:rsid w:val="00D73478"/>
    <w:rsid w:val="00D73867"/>
    <w:rsid w:val="00D73B0D"/>
    <w:rsid w:val="00D73C25"/>
    <w:rsid w:val="00D73E66"/>
    <w:rsid w:val="00D73EB3"/>
    <w:rsid w:val="00D74283"/>
    <w:rsid w:val="00D745F6"/>
    <w:rsid w:val="00D74A52"/>
    <w:rsid w:val="00D74B73"/>
    <w:rsid w:val="00D74D90"/>
    <w:rsid w:val="00D74E45"/>
    <w:rsid w:val="00D7511B"/>
    <w:rsid w:val="00D75892"/>
    <w:rsid w:val="00D75A87"/>
    <w:rsid w:val="00D75D58"/>
    <w:rsid w:val="00D76287"/>
    <w:rsid w:val="00D7643D"/>
    <w:rsid w:val="00D7644F"/>
    <w:rsid w:val="00D7685C"/>
    <w:rsid w:val="00D76BF9"/>
    <w:rsid w:val="00D76F8A"/>
    <w:rsid w:val="00D77085"/>
    <w:rsid w:val="00D77491"/>
    <w:rsid w:val="00D77C7F"/>
    <w:rsid w:val="00D77D18"/>
    <w:rsid w:val="00D77D88"/>
    <w:rsid w:val="00D77E4F"/>
    <w:rsid w:val="00D77F83"/>
    <w:rsid w:val="00D77F96"/>
    <w:rsid w:val="00D80210"/>
    <w:rsid w:val="00D8027B"/>
    <w:rsid w:val="00D808A8"/>
    <w:rsid w:val="00D80AD6"/>
    <w:rsid w:val="00D80B99"/>
    <w:rsid w:val="00D80C20"/>
    <w:rsid w:val="00D80E6E"/>
    <w:rsid w:val="00D810E4"/>
    <w:rsid w:val="00D813E1"/>
    <w:rsid w:val="00D815AE"/>
    <w:rsid w:val="00D815C8"/>
    <w:rsid w:val="00D8172A"/>
    <w:rsid w:val="00D81773"/>
    <w:rsid w:val="00D81C5D"/>
    <w:rsid w:val="00D81CE4"/>
    <w:rsid w:val="00D81D49"/>
    <w:rsid w:val="00D81D6A"/>
    <w:rsid w:val="00D81F2E"/>
    <w:rsid w:val="00D82152"/>
    <w:rsid w:val="00D8218E"/>
    <w:rsid w:val="00D824FB"/>
    <w:rsid w:val="00D825C3"/>
    <w:rsid w:val="00D8261A"/>
    <w:rsid w:val="00D82855"/>
    <w:rsid w:val="00D829F8"/>
    <w:rsid w:val="00D82B00"/>
    <w:rsid w:val="00D83151"/>
    <w:rsid w:val="00D83284"/>
    <w:rsid w:val="00D83654"/>
    <w:rsid w:val="00D83782"/>
    <w:rsid w:val="00D837EF"/>
    <w:rsid w:val="00D837F0"/>
    <w:rsid w:val="00D83803"/>
    <w:rsid w:val="00D83A57"/>
    <w:rsid w:val="00D83C9C"/>
    <w:rsid w:val="00D83E84"/>
    <w:rsid w:val="00D83EA7"/>
    <w:rsid w:val="00D843E4"/>
    <w:rsid w:val="00D8454A"/>
    <w:rsid w:val="00D84765"/>
    <w:rsid w:val="00D847F2"/>
    <w:rsid w:val="00D84E11"/>
    <w:rsid w:val="00D85321"/>
    <w:rsid w:val="00D853C5"/>
    <w:rsid w:val="00D85422"/>
    <w:rsid w:val="00D854D9"/>
    <w:rsid w:val="00D85ACF"/>
    <w:rsid w:val="00D85BD5"/>
    <w:rsid w:val="00D85FF8"/>
    <w:rsid w:val="00D861DF"/>
    <w:rsid w:val="00D86220"/>
    <w:rsid w:val="00D86612"/>
    <w:rsid w:val="00D866B7"/>
    <w:rsid w:val="00D86788"/>
    <w:rsid w:val="00D86849"/>
    <w:rsid w:val="00D868C1"/>
    <w:rsid w:val="00D86FC3"/>
    <w:rsid w:val="00D86FF7"/>
    <w:rsid w:val="00D87093"/>
    <w:rsid w:val="00D876BD"/>
    <w:rsid w:val="00D877C4"/>
    <w:rsid w:val="00D8793C"/>
    <w:rsid w:val="00D87953"/>
    <w:rsid w:val="00D87D5B"/>
    <w:rsid w:val="00D87E9F"/>
    <w:rsid w:val="00D90159"/>
    <w:rsid w:val="00D90366"/>
    <w:rsid w:val="00D904E9"/>
    <w:rsid w:val="00D9067C"/>
    <w:rsid w:val="00D9095D"/>
    <w:rsid w:val="00D90D4F"/>
    <w:rsid w:val="00D90DE2"/>
    <w:rsid w:val="00D9125C"/>
    <w:rsid w:val="00D913B6"/>
    <w:rsid w:val="00D91455"/>
    <w:rsid w:val="00D914F3"/>
    <w:rsid w:val="00D91BC6"/>
    <w:rsid w:val="00D91BFF"/>
    <w:rsid w:val="00D91D64"/>
    <w:rsid w:val="00D91FCF"/>
    <w:rsid w:val="00D92741"/>
    <w:rsid w:val="00D92862"/>
    <w:rsid w:val="00D92B60"/>
    <w:rsid w:val="00D92DE1"/>
    <w:rsid w:val="00D9305A"/>
    <w:rsid w:val="00D930A9"/>
    <w:rsid w:val="00D930B7"/>
    <w:rsid w:val="00D93345"/>
    <w:rsid w:val="00D93583"/>
    <w:rsid w:val="00D93837"/>
    <w:rsid w:val="00D93B9B"/>
    <w:rsid w:val="00D942A2"/>
    <w:rsid w:val="00D94337"/>
    <w:rsid w:val="00D94961"/>
    <w:rsid w:val="00D94C9F"/>
    <w:rsid w:val="00D950A6"/>
    <w:rsid w:val="00D95862"/>
    <w:rsid w:val="00D958E8"/>
    <w:rsid w:val="00D95923"/>
    <w:rsid w:val="00D95AB5"/>
    <w:rsid w:val="00D95C2E"/>
    <w:rsid w:val="00D95CBA"/>
    <w:rsid w:val="00D95FB3"/>
    <w:rsid w:val="00D960AA"/>
    <w:rsid w:val="00D9650C"/>
    <w:rsid w:val="00D96714"/>
    <w:rsid w:val="00D96992"/>
    <w:rsid w:val="00D96AD0"/>
    <w:rsid w:val="00D96CD6"/>
    <w:rsid w:val="00D9750F"/>
    <w:rsid w:val="00D97758"/>
    <w:rsid w:val="00D97786"/>
    <w:rsid w:val="00D97C25"/>
    <w:rsid w:val="00D97D2A"/>
    <w:rsid w:val="00D97D3E"/>
    <w:rsid w:val="00DA00AC"/>
    <w:rsid w:val="00DA039C"/>
    <w:rsid w:val="00DA04A8"/>
    <w:rsid w:val="00DA0618"/>
    <w:rsid w:val="00DA1200"/>
    <w:rsid w:val="00DA1255"/>
    <w:rsid w:val="00DA1473"/>
    <w:rsid w:val="00DA14CC"/>
    <w:rsid w:val="00DA15F3"/>
    <w:rsid w:val="00DA1662"/>
    <w:rsid w:val="00DA1690"/>
    <w:rsid w:val="00DA1807"/>
    <w:rsid w:val="00DA19C8"/>
    <w:rsid w:val="00DA1BF5"/>
    <w:rsid w:val="00DA1C0D"/>
    <w:rsid w:val="00DA1C8D"/>
    <w:rsid w:val="00DA1CF1"/>
    <w:rsid w:val="00DA1D7A"/>
    <w:rsid w:val="00DA1E4E"/>
    <w:rsid w:val="00DA2265"/>
    <w:rsid w:val="00DA24A6"/>
    <w:rsid w:val="00DA263B"/>
    <w:rsid w:val="00DA26C2"/>
    <w:rsid w:val="00DA2747"/>
    <w:rsid w:val="00DA2840"/>
    <w:rsid w:val="00DA2CBC"/>
    <w:rsid w:val="00DA2E33"/>
    <w:rsid w:val="00DA2EC3"/>
    <w:rsid w:val="00DA3306"/>
    <w:rsid w:val="00DA350D"/>
    <w:rsid w:val="00DA35B8"/>
    <w:rsid w:val="00DA3D6C"/>
    <w:rsid w:val="00DA3E7D"/>
    <w:rsid w:val="00DA43D5"/>
    <w:rsid w:val="00DA47EE"/>
    <w:rsid w:val="00DA4C2A"/>
    <w:rsid w:val="00DA4EBE"/>
    <w:rsid w:val="00DA5044"/>
    <w:rsid w:val="00DA51EC"/>
    <w:rsid w:val="00DA51F8"/>
    <w:rsid w:val="00DA563A"/>
    <w:rsid w:val="00DA56BE"/>
    <w:rsid w:val="00DA58E1"/>
    <w:rsid w:val="00DA59C2"/>
    <w:rsid w:val="00DA5D9C"/>
    <w:rsid w:val="00DA5E7E"/>
    <w:rsid w:val="00DA6073"/>
    <w:rsid w:val="00DA63C6"/>
    <w:rsid w:val="00DA6428"/>
    <w:rsid w:val="00DA67BD"/>
    <w:rsid w:val="00DA67D8"/>
    <w:rsid w:val="00DA6919"/>
    <w:rsid w:val="00DA693B"/>
    <w:rsid w:val="00DA6E95"/>
    <w:rsid w:val="00DA6FCB"/>
    <w:rsid w:val="00DA726A"/>
    <w:rsid w:val="00DA72D4"/>
    <w:rsid w:val="00DA79E1"/>
    <w:rsid w:val="00DA79F2"/>
    <w:rsid w:val="00DA7AD1"/>
    <w:rsid w:val="00DA7D7D"/>
    <w:rsid w:val="00DA7D9E"/>
    <w:rsid w:val="00DB003F"/>
    <w:rsid w:val="00DB014B"/>
    <w:rsid w:val="00DB0278"/>
    <w:rsid w:val="00DB0640"/>
    <w:rsid w:val="00DB0699"/>
    <w:rsid w:val="00DB0A55"/>
    <w:rsid w:val="00DB0A65"/>
    <w:rsid w:val="00DB0F48"/>
    <w:rsid w:val="00DB0F99"/>
    <w:rsid w:val="00DB1145"/>
    <w:rsid w:val="00DB15B7"/>
    <w:rsid w:val="00DB1AE6"/>
    <w:rsid w:val="00DB1AEB"/>
    <w:rsid w:val="00DB1FC6"/>
    <w:rsid w:val="00DB2579"/>
    <w:rsid w:val="00DB26A9"/>
    <w:rsid w:val="00DB27DA"/>
    <w:rsid w:val="00DB286E"/>
    <w:rsid w:val="00DB2CE4"/>
    <w:rsid w:val="00DB2DB0"/>
    <w:rsid w:val="00DB31DF"/>
    <w:rsid w:val="00DB3215"/>
    <w:rsid w:val="00DB34F0"/>
    <w:rsid w:val="00DB3910"/>
    <w:rsid w:val="00DB3EBD"/>
    <w:rsid w:val="00DB3ED6"/>
    <w:rsid w:val="00DB4077"/>
    <w:rsid w:val="00DB4232"/>
    <w:rsid w:val="00DB4595"/>
    <w:rsid w:val="00DB47BE"/>
    <w:rsid w:val="00DB48AF"/>
    <w:rsid w:val="00DB4BBC"/>
    <w:rsid w:val="00DB4C74"/>
    <w:rsid w:val="00DB4D0A"/>
    <w:rsid w:val="00DB4D79"/>
    <w:rsid w:val="00DB507E"/>
    <w:rsid w:val="00DB543C"/>
    <w:rsid w:val="00DB5ADC"/>
    <w:rsid w:val="00DB5C76"/>
    <w:rsid w:val="00DB5D22"/>
    <w:rsid w:val="00DB6260"/>
    <w:rsid w:val="00DB633A"/>
    <w:rsid w:val="00DB651D"/>
    <w:rsid w:val="00DB66CF"/>
    <w:rsid w:val="00DB6A2E"/>
    <w:rsid w:val="00DB7179"/>
    <w:rsid w:val="00DB7A0A"/>
    <w:rsid w:val="00DB7CFD"/>
    <w:rsid w:val="00DB7F6A"/>
    <w:rsid w:val="00DC030E"/>
    <w:rsid w:val="00DC0BF7"/>
    <w:rsid w:val="00DC0C5F"/>
    <w:rsid w:val="00DC1408"/>
    <w:rsid w:val="00DC1821"/>
    <w:rsid w:val="00DC1922"/>
    <w:rsid w:val="00DC19B9"/>
    <w:rsid w:val="00DC19E2"/>
    <w:rsid w:val="00DC1C17"/>
    <w:rsid w:val="00DC1F5B"/>
    <w:rsid w:val="00DC1FF2"/>
    <w:rsid w:val="00DC2632"/>
    <w:rsid w:val="00DC29B8"/>
    <w:rsid w:val="00DC2ABC"/>
    <w:rsid w:val="00DC2CA7"/>
    <w:rsid w:val="00DC3128"/>
    <w:rsid w:val="00DC33A3"/>
    <w:rsid w:val="00DC3A89"/>
    <w:rsid w:val="00DC3DCF"/>
    <w:rsid w:val="00DC3DFE"/>
    <w:rsid w:val="00DC3F07"/>
    <w:rsid w:val="00DC41DE"/>
    <w:rsid w:val="00DC47DE"/>
    <w:rsid w:val="00DC4880"/>
    <w:rsid w:val="00DC48CF"/>
    <w:rsid w:val="00DC4C0B"/>
    <w:rsid w:val="00DC4CE5"/>
    <w:rsid w:val="00DC4D8F"/>
    <w:rsid w:val="00DC4D99"/>
    <w:rsid w:val="00DC5384"/>
    <w:rsid w:val="00DC573C"/>
    <w:rsid w:val="00DC57F0"/>
    <w:rsid w:val="00DC5831"/>
    <w:rsid w:val="00DC591A"/>
    <w:rsid w:val="00DC5C51"/>
    <w:rsid w:val="00DC5CBC"/>
    <w:rsid w:val="00DC5DF7"/>
    <w:rsid w:val="00DC6119"/>
    <w:rsid w:val="00DC6564"/>
    <w:rsid w:val="00DC6817"/>
    <w:rsid w:val="00DC68E4"/>
    <w:rsid w:val="00DC6E31"/>
    <w:rsid w:val="00DC7068"/>
    <w:rsid w:val="00DC71E9"/>
    <w:rsid w:val="00DC7283"/>
    <w:rsid w:val="00DC765D"/>
    <w:rsid w:val="00DC78DD"/>
    <w:rsid w:val="00DC79D0"/>
    <w:rsid w:val="00DC79E1"/>
    <w:rsid w:val="00DC7AAC"/>
    <w:rsid w:val="00DC7BFC"/>
    <w:rsid w:val="00DD02DE"/>
    <w:rsid w:val="00DD0307"/>
    <w:rsid w:val="00DD059F"/>
    <w:rsid w:val="00DD0756"/>
    <w:rsid w:val="00DD09BD"/>
    <w:rsid w:val="00DD0C02"/>
    <w:rsid w:val="00DD0D30"/>
    <w:rsid w:val="00DD10A0"/>
    <w:rsid w:val="00DD11A2"/>
    <w:rsid w:val="00DD14FF"/>
    <w:rsid w:val="00DD1676"/>
    <w:rsid w:val="00DD1709"/>
    <w:rsid w:val="00DD173F"/>
    <w:rsid w:val="00DD1774"/>
    <w:rsid w:val="00DD18FD"/>
    <w:rsid w:val="00DD1BA3"/>
    <w:rsid w:val="00DD1C1D"/>
    <w:rsid w:val="00DD2026"/>
    <w:rsid w:val="00DD21D8"/>
    <w:rsid w:val="00DD2260"/>
    <w:rsid w:val="00DD237B"/>
    <w:rsid w:val="00DD24F4"/>
    <w:rsid w:val="00DD252E"/>
    <w:rsid w:val="00DD255D"/>
    <w:rsid w:val="00DD2597"/>
    <w:rsid w:val="00DD26AD"/>
    <w:rsid w:val="00DD2977"/>
    <w:rsid w:val="00DD2CAF"/>
    <w:rsid w:val="00DD2CDE"/>
    <w:rsid w:val="00DD2CEC"/>
    <w:rsid w:val="00DD2EE0"/>
    <w:rsid w:val="00DD30C4"/>
    <w:rsid w:val="00DD32C5"/>
    <w:rsid w:val="00DD3419"/>
    <w:rsid w:val="00DD3454"/>
    <w:rsid w:val="00DD35FA"/>
    <w:rsid w:val="00DD37BF"/>
    <w:rsid w:val="00DD3AAE"/>
    <w:rsid w:val="00DD3ACB"/>
    <w:rsid w:val="00DD3C45"/>
    <w:rsid w:val="00DD406E"/>
    <w:rsid w:val="00DD4073"/>
    <w:rsid w:val="00DD41B5"/>
    <w:rsid w:val="00DD4311"/>
    <w:rsid w:val="00DD43B8"/>
    <w:rsid w:val="00DD455B"/>
    <w:rsid w:val="00DD46FA"/>
    <w:rsid w:val="00DD485C"/>
    <w:rsid w:val="00DD4885"/>
    <w:rsid w:val="00DD4961"/>
    <w:rsid w:val="00DD4BA8"/>
    <w:rsid w:val="00DD4FEC"/>
    <w:rsid w:val="00DD5039"/>
    <w:rsid w:val="00DD505C"/>
    <w:rsid w:val="00DD51B2"/>
    <w:rsid w:val="00DD532B"/>
    <w:rsid w:val="00DD55CA"/>
    <w:rsid w:val="00DD5718"/>
    <w:rsid w:val="00DD5760"/>
    <w:rsid w:val="00DD5F15"/>
    <w:rsid w:val="00DD642E"/>
    <w:rsid w:val="00DD6470"/>
    <w:rsid w:val="00DD64B3"/>
    <w:rsid w:val="00DD6516"/>
    <w:rsid w:val="00DD6728"/>
    <w:rsid w:val="00DD6988"/>
    <w:rsid w:val="00DD6BD5"/>
    <w:rsid w:val="00DD6F0B"/>
    <w:rsid w:val="00DD7251"/>
    <w:rsid w:val="00DD75FC"/>
    <w:rsid w:val="00DD767A"/>
    <w:rsid w:val="00DD7709"/>
    <w:rsid w:val="00DD785A"/>
    <w:rsid w:val="00DD799B"/>
    <w:rsid w:val="00DE0457"/>
    <w:rsid w:val="00DE04DE"/>
    <w:rsid w:val="00DE07B2"/>
    <w:rsid w:val="00DE08C8"/>
    <w:rsid w:val="00DE0958"/>
    <w:rsid w:val="00DE0B65"/>
    <w:rsid w:val="00DE10CF"/>
    <w:rsid w:val="00DE1165"/>
    <w:rsid w:val="00DE11AB"/>
    <w:rsid w:val="00DE11D7"/>
    <w:rsid w:val="00DE12AF"/>
    <w:rsid w:val="00DE145E"/>
    <w:rsid w:val="00DE1512"/>
    <w:rsid w:val="00DE15F8"/>
    <w:rsid w:val="00DE168C"/>
    <w:rsid w:val="00DE17A8"/>
    <w:rsid w:val="00DE1D04"/>
    <w:rsid w:val="00DE1DE8"/>
    <w:rsid w:val="00DE1F15"/>
    <w:rsid w:val="00DE22F1"/>
    <w:rsid w:val="00DE22FE"/>
    <w:rsid w:val="00DE2355"/>
    <w:rsid w:val="00DE2BFD"/>
    <w:rsid w:val="00DE314A"/>
    <w:rsid w:val="00DE3196"/>
    <w:rsid w:val="00DE3319"/>
    <w:rsid w:val="00DE3397"/>
    <w:rsid w:val="00DE375C"/>
    <w:rsid w:val="00DE395C"/>
    <w:rsid w:val="00DE410A"/>
    <w:rsid w:val="00DE4159"/>
    <w:rsid w:val="00DE41BB"/>
    <w:rsid w:val="00DE4507"/>
    <w:rsid w:val="00DE4632"/>
    <w:rsid w:val="00DE46F8"/>
    <w:rsid w:val="00DE4E01"/>
    <w:rsid w:val="00DE4E7D"/>
    <w:rsid w:val="00DE4EE8"/>
    <w:rsid w:val="00DE4FF0"/>
    <w:rsid w:val="00DE5079"/>
    <w:rsid w:val="00DE519D"/>
    <w:rsid w:val="00DE5649"/>
    <w:rsid w:val="00DE569D"/>
    <w:rsid w:val="00DE56B2"/>
    <w:rsid w:val="00DE5765"/>
    <w:rsid w:val="00DE58BE"/>
    <w:rsid w:val="00DE5DF6"/>
    <w:rsid w:val="00DE5E4C"/>
    <w:rsid w:val="00DE5F2B"/>
    <w:rsid w:val="00DE612A"/>
    <w:rsid w:val="00DE6420"/>
    <w:rsid w:val="00DE643F"/>
    <w:rsid w:val="00DE6675"/>
    <w:rsid w:val="00DE67B2"/>
    <w:rsid w:val="00DE68F8"/>
    <w:rsid w:val="00DE68FC"/>
    <w:rsid w:val="00DE6958"/>
    <w:rsid w:val="00DE6B16"/>
    <w:rsid w:val="00DE6B46"/>
    <w:rsid w:val="00DE6BD1"/>
    <w:rsid w:val="00DE6F59"/>
    <w:rsid w:val="00DE6FB7"/>
    <w:rsid w:val="00DE7044"/>
    <w:rsid w:val="00DE749B"/>
    <w:rsid w:val="00DE7644"/>
    <w:rsid w:val="00DE7BCD"/>
    <w:rsid w:val="00DE7CAE"/>
    <w:rsid w:val="00DE7DBD"/>
    <w:rsid w:val="00DE7DE0"/>
    <w:rsid w:val="00DE7E82"/>
    <w:rsid w:val="00DF013A"/>
    <w:rsid w:val="00DF0282"/>
    <w:rsid w:val="00DF052D"/>
    <w:rsid w:val="00DF0835"/>
    <w:rsid w:val="00DF09A9"/>
    <w:rsid w:val="00DF0A3A"/>
    <w:rsid w:val="00DF0BAC"/>
    <w:rsid w:val="00DF0C95"/>
    <w:rsid w:val="00DF0E2B"/>
    <w:rsid w:val="00DF0EAF"/>
    <w:rsid w:val="00DF0F7A"/>
    <w:rsid w:val="00DF106F"/>
    <w:rsid w:val="00DF14BE"/>
    <w:rsid w:val="00DF1A8A"/>
    <w:rsid w:val="00DF1BFE"/>
    <w:rsid w:val="00DF1CAE"/>
    <w:rsid w:val="00DF1D29"/>
    <w:rsid w:val="00DF1FD6"/>
    <w:rsid w:val="00DF213C"/>
    <w:rsid w:val="00DF25A3"/>
    <w:rsid w:val="00DF2874"/>
    <w:rsid w:val="00DF2941"/>
    <w:rsid w:val="00DF2AD4"/>
    <w:rsid w:val="00DF2F53"/>
    <w:rsid w:val="00DF3561"/>
    <w:rsid w:val="00DF36F3"/>
    <w:rsid w:val="00DF36F8"/>
    <w:rsid w:val="00DF37C6"/>
    <w:rsid w:val="00DF3819"/>
    <w:rsid w:val="00DF3A18"/>
    <w:rsid w:val="00DF3BAE"/>
    <w:rsid w:val="00DF3D76"/>
    <w:rsid w:val="00DF3F71"/>
    <w:rsid w:val="00DF41FB"/>
    <w:rsid w:val="00DF4337"/>
    <w:rsid w:val="00DF4444"/>
    <w:rsid w:val="00DF44B6"/>
    <w:rsid w:val="00DF498A"/>
    <w:rsid w:val="00DF4B35"/>
    <w:rsid w:val="00DF4BB9"/>
    <w:rsid w:val="00DF4CD5"/>
    <w:rsid w:val="00DF4FC3"/>
    <w:rsid w:val="00DF4FF8"/>
    <w:rsid w:val="00DF509E"/>
    <w:rsid w:val="00DF52C5"/>
    <w:rsid w:val="00DF52D3"/>
    <w:rsid w:val="00DF5385"/>
    <w:rsid w:val="00DF53CD"/>
    <w:rsid w:val="00DF550F"/>
    <w:rsid w:val="00DF553A"/>
    <w:rsid w:val="00DF57D3"/>
    <w:rsid w:val="00DF59B8"/>
    <w:rsid w:val="00DF5AC1"/>
    <w:rsid w:val="00DF5AE3"/>
    <w:rsid w:val="00DF5F51"/>
    <w:rsid w:val="00DF6082"/>
    <w:rsid w:val="00DF6239"/>
    <w:rsid w:val="00DF629B"/>
    <w:rsid w:val="00DF62D6"/>
    <w:rsid w:val="00DF65CC"/>
    <w:rsid w:val="00DF6782"/>
    <w:rsid w:val="00DF6A46"/>
    <w:rsid w:val="00DF6D9A"/>
    <w:rsid w:val="00DF6DA8"/>
    <w:rsid w:val="00DF7201"/>
    <w:rsid w:val="00DF72CD"/>
    <w:rsid w:val="00DF7384"/>
    <w:rsid w:val="00DF7464"/>
    <w:rsid w:val="00DF7A94"/>
    <w:rsid w:val="00DF7B69"/>
    <w:rsid w:val="00DF7E42"/>
    <w:rsid w:val="00E00006"/>
    <w:rsid w:val="00E0004A"/>
    <w:rsid w:val="00E00362"/>
    <w:rsid w:val="00E005F3"/>
    <w:rsid w:val="00E00889"/>
    <w:rsid w:val="00E0096B"/>
    <w:rsid w:val="00E00992"/>
    <w:rsid w:val="00E00BE1"/>
    <w:rsid w:val="00E00C73"/>
    <w:rsid w:val="00E00CA1"/>
    <w:rsid w:val="00E00CA4"/>
    <w:rsid w:val="00E01231"/>
    <w:rsid w:val="00E0169E"/>
    <w:rsid w:val="00E016CB"/>
    <w:rsid w:val="00E01705"/>
    <w:rsid w:val="00E017E3"/>
    <w:rsid w:val="00E0195A"/>
    <w:rsid w:val="00E01BDC"/>
    <w:rsid w:val="00E01E79"/>
    <w:rsid w:val="00E01F20"/>
    <w:rsid w:val="00E02003"/>
    <w:rsid w:val="00E022B0"/>
    <w:rsid w:val="00E02448"/>
    <w:rsid w:val="00E0279B"/>
    <w:rsid w:val="00E0284C"/>
    <w:rsid w:val="00E02BC6"/>
    <w:rsid w:val="00E02FA8"/>
    <w:rsid w:val="00E0302B"/>
    <w:rsid w:val="00E030A7"/>
    <w:rsid w:val="00E0333C"/>
    <w:rsid w:val="00E035C5"/>
    <w:rsid w:val="00E0398A"/>
    <w:rsid w:val="00E039F0"/>
    <w:rsid w:val="00E03D5C"/>
    <w:rsid w:val="00E04187"/>
    <w:rsid w:val="00E0493A"/>
    <w:rsid w:val="00E04CF8"/>
    <w:rsid w:val="00E04D7B"/>
    <w:rsid w:val="00E04DCC"/>
    <w:rsid w:val="00E04E8A"/>
    <w:rsid w:val="00E0514D"/>
    <w:rsid w:val="00E05391"/>
    <w:rsid w:val="00E05AC4"/>
    <w:rsid w:val="00E05BD1"/>
    <w:rsid w:val="00E05D6E"/>
    <w:rsid w:val="00E05F3B"/>
    <w:rsid w:val="00E062A4"/>
    <w:rsid w:val="00E062E4"/>
    <w:rsid w:val="00E066F2"/>
    <w:rsid w:val="00E06765"/>
    <w:rsid w:val="00E06B19"/>
    <w:rsid w:val="00E06CA5"/>
    <w:rsid w:val="00E06CBA"/>
    <w:rsid w:val="00E072B4"/>
    <w:rsid w:val="00E07758"/>
    <w:rsid w:val="00E07771"/>
    <w:rsid w:val="00E078CB"/>
    <w:rsid w:val="00E07AE1"/>
    <w:rsid w:val="00E07BE3"/>
    <w:rsid w:val="00E07C42"/>
    <w:rsid w:val="00E07C48"/>
    <w:rsid w:val="00E07D48"/>
    <w:rsid w:val="00E07E94"/>
    <w:rsid w:val="00E102FC"/>
    <w:rsid w:val="00E105DA"/>
    <w:rsid w:val="00E10688"/>
    <w:rsid w:val="00E108CA"/>
    <w:rsid w:val="00E10E53"/>
    <w:rsid w:val="00E10F58"/>
    <w:rsid w:val="00E11462"/>
    <w:rsid w:val="00E11A16"/>
    <w:rsid w:val="00E11EA0"/>
    <w:rsid w:val="00E123D9"/>
    <w:rsid w:val="00E12506"/>
    <w:rsid w:val="00E1255F"/>
    <w:rsid w:val="00E126A3"/>
    <w:rsid w:val="00E126D9"/>
    <w:rsid w:val="00E12F7C"/>
    <w:rsid w:val="00E13020"/>
    <w:rsid w:val="00E1319F"/>
    <w:rsid w:val="00E13446"/>
    <w:rsid w:val="00E135C0"/>
    <w:rsid w:val="00E135DE"/>
    <w:rsid w:val="00E13FA8"/>
    <w:rsid w:val="00E1405C"/>
    <w:rsid w:val="00E143B8"/>
    <w:rsid w:val="00E14B47"/>
    <w:rsid w:val="00E14D1E"/>
    <w:rsid w:val="00E151EB"/>
    <w:rsid w:val="00E154AB"/>
    <w:rsid w:val="00E1553D"/>
    <w:rsid w:val="00E1565D"/>
    <w:rsid w:val="00E157DB"/>
    <w:rsid w:val="00E158F6"/>
    <w:rsid w:val="00E1592A"/>
    <w:rsid w:val="00E15CDC"/>
    <w:rsid w:val="00E161A6"/>
    <w:rsid w:val="00E16241"/>
    <w:rsid w:val="00E16AE2"/>
    <w:rsid w:val="00E16CD4"/>
    <w:rsid w:val="00E170A9"/>
    <w:rsid w:val="00E17270"/>
    <w:rsid w:val="00E17769"/>
    <w:rsid w:val="00E17827"/>
    <w:rsid w:val="00E1794E"/>
    <w:rsid w:val="00E17C3C"/>
    <w:rsid w:val="00E17E66"/>
    <w:rsid w:val="00E17E97"/>
    <w:rsid w:val="00E17FEB"/>
    <w:rsid w:val="00E20131"/>
    <w:rsid w:val="00E20143"/>
    <w:rsid w:val="00E201C6"/>
    <w:rsid w:val="00E204FC"/>
    <w:rsid w:val="00E20779"/>
    <w:rsid w:val="00E20C1E"/>
    <w:rsid w:val="00E2102D"/>
    <w:rsid w:val="00E2109C"/>
    <w:rsid w:val="00E21168"/>
    <w:rsid w:val="00E213FD"/>
    <w:rsid w:val="00E21797"/>
    <w:rsid w:val="00E218D5"/>
    <w:rsid w:val="00E21995"/>
    <w:rsid w:val="00E21A86"/>
    <w:rsid w:val="00E21BF1"/>
    <w:rsid w:val="00E21CAE"/>
    <w:rsid w:val="00E21D90"/>
    <w:rsid w:val="00E21E20"/>
    <w:rsid w:val="00E21E76"/>
    <w:rsid w:val="00E22360"/>
    <w:rsid w:val="00E224F2"/>
    <w:rsid w:val="00E22816"/>
    <w:rsid w:val="00E22907"/>
    <w:rsid w:val="00E22912"/>
    <w:rsid w:val="00E22A6B"/>
    <w:rsid w:val="00E22EDF"/>
    <w:rsid w:val="00E22F93"/>
    <w:rsid w:val="00E23176"/>
    <w:rsid w:val="00E231FA"/>
    <w:rsid w:val="00E232BD"/>
    <w:rsid w:val="00E23859"/>
    <w:rsid w:val="00E23A95"/>
    <w:rsid w:val="00E23B7E"/>
    <w:rsid w:val="00E23BC4"/>
    <w:rsid w:val="00E23DF1"/>
    <w:rsid w:val="00E23E98"/>
    <w:rsid w:val="00E23F06"/>
    <w:rsid w:val="00E23F27"/>
    <w:rsid w:val="00E24104"/>
    <w:rsid w:val="00E2432B"/>
    <w:rsid w:val="00E24500"/>
    <w:rsid w:val="00E245DF"/>
    <w:rsid w:val="00E24C33"/>
    <w:rsid w:val="00E24C59"/>
    <w:rsid w:val="00E24E70"/>
    <w:rsid w:val="00E24ECB"/>
    <w:rsid w:val="00E24EFC"/>
    <w:rsid w:val="00E24F85"/>
    <w:rsid w:val="00E25329"/>
    <w:rsid w:val="00E2560C"/>
    <w:rsid w:val="00E25657"/>
    <w:rsid w:val="00E256E5"/>
    <w:rsid w:val="00E25804"/>
    <w:rsid w:val="00E25BDF"/>
    <w:rsid w:val="00E25BF4"/>
    <w:rsid w:val="00E25D49"/>
    <w:rsid w:val="00E2600A"/>
    <w:rsid w:val="00E26442"/>
    <w:rsid w:val="00E26640"/>
    <w:rsid w:val="00E26BF8"/>
    <w:rsid w:val="00E26C28"/>
    <w:rsid w:val="00E26E4D"/>
    <w:rsid w:val="00E26F0F"/>
    <w:rsid w:val="00E26FA7"/>
    <w:rsid w:val="00E26FC3"/>
    <w:rsid w:val="00E270A4"/>
    <w:rsid w:val="00E270CB"/>
    <w:rsid w:val="00E27165"/>
    <w:rsid w:val="00E27479"/>
    <w:rsid w:val="00E27533"/>
    <w:rsid w:val="00E27582"/>
    <w:rsid w:val="00E27BF7"/>
    <w:rsid w:val="00E27E47"/>
    <w:rsid w:val="00E3020A"/>
    <w:rsid w:val="00E30402"/>
    <w:rsid w:val="00E30651"/>
    <w:rsid w:val="00E3095B"/>
    <w:rsid w:val="00E30C0C"/>
    <w:rsid w:val="00E30DFB"/>
    <w:rsid w:val="00E30F36"/>
    <w:rsid w:val="00E30FF4"/>
    <w:rsid w:val="00E31034"/>
    <w:rsid w:val="00E31509"/>
    <w:rsid w:val="00E315D3"/>
    <w:rsid w:val="00E31D88"/>
    <w:rsid w:val="00E31FD1"/>
    <w:rsid w:val="00E32031"/>
    <w:rsid w:val="00E32162"/>
    <w:rsid w:val="00E32393"/>
    <w:rsid w:val="00E32884"/>
    <w:rsid w:val="00E328AF"/>
    <w:rsid w:val="00E33354"/>
    <w:rsid w:val="00E33DDF"/>
    <w:rsid w:val="00E3447F"/>
    <w:rsid w:val="00E34612"/>
    <w:rsid w:val="00E349B7"/>
    <w:rsid w:val="00E34AF2"/>
    <w:rsid w:val="00E34F17"/>
    <w:rsid w:val="00E3502F"/>
    <w:rsid w:val="00E35146"/>
    <w:rsid w:val="00E3577E"/>
    <w:rsid w:val="00E35799"/>
    <w:rsid w:val="00E35C57"/>
    <w:rsid w:val="00E35DB2"/>
    <w:rsid w:val="00E35FFD"/>
    <w:rsid w:val="00E362ED"/>
    <w:rsid w:val="00E367F0"/>
    <w:rsid w:val="00E3683F"/>
    <w:rsid w:val="00E36E38"/>
    <w:rsid w:val="00E3730A"/>
    <w:rsid w:val="00E374E8"/>
    <w:rsid w:val="00E379D8"/>
    <w:rsid w:val="00E37B6A"/>
    <w:rsid w:val="00E37D55"/>
    <w:rsid w:val="00E37D86"/>
    <w:rsid w:val="00E37F1A"/>
    <w:rsid w:val="00E4006F"/>
    <w:rsid w:val="00E400DC"/>
    <w:rsid w:val="00E40599"/>
    <w:rsid w:val="00E405CB"/>
    <w:rsid w:val="00E4060A"/>
    <w:rsid w:val="00E40765"/>
    <w:rsid w:val="00E407E3"/>
    <w:rsid w:val="00E40A9A"/>
    <w:rsid w:val="00E40E10"/>
    <w:rsid w:val="00E41042"/>
    <w:rsid w:val="00E412B5"/>
    <w:rsid w:val="00E4142C"/>
    <w:rsid w:val="00E4165D"/>
    <w:rsid w:val="00E41DDF"/>
    <w:rsid w:val="00E41ED8"/>
    <w:rsid w:val="00E41F83"/>
    <w:rsid w:val="00E41FAB"/>
    <w:rsid w:val="00E423AF"/>
    <w:rsid w:val="00E42596"/>
    <w:rsid w:val="00E42738"/>
    <w:rsid w:val="00E427D2"/>
    <w:rsid w:val="00E428D8"/>
    <w:rsid w:val="00E42E0F"/>
    <w:rsid w:val="00E4314E"/>
    <w:rsid w:val="00E43155"/>
    <w:rsid w:val="00E43361"/>
    <w:rsid w:val="00E436EE"/>
    <w:rsid w:val="00E4379F"/>
    <w:rsid w:val="00E43863"/>
    <w:rsid w:val="00E43864"/>
    <w:rsid w:val="00E43CCE"/>
    <w:rsid w:val="00E43EF0"/>
    <w:rsid w:val="00E43FCB"/>
    <w:rsid w:val="00E4435C"/>
    <w:rsid w:val="00E4436C"/>
    <w:rsid w:val="00E446B9"/>
    <w:rsid w:val="00E44915"/>
    <w:rsid w:val="00E44AC3"/>
    <w:rsid w:val="00E44ADB"/>
    <w:rsid w:val="00E44B47"/>
    <w:rsid w:val="00E44E2C"/>
    <w:rsid w:val="00E451E6"/>
    <w:rsid w:val="00E45522"/>
    <w:rsid w:val="00E456DD"/>
    <w:rsid w:val="00E45772"/>
    <w:rsid w:val="00E458FE"/>
    <w:rsid w:val="00E45A37"/>
    <w:rsid w:val="00E45E1B"/>
    <w:rsid w:val="00E460CE"/>
    <w:rsid w:val="00E46269"/>
    <w:rsid w:val="00E4646B"/>
    <w:rsid w:val="00E46510"/>
    <w:rsid w:val="00E469B6"/>
    <w:rsid w:val="00E46A95"/>
    <w:rsid w:val="00E46AAE"/>
    <w:rsid w:val="00E46D15"/>
    <w:rsid w:val="00E46DDC"/>
    <w:rsid w:val="00E472B5"/>
    <w:rsid w:val="00E479B6"/>
    <w:rsid w:val="00E479D6"/>
    <w:rsid w:val="00E47CF3"/>
    <w:rsid w:val="00E47E81"/>
    <w:rsid w:val="00E5005A"/>
    <w:rsid w:val="00E500BA"/>
    <w:rsid w:val="00E501DD"/>
    <w:rsid w:val="00E5022B"/>
    <w:rsid w:val="00E505A6"/>
    <w:rsid w:val="00E505B1"/>
    <w:rsid w:val="00E50706"/>
    <w:rsid w:val="00E50863"/>
    <w:rsid w:val="00E509DE"/>
    <w:rsid w:val="00E50BF0"/>
    <w:rsid w:val="00E50FD6"/>
    <w:rsid w:val="00E51227"/>
    <w:rsid w:val="00E5182C"/>
    <w:rsid w:val="00E51932"/>
    <w:rsid w:val="00E51964"/>
    <w:rsid w:val="00E51A49"/>
    <w:rsid w:val="00E51F4A"/>
    <w:rsid w:val="00E5209A"/>
    <w:rsid w:val="00E52136"/>
    <w:rsid w:val="00E5242F"/>
    <w:rsid w:val="00E5269F"/>
    <w:rsid w:val="00E5292D"/>
    <w:rsid w:val="00E5292E"/>
    <w:rsid w:val="00E52AF0"/>
    <w:rsid w:val="00E52F48"/>
    <w:rsid w:val="00E52F7A"/>
    <w:rsid w:val="00E52FB5"/>
    <w:rsid w:val="00E530CE"/>
    <w:rsid w:val="00E531BA"/>
    <w:rsid w:val="00E53391"/>
    <w:rsid w:val="00E53786"/>
    <w:rsid w:val="00E53AAD"/>
    <w:rsid w:val="00E53B92"/>
    <w:rsid w:val="00E53F79"/>
    <w:rsid w:val="00E54374"/>
    <w:rsid w:val="00E54743"/>
    <w:rsid w:val="00E54C25"/>
    <w:rsid w:val="00E55033"/>
    <w:rsid w:val="00E550DE"/>
    <w:rsid w:val="00E55440"/>
    <w:rsid w:val="00E55BDE"/>
    <w:rsid w:val="00E55C53"/>
    <w:rsid w:val="00E55E1F"/>
    <w:rsid w:val="00E5609D"/>
    <w:rsid w:val="00E562E0"/>
    <w:rsid w:val="00E5633D"/>
    <w:rsid w:val="00E566D6"/>
    <w:rsid w:val="00E56733"/>
    <w:rsid w:val="00E57428"/>
    <w:rsid w:val="00E5751D"/>
    <w:rsid w:val="00E575FE"/>
    <w:rsid w:val="00E5780A"/>
    <w:rsid w:val="00E57941"/>
    <w:rsid w:val="00E57980"/>
    <w:rsid w:val="00E5798A"/>
    <w:rsid w:val="00E60015"/>
    <w:rsid w:val="00E60282"/>
    <w:rsid w:val="00E604E7"/>
    <w:rsid w:val="00E606D6"/>
    <w:rsid w:val="00E607AF"/>
    <w:rsid w:val="00E607F9"/>
    <w:rsid w:val="00E60B3D"/>
    <w:rsid w:val="00E60BB0"/>
    <w:rsid w:val="00E60D37"/>
    <w:rsid w:val="00E60EC6"/>
    <w:rsid w:val="00E60FB4"/>
    <w:rsid w:val="00E61163"/>
    <w:rsid w:val="00E61212"/>
    <w:rsid w:val="00E6153F"/>
    <w:rsid w:val="00E616B2"/>
    <w:rsid w:val="00E61CB7"/>
    <w:rsid w:val="00E620EC"/>
    <w:rsid w:val="00E622DA"/>
    <w:rsid w:val="00E624FD"/>
    <w:rsid w:val="00E625C9"/>
    <w:rsid w:val="00E627E0"/>
    <w:rsid w:val="00E629C7"/>
    <w:rsid w:val="00E62AAC"/>
    <w:rsid w:val="00E62AC6"/>
    <w:rsid w:val="00E62B84"/>
    <w:rsid w:val="00E62DD4"/>
    <w:rsid w:val="00E62FB1"/>
    <w:rsid w:val="00E63079"/>
    <w:rsid w:val="00E63344"/>
    <w:rsid w:val="00E635B8"/>
    <w:rsid w:val="00E63B96"/>
    <w:rsid w:val="00E63D60"/>
    <w:rsid w:val="00E63D8C"/>
    <w:rsid w:val="00E64192"/>
    <w:rsid w:val="00E644DA"/>
    <w:rsid w:val="00E645A3"/>
    <w:rsid w:val="00E64780"/>
    <w:rsid w:val="00E649A6"/>
    <w:rsid w:val="00E64AD6"/>
    <w:rsid w:val="00E64B7E"/>
    <w:rsid w:val="00E64CB1"/>
    <w:rsid w:val="00E650E7"/>
    <w:rsid w:val="00E6556B"/>
    <w:rsid w:val="00E6570C"/>
    <w:rsid w:val="00E65718"/>
    <w:rsid w:val="00E65720"/>
    <w:rsid w:val="00E65AE1"/>
    <w:rsid w:val="00E65B42"/>
    <w:rsid w:val="00E65C7D"/>
    <w:rsid w:val="00E65D7F"/>
    <w:rsid w:val="00E65D9D"/>
    <w:rsid w:val="00E65FCA"/>
    <w:rsid w:val="00E6613F"/>
    <w:rsid w:val="00E66D93"/>
    <w:rsid w:val="00E6700C"/>
    <w:rsid w:val="00E6733E"/>
    <w:rsid w:val="00E67470"/>
    <w:rsid w:val="00E675B9"/>
    <w:rsid w:val="00E67833"/>
    <w:rsid w:val="00E67897"/>
    <w:rsid w:val="00E679AC"/>
    <w:rsid w:val="00E67CA6"/>
    <w:rsid w:val="00E67F23"/>
    <w:rsid w:val="00E707D4"/>
    <w:rsid w:val="00E70874"/>
    <w:rsid w:val="00E708CA"/>
    <w:rsid w:val="00E70979"/>
    <w:rsid w:val="00E709BE"/>
    <w:rsid w:val="00E70A80"/>
    <w:rsid w:val="00E70D09"/>
    <w:rsid w:val="00E70E3E"/>
    <w:rsid w:val="00E70F1B"/>
    <w:rsid w:val="00E70FBD"/>
    <w:rsid w:val="00E7133B"/>
    <w:rsid w:val="00E71406"/>
    <w:rsid w:val="00E71553"/>
    <w:rsid w:val="00E71714"/>
    <w:rsid w:val="00E718F8"/>
    <w:rsid w:val="00E719EB"/>
    <w:rsid w:val="00E71CC8"/>
    <w:rsid w:val="00E71F42"/>
    <w:rsid w:val="00E72019"/>
    <w:rsid w:val="00E721AB"/>
    <w:rsid w:val="00E7229B"/>
    <w:rsid w:val="00E723D0"/>
    <w:rsid w:val="00E72423"/>
    <w:rsid w:val="00E7265D"/>
    <w:rsid w:val="00E72B8C"/>
    <w:rsid w:val="00E73979"/>
    <w:rsid w:val="00E73D60"/>
    <w:rsid w:val="00E73E67"/>
    <w:rsid w:val="00E74065"/>
    <w:rsid w:val="00E7413D"/>
    <w:rsid w:val="00E74328"/>
    <w:rsid w:val="00E74B13"/>
    <w:rsid w:val="00E74CBB"/>
    <w:rsid w:val="00E74D33"/>
    <w:rsid w:val="00E751D8"/>
    <w:rsid w:val="00E75575"/>
    <w:rsid w:val="00E75843"/>
    <w:rsid w:val="00E75DA6"/>
    <w:rsid w:val="00E75DBA"/>
    <w:rsid w:val="00E764D2"/>
    <w:rsid w:val="00E76653"/>
    <w:rsid w:val="00E76778"/>
    <w:rsid w:val="00E767D9"/>
    <w:rsid w:val="00E76A02"/>
    <w:rsid w:val="00E76C39"/>
    <w:rsid w:val="00E76C8C"/>
    <w:rsid w:val="00E76E59"/>
    <w:rsid w:val="00E76F86"/>
    <w:rsid w:val="00E76FEF"/>
    <w:rsid w:val="00E77208"/>
    <w:rsid w:val="00E775F8"/>
    <w:rsid w:val="00E7785B"/>
    <w:rsid w:val="00E77C22"/>
    <w:rsid w:val="00E77ECE"/>
    <w:rsid w:val="00E803C2"/>
    <w:rsid w:val="00E8077B"/>
    <w:rsid w:val="00E807AA"/>
    <w:rsid w:val="00E80D3E"/>
    <w:rsid w:val="00E80E28"/>
    <w:rsid w:val="00E80E57"/>
    <w:rsid w:val="00E811D4"/>
    <w:rsid w:val="00E81289"/>
    <w:rsid w:val="00E8152A"/>
    <w:rsid w:val="00E81B47"/>
    <w:rsid w:val="00E81B6D"/>
    <w:rsid w:val="00E81E00"/>
    <w:rsid w:val="00E8247F"/>
    <w:rsid w:val="00E827A6"/>
    <w:rsid w:val="00E82A06"/>
    <w:rsid w:val="00E82DF1"/>
    <w:rsid w:val="00E82F76"/>
    <w:rsid w:val="00E83074"/>
    <w:rsid w:val="00E83685"/>
    <w:rsid w:val="00E83BF6"/>
    <w:rsid w:val="00E83D19"/>
    <w:rsid w:val="00E83D4C"/>
    <w:rsid w:val="00E83FAF"/>
    <w:rsid w:val="00E84092"/>
    <w:rsid w:val="00E8410E"/>
    <w:rsid w:val="00E84398"/>
    <w:rsid w:val="00E84876"/>
    <w:rsid w:val="00E84AC4"/>
    <w:rsid w:val="00E84CC7"/>
    <w:rsid w:val="00E84D8D"/>
    <w:rsid w:val="00E84F1D"/>
    <w:rsid w:val="00E8510E"/>
    <w:rsid w:val="00E856CA"/>
    <w:rsid w:val="00E8570C"/>
    <w:rsid w:val="00E85BB7"/>
    <w:rsid w:val="00E86183"/>
    <w:rsid w:val="00E867A2"/>
    <w:rsid w:val="00E86A89"/>
    <w:rsid w:val="00E86D57"/>
    <w:rsid w:val="00E86EDA"/>
    <w:rsid w:val="00E86FA5"/>
    <w:rsid w:val="00E86FAC"/>
    <w:rsid w:val="00E8700E"/>
    <w:rsid w:val="00E8714D"/>
    <w:rsid w:val="00E87299"/>
    <w:rsid w:val="00E87716"/>
    <w:rsid w:val="00E87743"/>
    <w:rsid w:val="00E877B6"/>
    <w:rsid w:val="00E903C3"/>
    <w:rsid w:val="00E903E3"/>
    <w:rsid w:val="00E90622"/>
    <w:rsid w:val="00E90A00"/>
    <w:rsid w:val="00E90B6C"/>
    <w:rsid w:val="00E90CF7"/>
    <w:rsid w:val="00E90FAB"/>
    <w:rsid w:val="00E91458"/>
    <w:rsid w:val="00E917C2"/>
    <w:rsid w:val="00E91A00"/>
    <w:rsid w:val="00E91CC9"/>
    <w:rsid w:val="00E91D94"/>
    <w:rsid w:val="00E91DF4"/>
    <w:rsid w:val="00E91E50"/>
    <w:rsid w:val="00E92262"/>
    <w:rsid w:val="00E923C6"/>
    <w:rsid w:val="00E92506"/>
    <w:rsid w:val="00E92533"/>
    <w:rsid w:val="00E92731"/>
    <w:rsid w:val="00E92BAA"/>
    <w:rsid w:val="00E92EE2"/>
    <w:rsid w:val="00E9371B"/>
    <w:rsid w:val="00E937EC"/>
    <w:rsid w:val="00E939CB"/>
    <w:rsid w:val="00E93A50"/>
    <w:rsid w:val="00E93E5E"/>
    <w:rsid w:val="00E944DE"/>
    <w:rsid w:val="00E945ED"/>
    <w:rsid w:val="00E94624"/>
    <w:rsid w:val="00E94720"/>
    <w:rsid w:val="00E9473B"/>
    <w:rsid w:val="00E947B6"/>
    <w:rsid w:val="00E9490E"/>
    <w:rsid w:val="00E94D72"/>
    <w:rsid w:val="00E94D99"/>
    <w:rsid w:val="00E9501F"/>
    <w:rsid w:val="00E95121"/>
    <w:rsid w:val="00E95356"/>
    <w:rsid w:val="00E953C9"/>
    <w:rsid w:val="00E953D3"/>
    <w:rsid w:val="00E9540A"/>
    <w:rsid w:val="00E959E2"/>
    <w:rsid w:val="00E95A79"/>
    <w:rsid w:val="00E95ABD"/>
    <w:rsid w:val="00E95CD3"/>
    <w:rsid w:val="00E95D47"/>
    <w:rsid w:val="00E95F61"/>
    <w:rsid w:val="00E9616A"/>
    <w:rsid w:val="00E96411"/>
    <w:rsid w:val="00E96AA5"/>
    <w:rsid w:val="00E96DFE"/>
    <w:rsid w:val="00E9725C"/>
    <w:rsid w:val="00E975C4"/>
    <w:rsid w:val="00E9795E"/>
    <w:rsid w:val="00E97A71"/>
    <w:rsid w:val="00E97AAE"/>
    <w:rsid w:val="00E97C7F"/>
    <w:rsid w:val="00E97D1B"/>
    <w:rsid w:val="00E97EEF"/>
    <w:rsid w:val="00EA0081"/>
    <w:rsid w:val="00EA0582"/>
    <w:rsid w:val="00EA0867"/>
    <w:rsid w:val="00EA091D"/>
    <w:rsid w:val="00EA0A76"/>
    <w:rsid w:val="00EA0E6D"/>
    <w:rsid w:val="00EA1405"/>
    <w:rsid w:val="00EA14CF"/>
    <w:rsid w:val="00EA16A7"/>
    <w:rsid w:val="00EA1A1D"/>
    <w:rsid w:val="00EA1C08"/>
    <w:rsid w:val="00EA1C34"/>
    <w:rsid w:val="00EA1D1C"/>
    <w:rsid w:val="00EA24C0"/>
    <w:rsid w:val="00EA279D"/>
    <w:rsid w:val="00EA2E86"/>
    <w:rsid w:val="00EA31AD"/>
    <w:rsid w:val="00EA3C34"/>
    <w:rsid w:val="00EA3E47"/>
    <w:rsid w:val="00EA3E94"/>
    <w:rsid w:val="00EA3F84"/>
    <w:rsid w:val="00EA407C"/>
    <w:rsid w:val="00EA409B"/>
    <w:rsid w:val="00EA40ED"/>
    <w:rsid w:val="00EA4664"/>
    <w:rsid w:val="00EA4673"/>
    <w:rsid w:val="00EA495E"/>
    <w:rsid w:val="00EA4C6F"/>
    <w:rsid w:val="00EA4E65"/>
    <w:rsid w:val="00EA50EC"/>
    <w:rsid w:val="00EA50FB"/>
    <w:rsid w:val="00EA53E2"/>
    <w:rsid w:val="00EA557E"/>
    <w:rsid w:val="00EA5C69"/>
    <w:rsid w:val="00EA61AD"/>
    <w:rsid w:val="00EA639E"/>
    <w:rsid w:val="00EA656A"/>
    <w:rsid w:val="00EA699A"/>
    <w:rsid w:val="00EA6C89"/>
    <w:rsid w:val="00EA6DE2"/>
    <w:rsid w:val="00EA7071"/>
    <w:rsid w:val="00EA7291"/>
    <w:rsid w:val="00EA739A"/>
    <w:rsid w:val="00EA7721"/>
    <w:rsid w:val="00EA77BB"/>
    <w:rsid w:val="00EA7869"/>
    <w:rsid w:val="00EA7990"/>
    <w:rsid w:val="00EA7AAA"/>
    <w:rsid w:val="00EA7F57"/>
    <w:rsid w:val="00EB02E2"/>
    <w:rsid w:val="00EB0956"/>
    <w:rsid w:val="00EB0A5C"/>
    <w:rsid w:val="00EB0B7C"/>
    <w:rsid w:val="00EB0C2F"/>
    <w:rsid w:val="00EB0CC9"/>
    <w:rsid w:val="00EB0D18"/>
    <w:rsid w:val="00EB114B"/>
    <w:rsid w:val="00EB11E7"/>
    <w:rsid w:val="00EB14DB"/>
    <w:rsid w:val="00EB1612"/>
    <w:rsid w:val="00EB1679"/>
    <w:rsid w:val="00EB19A1"/>
    <w:rsid w:val="00EB1ACA"/>
    <w:rsid w:val="00EB1B39"/>
    <w:rsid w:val="00EB1BD4"/>
    <w:rsid w:val="00EB1EFF"/>
    <w:rsid w:val="00EB2177"/>
    <w:rsid w:val="00EB22BF"/>
    <w:rsid w:val="00EB238B"/>
    <w:rsid w:val="00EB2534"/>
    <w:rsid w:val="00EB27A9"/>
    <w:rsid w:val="00EB28C8"/>
    <w:rsid w:val="00EB2B01"/>
    <w:rsid w:val="00EB2E73"/>
    <w:rsid w:val="00EB2F84"/>
    <w:rsid w:val="00EB30BC"/>
    <w:rsid w:val="00EB3322"/>
    <w:rsid w:val="00EB35AE"/>
    <w:rsid w:val="00EB3807"/>
    <w:rsid w:val="00EB39A9"/>
    <w:rsid w:val="00EB3F77"/>
    <w:rsid w:val="00EB42A8"/>
    <w:rsid w:val="00EB42FD"/>
    <w:rsid w:val="00EB446F"/>
    <w:rsid w:val="00EB4554"/>
    <w:rsid w:val="00EB4786"/>
    <w:rsid w:val="00EB4900"/>
    <w:rsid w:val="00EB4A67"/>
    <w:rsid w:val="00EB4AE5"/>
    <w:rsid w:val="00EB4AEC"/>
    <w:rsid w:val="00EB4CD3"/>
    <w:rsid w:val="00EB501C"/>
    <w:rsid w:val="00EB50A6"/>
    <w:rsid w:val="00EB5803"/>
    <w:rsid w:val="00EB589F"/>
    <w:rsid w:val="00EB5917"/>
    <w:rsid w:val="00EB5C5D"/>
    <w:rsid w:val="00EB6157"/>
    <w:rsid w:val="00EB623F"/>
    <w:rsid w:val="00EB62EB"/>
    <w:rsid w:val="00EB6369"/>
    <w:rsid w:val="00EB643B"/>
    <w:rsid w:val="00EB6723"/>
    <w:rsid w:val="00EB69C0"/>
    <w:rsid w:val="00EB6A43"/>
    <w:rsid w:val="00EB6A7B"/>
    <w:rsid w:val="00EB6CEA"/>
    <w:rsid w:val="00EB6D41"/>
    <w:rsid w:val="00EB6F2B"/>
    <w:rsid w:val="00EB70C6"/>
    <w:rsid w:val="00EB70F5"/>
    <w:rsid w:val="00EB7449"/>
    <w:rsid w:val="00EB75FB"/>
    <w:rsid w:val="00EB7AB8"/>
    <w:rsid w:val="00EB7B0F"/>
    <w:rsid w:val="00EB7C6D"/>
    <w:rsid w:val="00EC01B5"/>
    <w:rsid w:val="00EC02BA"/>
    <w:rsid w:val="00EC0528"/>
    <w:rsid w:val="00EC05D0"/>
    <w:rsid w:val="00EC0612"/>
    <w:rsid w:val="00EC07C1"/>
    <w:rsid w:val="00EC14BE"/>
    <w:rsid w:val="00EC156B"/>
    <w:rsid w:val="00EC164A"/>
    <w:rsid w:val="00EC1839"/>
    <w:rsid w:val="00EC1CEC"/>
    <w:rsid w:val="00EC1D3F"/>
    <w:rsid w:val="00EC1D7C"/>
    <w:rsid w:val="00EC20FD"/>
    <w:rsid w:val="00EC227E"/>
    <w:rsid w:val="00EC230C"/>
    <w:rsid w:val="00EC2493"/>
    <w:rsid w:val="00EC2619"/>
    <w:rsid w:val="00EC2833"/>
    <w:rsid w:val="00EC2B45"/>
    <w:rsid w:val="00EC2BF4"/>
    <w:rsid w:val="00EC2E1A"/>
    <w:rsid w:val="00EC2F66"/>
    <w:rsid w:val="00EC3018"/>
    <w:rsid w:val="00EC30DD"/>
    <w:rsid w:val="00EC30EC"/>
    <w:rsid w:val="00EC323A"/>
    <w:rsid w:val="00EC326E"/>
    <w:rsid w:val="00EC32A2"/>
    <w:rsid w:val="00EC32F5"/>
    <w:rsid w:val="00EC3373"/>
    <w:rsid w:val="00EC3481"/>
    <w:rsid w:val="00EC3518"/>
    <w:rsid w:val="00EC3781"/>
    <w:rsid w:val="00EC3C34"/>
    <w:rsid w:val="00EC3EF4"/>
    <w:rsid w:val="00EC408F"/>
    <w:rsid w:val="00EC421C"/>
    <w:rsid w:val="00EC42BF"/>
    <w:rsid w:val="00EC43BB"/>
    <w:rsid w:val="00EC44E3"/>
    <w:rsid w:val="00EC455C"/>
    <w:rsid w:val="00EC45FC"/>
    <w:rsid w:val="00EC49BE"/>
    <w:rsid w:val="00EC4AA4"/>
    <w:rsid w:val="00EC5529"/>
    <w:rsid w:val="00EC5698"/>
    <w:rsid w:val="00EC58DB"/>
    <w:rsid w:val="00EC5B1F"/>
    <w:rsid w:val="00EC5D18"/>
    <w:rsid w:val="00EC5D24"/>
    <w:rsid w:val="00EC5F69"/>
    <w:rsid w:val="00EC5FDF"/>
    <w:rsid w:val="00EC60CF"/>
    <w:rsid w:val="00EC619A"/>
    <w:rsid w:val="00EC64C5"/>
    <w:rsid w:val="00EC650D"/>
    <w:rsid w:val="00EC68A9"/>
    <w:rsid w:val="00EC6926"/>
    <w:rsid w:val="00EC6CA6"/>
    <w:rsid w:val="00EC6D53"/>
    <w:rsid w:val="00EC7147"/>
    <w:rsid w:val="00EC7206"/>
    <w:rsid w:val="00EC73A4"/>
    <w:rsid w:val="00EC740E"/>
    <w:rsid w:val="00EC759B"/>
    <w:rsid w:val="00EC79A7"/>
    <w:rsid w:val="00EC79E7"/>
    <w:rsid w:val="00EC7DEC"/>
    <w:rsid w:val="00EC7E74"/>
    <w:rsid w:val="00EC7F93"/>
    <w:rsid w:val="00ED03B2"/>
    <w:rsid w:val="00ED0579"/>
    <w:rsid w:val="00ED06DE"/>
    <w:rsid w:val="00ED0757"/>
    <w:rsid w:val="00ED0843"/>
    <w:rsid w:val="00ED0C22"/>
    <w:rsid w:val="00ED0D35"/>
    <w:rsid w:val="00ED0D7A"/>
    <w:rsid w:val="00ED0DA9"/>
    <w:rsid w:val="00ED0E24"/>
    <w:rsid w:val="00ED0E95"/>
    <w:rsid w:val="00ED0FC3"/>
    <w:rsid w:val="00ED176F"/>
    <w:rsid w:val="00ED1A38"/>
    <w:rsid w:val="00ED1A41"/>
    <w:rsid w:val="00ED1AEA"/>
    <w:rsid w:val="00ED1C79"/>
    <w:rsid w:val="00ED1F77"/>
    <w:rsid w:val="00ED1FE5"/>
    <w:rsid w:val="00ED2169"/>
    <w:rsid w:val="00ED2450"/>
    <w:rsid w:val="00ED26E7"/>
    <w:rsid w:val="00ED2831"/>
    <w:rsid w:val="00ED29C7"/>
    <w:rsid w:val="00ED2AEE"/>
    <w:rsid w:val="00ED2CBD"/>
    <w:rsid w:val="00ED2F44"/>
    <w:rsid w:val="00ED30A0"/>
    <w:rsid w:val="00ED317A"/>
    <w:rsid w:val="00ED33D3"/>
    <w:rsid w:val="00ED353E"/>
    <w:rsid w:val="00ED36E0"/>
    <w:rsid w:val="00ED3AA8"/>
    <w:rsid w:val="00ED3E23"/>
    <w:rsid w:val="00ED3FA6"/>
    <w:rsid w:val="00ED41F0"/>
    <w:rsid w:val="00ED4271"/>
    <w:rsid w:val="00ED4453"/>
    <w:rsid w:val="00ED4977"/>
    <w:rsid w:val="00ED49DD"/>
    <w:rsid w:val="00ED4AD1"/>
    <w:rsid w:val="00ED4AF3"/>
    <w:rsid w:val="00ED4CDE"/>
    <w:rsid w:val="00ED4EBD"/>
    <w:rsid w:val="00ED4F87"/>
    <w:rsid w:val="00ED4F97"/>
    <w:rsid w:val="00ED5315"/>
    <w:rsid w:val="00ED5402"/>
    <w:rsid w:val="00ED57BA"/>
    <w:rsid w:val="00ED57CC"/>
    <w:rsid w:val="00ED58C7"/>
    <w:rsid w:val="00ED5C9C"/>
    <w:rsid w:val="00ED5F1B"/>
    <w:rsid w:val="00ED61FA"/>
    <w:rsid w:val="00ED642B"/>
    <w:rsid w:val="00ED644A"/>
    <w:rsid w:val="00ED6451"/>
    <w:rsid w:val="00ED6553"/>
    <w:rsid w:val="00ED6A60"/>
    <w:rsid w:val="00ED6F9E"/>
    <w:rsid w:val="00ED7396"/>
    <w:rsid w:val="00ED75B5"/>
    <w:rsid w:val="00ED76D4"/>
    <w:rsid w:val="00ED77CD"/>
    <w:rsid w:val="00ED77DD"/>
    <w:rsid w:val="00ED7AA0"/>
    <w:rsid w:val="00ED7BB5"/>
    <w:rsid w:val="00EE0243"/>
    <w:rsid w:val="00EE0411"/>
    <w:rsid w:val="00EE067B"/>
    <w:rsid w:val="00EE081C"/>
    <w:rsid w:val="00EE0A63"/>
    <w:rsid w:val="00EE0E02"/>
    <w:rsid w:val="00EE0F98"/>
    <w:rsid w:val="00EE10A7"/>
    <w:rsid w:val="00EE1112"/>
    <w:rsid w:val="00EE132B"/>
    <w:rsid w:val="00EE1417"/>
    <w:rsid w:val="00EE147A"/>
    <w:rsid w:val="00EE1C52"/>
    <w:rsid w:val="00EE1CAF"/>
    <w:rsid w:val="00EE1DD2"/>
    <w:rsid w:val="00EE1E5C"/>
    <w:rsid w:val="00EE1F7B"/>
    <w:rsid w:val="00EE1FD5"/>
    <w:rsid w:val="00EE2078"/>
    <w:rsid w:val="00EE212C"/>
    <w:rsid w:val="00EE2629"/>
    <w:rsid w:val="00EE2900"/>
    <w:rsid w:val="00EE2C41"/>
    <w:rsid w:val="00EE2F2C"/>
    <w:rsid w:val="00EE306A"/>
    <w:rsid w:val="00EE31B7"/>
    <w:rsid w:val="00EE31DA"/>
    <w:rsid w:val="00EE33E3"/>
    <w:rsid w:val="00EE374D"/>
    <w:rsid w:val="00EE39CC"/>
    <w:rsid w:val="00EE3BD1"/>
    <w:rsid w:val="00EE3C13"/>
    <w:rsid w:val="00EE3D24"/>
    <w:rsid w:val="00EE3E6D"/>
    <w:rsid w:val="00EE414B"/>
    <w:rsid w:val="00EE41E3"/>
    <w:rsid w:val="00EE4544"/>
    <w:rsid w:val="00EE4551"/>
    <w:rsid w:val="00EE47CF"/>
    <w:rsid w:val="00EE480E"/>
    <w:rsid w:val="00EE481C"/>
    <w:rsid w:val="00EE49B4"/>
    <w:rsid w:val="00EE4E3D"/>
    <w:rsid w:val="00EE50FD"/>
    <w:rsid w:val="00EE5234"/>
    <w:rsid w:val="00EE54AD"/>
    <w:rsid w:val="00EE5549"/>
    <w:rsid w:val="00EE56EA"/>
    <w:rsid w:val="00EE5C76"/>
    <w:rsid w:val="00EE5CDB"/>
    <w:rsid w:val="00EE5D14"/>
    <w:rsid w:val="00EE5D83"/>
    <w:rsid w:val="00EE6088"/>
    <w:rsid w:val="00EE6182"/>
    <w:rsid w:val="00EE61DD"/>
    <w:rsid w:val="00EE6354"/>
    <w:rsid w:val="00EE6993"/>
    <w:rsid w:val="00EE6D9B"/>
    <w:rsid w:val="00EE702D"/>
    <w:rsid w:val="00EE7124"/>
    <w:rsid w:val="00EE76AE"/>
    <w:rsid w:val="00EE7909"/>
    <w:rsid w:val="00EE7A7D"/>
    <w:rsid w:val="00EE7CBC"/>
    <w:rsid w:val="00EF04FE"/>
    <w:rsid w:val="00EF0649"/>
    <w:rsid w:val="00EF0A8F"/>
    <w:rsid w:val="00EF0A91"/>
    <w:rsid w:val="00EF0B8E"/>
    <w:rsid w:val="00EF0C22"/>
    <w:rsid w:val="00EF0C9D"/>
    <w:rsid w:val="00EF1589"/>
    <w:rsid w:val="00EF17F6"/>
    <w:rsid w:val="00EF1AD3"/>
    <w:rsid w:val="00EF1B45"/>
    <w:rsid w:val="00EF1CBA"/>
    <w:rsid w:val="00EF1E4A"/>
    <w:rsid w:val="00EF1F07"/>
    <w:rsid w:val="00EF28AA"/>
    <w:rsid w:val="00EF2A2A"/>
    <w:rsid w:val="00EF2BDB"/>
    <w:rsid w:val="00EF2CBC"/>
    <w:rsid w:val="00EF2D49"/>
    <w:rsid w:val="00EF2F25"/>
    <w:rsid w:val="00EF341F"/>
    <w:rsid w:val="00EF3473"/>
    <w:rsid w:val="00EF357F"/>
    <w:rsid w:val="00EF35F0"/>
    <w:rsid w:val="00EF3611"/>
    <w:rsid w:val="00EF39A9"/>
    <w:rsid w:val="00EF3A72"/>
    <w:rsid w:val="00EF3DAD"/>
    <w:rsid w:val="00EF3EB6"/>
    <w:rsid w:val="00EF3EBE"/>
    <w:rsid w:val="00EF45E8"/>
    <w:rsid w:val="00EF4637"/>
    <w:rsid w:val="00EF4647"/>
    <w:rsid w:val="00EF4CFC"/>
    <w:rsid w:val="00EF4F4B"/>
    <w:rsid w:val="00EF5369"/>
    <w:rsid w:val="00EF53CB"/>
    <w:rsid w:val="00EF55DF"/>
    <w:rsid w:val="00EF5622"/>
    <w:rsid w:val="00EF56B9"/>
    <w:rsid w:val="00EF586B"/>
    <w:rsid w:val="00EF589C"/>
    <w:rsid w:val="00EF624F"/>
    <w:rsid w:val="00EF648E"/>
    <w:rsid w:val="00EF71D7"/>
    <w:rsid w:val="00EF736B"/>
    <w:rsid w:val="00EF7521"/>
    <w:rsid w:val="00EF75F3"/>
    <w:rsid w:val="00EF77B3"/>
    <w:rsid w:val="00EF7B90"/>
    <w:rsid w:val="00F001A9"/>
    <w:rsid w:val="00F005BA"/>
    <w:rsid w:val="00F006B2"/>
    <w:rsid w:val="00F008E2"/>
    <w:rsid w:val="00F00B8D"/>
    <w:rsid w:val="00F00C42"/>
    <w:rsid w:val="00F0117D"/>
    <w:rsid w:val="00F011F6"/>
    <w:rsid w:val="00F01439"/>
    <w:rsid w:val="00F016BA"/>
    <w:rsid w:val="00F02057"/>
    <w:rsid w:val="00F0218C"/>
    <w:rsid w:val="00F024D1"/>
    <w:rsid w:val="00F02521"/>
    <w:rsid w:val="00F02920"/>
    <w:rsid w:val="00F029F7"/>
    <w:rsid w:val="00F02C42"/>
    <w:rsid w:val="00F02F30"/>
    <w:rsid w:val="00F02FC4"/>
    <w:rsid w:val="00F03032"/>
    <w:rsid w:val="00F03215"/>
    <w:rsid w:val="00F03271"/>
    <w:rsid w:val="00F03340"/>
    <w:rsid w:val="00F033FA"/>
    <w:rsid w:val="00F0344D"/>
    <w:rsid w:val="00F0368F"/>
    <w:rsid w:val="00F03A83"/>
    <w:rsid w:val="00F03C1C"/>
    <w:rsid w:val="00F04515"/>
    <w:rsid w:val="00F04528"/>
    <w:rsid w:val="00F04701"/>
    <w:rsid w:val="00F0484E"/>
    <w:rsid w:val="00F0485F"/>
    <w:rsid w:val="00F049EA"/>
    <w:rsid w:val="00F04CAF"/>
    <w:rsid w:val="00F04DB2"/>
    <w:rsid w:val="00F055E9"/>
    <w:rsid w:val="00F058F3"/>
    <w:rsid w:val="00F059F6"/>
    <w:rsid w:val="00F05B6A"/>
    <w:rsid w:val="00F064D6"/>
    <w:rsid w:val="00F06635"/>
    <w:rsid w:val="00F06AFE"/>
    <w:rsid w:val="00F06D1B"/>
    <w:rsid w:val="00F06E88"/>
    <w:rsid w:val="00F0715F"/>
    <w:rsid w:val="00F073FB"/>
    <w:rsid w:val="00F077A8"/>
    <w:rsid w:val="00F07955"/>
    <w:rsid w:val="00F07A12"/>
    <w:rsid w:val="00F07AF5"/>
    <w:rsid w:val="00F07B7D"/>
    <w:rsid w:val="00F07D47"/>
    <w:rsid w:val="00F07F26"/>
    <w:rsid w:val="00F07FC8"/>
    <w:rsid w:val="00F102BF"/>
    <w:rsid w:val="00F102D0"/>
    <w:rsid w:val="00F10AD1"/>
    <w:rsid w:val="00F10C11"/>
    <w:rsid w:val="00F10CAC"/>
    <w:rsid w:val="00F10D3A"/>
    <w:rsid w:val="00F1103F"/>
    <w:rsid w:val="00F111A6"/>
    <w:rsid w:val="00F115BD"/>
    <w:rsid w:val="00F11610"/>
    <w:rsid w:val="00F11855"/>
    <w:rsid w:val="00F118D3"/>
    <w:rsid w:val="00F11977"/>
    <w:rsid w:val="00F11EBE"/>
    <w:rsid w:val="00F12312"/>
    <w:rsid w:val="00F12771"/>
    <w:rsid w:val="00F1293D"/>
    <w:rsid w:val="00F12C18"/>
    <w:rsid w:val="00F12F70"/>
    <w:rsid w:val="00F12F7A"/>
    <w:rsid w:val="00F12F96"/>
    <w:rsid w:val="00F13238"/>
    <w:rsid w:val="00F13298"/>
    <w:rsid w:val="00F133EE"/>
    <w:rsid w:val="00F13498"/>
    <w:rsid w:val="00F1364D"/>
    <w:rsid w:val="00F13783"/>
    <w:rsid w:val="00F138BE"/>
    <w:rsid w:val="00F13D66"/>
    <w:rsid w:val="00F14071"/>
    <w:rsid w:val="00F14089"/>
    <w:rsid w:val="00F140CC"/>
    <w:rsid w:val="00F1440D"/>
    <w:rsid w:val="00F1449D"/>
    <w:rsid w:val="00F144C0"/>
    <w:rsid w:val="00F144F8"/>
    <w:rsid w:val="00F145D3"/>
    <w:rsid w:val="00F14A1A"/>
    <w:rsid w:val="00F14BB6"/>
    <w:rsid w:val="00F150B6"/>
    <w:rsid w:val="00F150C8"/>
    <w:rsid w:val="00F151BE"/>
    <w:rsid w:val="00F15211"/>
    <w:rsid w:val="00F15443"/>
    <w:rsid w:val="00F15848"/>
    <w:rsid w:val="00F15B5A"/>
    <w:rsid w:val="00F15EBD"/>
    <w:rsid w:val="00F15EEF"/>
    <w:rsid w:val="00F161F4"/>
    <w:rsid w:val="00F16542"/>
    <w:rsid w:val="00F1661D"/>
    <w:rsid w:val="00F16895"/>
    <w:rsid w:val="00F16D95"/>
    <w:rsid w:val="00F1713D"/>
    <w:rsid w:val="00F1714D"/>
    <w:rsid w:val="00F173BB"/>
    <w:rsid w:val="00F17569"/>
    <w:rsid w:val="00F17588"/>
    <w:rsid w:val="00F1761D"/>
    <w:rsid w:val="00F17867"/>
    <w:rsid w:val="00F17AD4"/>
    <w:rsid w:val="00F17BE7"/>
    <w:rsid w:val="00F17E1C"/>
    <w:rsid w:val="00F20047"/>
    <w:rsid w:val="00F204C5"/>
    <w:rsid w:val="00F20612"/>
    <w:rsid w:val="00F206CD"/>
    <w:rsid w:val="00F20875"/>
    <w:rsid w:val="00F2096D"/>
    <w:rsid w:val="00F20B3F"/>
    <w:rsid w:val="00F20C04"/>
    <w:rsid w:val="00F20F01"/>
    <w:rsid w:val="00F21867"/>
    <w:rsid w:val="00F21A1C"/>
    <w:rsid w:val="00F21EA5"/>
    <w:rsid w:val="00F21FA2"/>
    <w:rsid w:val="00F221A2"/>
    <w:rsid w:val="00F221FD"/>
    <w:rsid w:val="00F22216"/>
    <w:rsid w:val="00F22968"/>
    <w:rsid w:val="00F22A82"/>
    <w:rsid w:val="00F22B18"/>
    <w:rsid w:val="00F22B43"/>
    <w:rsid w:val="00F22C8A"/>
    <w:rsid w:val="00F22E3C"/>
    <w:rsid w:val="00F22ED8"/>
    <w:rsid w:val="00F22F45"/>
    <w:rsid w:val="00F230AB"/>
    <w:rsid w:val="00F23491"/>
    <w:rsid w:val="00F23599"/>
    <w:rsid w:val="00F23646"/>
    <w:rsid w:val="00F23A5A"/>
    <w:rsid w:val="00F23BF1"/>
    <w:rsid w:val="00F23D44"/>
    <w:rsid w:val="00F241B3"/>
    <w:rsid w:val="00F242C0"/>
    <w:rsid w:val="00F2430B"/>
    <w:rsid w:val="00F24A83"/>
    <w:rsid w:val="00F24BAF"/>
    <w:rsid w:val="00F24F36"/>
    <w:rsid w:val="00F25456"/>
    <w:rsid w:val="00F2553E"/>
    <w:rsid w:val="00F25871"/>
    <w:rsid w:val="00F258DF"/>
    <w:rsid w:val="00F259F6"/>
    <w:rsid w:val="00F25F5C"/>
    <w:rsid w:val="00F26055"/>
    <w:rsid w:val="00F261F0"/>
    <w:rsid w:val="00F26459"/>
    <w:rsid w:val="00F264AA"/>
    <w:rsid w:val="00F2650A"/>
    <w:rsid w:val="00F26F8A"/>
    <w:rsid w:val="00F27351"/>
    <w:rsid w:val="00F273A7"/>
    <w:rsid w:val="00F273B8"/>
    <w:rsid w:val="00F277E4"/>
    <w:rsid w:val="00F27818"/>
    <w:rsid w:val="00F27839"/>
    <w:rsid w:val="00F27916"/>
    <w:rsid w:val="00F27A0A"/>
    <w:rsid w:val="00F27A10"/>
    <w:rsid w:val="00F30114"/>
    <w:rsid w:val="00F306C2"/>
    <w:rsid w:val="00F30717"/>
    <w:rsid w:val="00F30CCD"/>
    <w:rsid w:val="00F30D0C"/>
    <w:rsid w:val="00F30DBC"/>
    <w:rsid w:val="00F310D4"/>
    <w:rsid w:val="00F311AB"/>
    <w:rsid w:val="00F314E2"/>
    <w:rsid w:val="00F31698"/>
    <w:rsid w:val="00F317D6"/>
    <w:rsid w:val="00F3180C"/>
    <w:rsid w:val="00F318C9"/>
    <w:rsid w:val="00F31971"/>
    <w:rsid w:val="00F31B57"/>
    <w:rsid w:val="00F31BEE"/>
    <w:rsid w:val="00F31F55"/>
    <w:rsid w:val="00F3227D"/>
    <w:rsid w:val="00F3266B"/>
    <w:rsid w:val="00F32707"/>
    <w:rsid w:val="00F3291D"/>
    <w:rsid w:val="00F32A2D"/>
    <w:rsid w:val="00F32F43"/>
    <w:rsid w:val="00F330E5"/>
    <w:rsid w:val="00F33211"/>
    <w:rsid w:val="00F33322"/>
    <w:rsid w:val="00F334FE"/>
    <w:rsid w:val="00F337D2"/>
    <w:rsid w:val="00F33C5F"/>
    <w:rsid w:val="00F33D41"/>
    <w:rsid w:val="00F34015"/>
    <w:rsid w:val="00F3404C"/>
    <w:rsid w:val="00F34246"/>
    <w:rsid w:val="00F34275"/>
    <w:rsid w:val="00F342FA"/>
    <w:rsid w:val="00F34475"/>
    <w:rsid w:val="00F34769"/>
    <w:rsid w:val="00F34CAE"/>
    <w:rsid w:val="00F34DF2"/>
    <w:rsid w:val="00F350F6"/>
    <w:rsid w:val="00F351E5"/>
    <w:rsid w:val="00F3520D"/>
    <w:rsid w:val="00F35884"/>
    <w:rsid w:val="00F35A5E"/>
    <w:rsid w:val="00F35CD1"/>
    <w:rsid w:val="00F35D24"/>
    <w:rsid w:val="00F35F31"/>
    <w:rsid w:val="00F360AD"/>
    <w:rsid w:val="00F36524"/>
    <w:rsid w:val="00F3678A"/>
    <w:rsid w:val="00F36A40"/>
    <w:rsid w:val="00F36CA8"/>
    <w:rsid w:val="00F36EB1"/>
    <w:rsid w:val="00F3720C"/>
    <w:rsid w:val="00F37263"/>
    <w:rsid w:val="00F37753"/>
    <w:rsid w:val="00F377A2"/>
    <w:rsid w:val="00F379C4"/>
    <w:rsid w:val="00F37A93"/>
    <w:rsid w:val="00F37C14"/>
    <w:rsid w:val="00F37E07"/>
    <w:rsid w:val="00F400C9"/>
    <w:rsid w:val="00F400D6"/>
    <w:rsid w:val="00F400F1"/>
    <w:rsid w:val="00F40115"/>
    <w:rsid w:val="00F40282"/>
    <w:rsid w:val="00F4065A"/>
    <w:rsid w:val="00F4067D"/>
    <w:rsid w:val="00F406D4"/>
    <w:rsid w:val="00F4090D"/>
    <w:rsid w:val="00F40B3D"/>
    <w:rsid w:val="00F40C80"/>
    <w:rsid w:val="00F40D68"/>
    <w:rsid w:val="00F4146F"/>
    <w:rsid w:val="00F416C5"/>
    <w:rsid w:val="00F41973"/>
    <w:rsid w:val="00F41B58"/>
    <w:rsid w:val="00F41C05"/>
    <w:rsid w:val="00F41C10"/>
    <w:rsid w:val="00F41FF6"/>
    <w:rsid w:val="00F42408"/>
    <w:rsid w:val="00F424B9"/>
    <w:rsid w:val="00F424F9"/>
    <w:rsid w:val="00F42584"/>
    <w:rsid w:val="00F42720"/>
    <w:rsid w:val="00F42A82"/>
    <w:rsid w:val="00F42CD5"/>
    <w:rsid w:val="00F42E16"/>
    <w:rsid w:val="00F42FC4"/>
    <w:rsid w:val="00F431E6"/>
    <w:rsid w:val="00F43832"/>
    <w:rsid w:val="00F438C2"/>
    <w:rsid w:val="00F43975"/>
    <w:rsid w:val="00F4409A"/>
    <w:rsid w:val="00F443F5"/>
    <w:rsid w:val="00F4440E"/>
    <w:rsid w:val="00F4476F"/>
    <w:rsid w:val="00F4478A"/>
    <w:rsid w:val="00F4494E"/>
    <w:rsid w:val="00F44F2B"/>
    <w:rsid w:val="00F45026"/>
    <w:rsid w:val="00F45198"/>
    <w:rsid w:val="00F45248"/>
    <w:rsid w:val="00F45348"/>
    <w:rsid w:val="00F453B0"/>
    <w:rsid w:val="00F453FA"/>
    <w:rsid w:val="00F45414"/>
    <w:rsid w:val="00F454BB"/>
    <w:rsid w:val="00F45609"/>
    <w:rsid w:val="00F45835"/>
    <w:rsid w:val="00F4589B"/>
    <w:rsid w:val="00F45981"/>
    <w:rsid w:val="00F45AB0"/>
    <w:rsid w:val="00F46072"/>
    <w:rsid w:val="00F46217"/>
    <w:rsid w:val="00F46466"/>
    <w:rsid w:val="00F46491"/>
    <w:rsid w:val="00F46A33"/>
    <w:rsid w:val="00F4721C"/>
    <w:rsid w:val="00F475BB"/>
    <w:rsid w:val="00F4784B"/>
    <w:rsid w:val="00F478C0"/>
    <w:rsid w:val="00F47CD6"/>
    <w:rsid w:val="00F47DF1"/>
    <w:rsid w:val="00F501CD"/>
    <w:rsid w:val="00F5024D"/>
    <w:rsid w:val="00F504CA"/>
    <w:rsid w:val="00F50779"/>
    <w:rsid w:val="00F509EC"/>
    <w:rsid w:val="00F50FFE"/>
    <w:rsid w:val="00F5111A"/>
    <w:rsid w:val="00F51308"/>
    <w:rsid w:val="00F517F2"/>
    <w:rsid w:val="00F51982"/>
    <w:rsid w:val="00F51B2E"/>
    <w:rsid w:val="00F51EC1"/>
    <w:rsid w:val="00F52667"/>
    <w:rsid w:val="00F52866"/>
    <w:rsid w:val="00F52B88"/>
    <w:rsid w:val="00F52BB0"/>
    <w:rsid w:val="00F52DA3"/>
    <w:rsid w:val="00F52DE1"/>
    <w:rsid w:val="00F53214"/>
    <w:rsid w:val="00F53219"/>
    <w:rsid w:val="00F5325D"/>
    <w:rsid w:val="00F5381E"/>
    <w:rsid w:val="00F53A64"/>
    <w:rsid w:val="00F53AC6"/>
    <w:rsid w:val="00F53B63"/>
    <w:rsid w:val="00F53C34"/>
    <w:rsid w:val="00F5404F"/>
    <w:rsid w:val="00F54196"/>
    <w:rsid w:val="00F54225"/>
    <w:rsid w:val="00F546E3"/>
    <w:rsid w:val="00F548D2"/>
    <w:rsid w:val="00F54C36"/>
    <w:rsid w:val="00F54C63"/>
    <w:rsid w:val="00F5549F"/>
    <w:rsid w:val="00F554CA"/>
    <w:rsid w:val="00F5560C"/>
    <w:rsid w:val="00F55941"/>
    <w:rsid w:val="00F55F59"/>
    <w:rsid w:val="00F5643D"/>
    <w:rsid w:val="00F56496"/>
    <w:rsid w:val="00F5668D"/>
    <w:rsid w:val="00F5689E"/>
    <w:rsid w:val="00F569BF"/>
    <w:rsid w:val="00F56F53"/>
    <w:rsid w:val="00F56FEB"/>
    <w:rsid w:val="00F57118"/>
    <w:rsid w:val="00F5734A"/>
    <w:rsid w:val="00F578E4"/>
    <w:rsid w:val="00F57ADE"/>
    <w:rsid w:val="00F60099"/>
    <w:rsid w:val="00F607D4"/>
    <w:rsid w:val="00F608D8"/>
    <w:rsid w:val="00F60AFB"/>
    <w:rsid w:val="00F60B05"/>
    <w:rsid w:val="00F60CB6"/>
    <w:rsid w:val="00F60CEA"/>
    <w:rsid w:val="00F60D40"/>
    <w:rsid w:val="00F60F25"/>
    <w:rsid w:val="00F610FB"/>
    <w:rsid w:val="00F61934"/>
    <w:rsid w:val="00F61CAC"/>
    <w:rsid w:val="00F61EE6"/>
    <w:rsid w:val="00F61F61"/>
    <w:rsid w:val="00F624BC"/>
    <w:rsid w:val="00F62B85"/>
    <w:rsid w:val="00F62C91"/>
    <w:rsid w:val="00F62CFF"/>
    <w:rsid w:val="00F62DE1"/>
    <w:rsid w:val="00F62E07"/>
    <w:rsid w:val="00F63050"/>
    <w:rsid w:val="00F630A8"/>
    <w:rsid w:val="00F63184"/>
    <w:rsid w:val="00F63560"/>
    <w:rsid w:val="00F63618"/>
    <w:rsid w:val="00F6372C"/>
    <w:rsid w:val="00F6395D"/>
    <w:rsid w:val="00F63EB3"/>
    <w:rsid w:val="00F63F1D"/>
    <w:rsid w:val="00F6402C"/>
    <w:rsid w:val="00F64295"/>
    <w:rsid w:val="00F64672"/>
    <w:rsid w:val="00F649D6"/>
    <w:rsid w:val="00F64A9E"/>
    <w:rsid w:val="00F64C51"/>
    <w:rsid w:val="00F64D4E"/>
    <w:rsid w:val="00F6510A"/>
    <w:rsid w:val="00F655D4"/>
    <w:rsid w:val="00F65859"/>
    <w:rsid w:val="00F65863"/>
    <w:rsid w:val="00F65ABA"/>
    <w:rsid w:val="00F65BA9"/>
    <w:rsid w:val="00F65E13"/>
    <w:rsid w:val="00F66072"/>
    <w:rsid w:val="00F660F3"/>
    <w:rsid w:val="00F661B0"/>
    <w:rsid w:val="00F66530"/>
    <w:rsid w:val="00F66618"/>
    <w:rsid w:val="00F667C9"/>
    <w:rsid w:val="00F66C00"/>
    <w:rsid w:val="00F66D52"/>
    <w:rsid w:val="00F66DF4"/>
    <w:rsid w:val="00F66F73"/>
    <w:rsid w:val="00F67492"/>
    <w:rsid w:val="00F67512"/>
    <w:rsid w:val="00F6756E"/>
    <w:rsid w:val="00F67684"/>
    <w:rsid w:val="00F67686"/>
    <w:rsid w:val="00F678DD"/>
    <w:rsid w:val="00F67E77"/>
    <w:rsid w:val="00F67ECF"/>
    <w:rsid w:val="00F70028"/>
    <w:rsid w:val="00F700BE"/>
    <w:rsid w:val="00F701B9"/>
    <w:rsid w:val="00F703AF"/>
    <w:rsid w:val="00F707DE"/>
    <w:rsid w:val="00F708F8"/>
    <w:rsid w:val="00F70991"/>
    <w:rsid w:val="00F709CD"/>
    <w:rsid w:val="00F70A86"/>
    <w:rsid w:val="00F70AF0"/>
    <w:rsid w:val="00F70C9B"/>
    <w:rsid w:val="00F70D0F"/>
    <w:rsid w:val="00F70D4F"/>
    <w:rsid w:val="00F70EA5"/>
    <w:rsid w:val="00F712D6"/>
    <w:rsid w:val="00F716A4"/>
    <w:rsid w:val="00F717F5"/>
    <w:rsid w:val="00F71854"/>
    <w:rsid w:val="00F71ACD"/>
    <w:rsid w:val="00F71BAF"/>
    <w:rsid w:val="00F71C44"/>
    <w:rsid w:val="00F71EF5"/>
    <w:rsid w:val="00F7207A"/>
    <w:rsid w:val="00F72410"/>
    <w:rsid w:val="00F7263B"/>
    <w:rsid w:val="00F72AC0"/>
    <w:rsid w:val="00F72D3A"/>
    <w:rsid w:val="00F72F7E"/>
    <w:rsid w:val="00F72F82"/>
    <w:rsid w:val="00F73049"/>
    <w:rsid w:val="00F730FF"/>
    <w:rsid w:val="00F73286"/>
    <w:rsid w:val="00F73372"/>
    <w:rsid w:val="00F73788"/>
    <w:rsid w:val="00F737E9"/>
    <w:rsid w:val="00F73939"/>
    <w:rsid w:val="00F73C24"/>
    <w:rsid w:val="00F74632"/>
    <w:rsid w:val="00F74743"/>
    <w:rsid w:val="00F7476C"/>
    <w:rsid w:val="00F747D4"/>
    <w:rsid w:val="00F748AC"/>
    <w:rsid w:val="00F74943"/>
    <w:rsid w:val="00F74B24"/>
    <w:rsid w:val="00F74BC1"/>
    <w:rsid w:val="00F74DAB"/>
    <w:rsid w:val="00F75352"/>
    <w:rsid w:val="00F75511"/>
    <w:rsid w:val="00F75628"/>
    <w:rsid w:val="00F75655"/>
    <w:rsid w:val="00F75790"/>
    <w:rsid w:val="00F759F1"/>
    <w:rsid w:val="00F75A40"/>
    <w:rsid w:val="00F75B7D"/>
    <w:rsid w:val="00F75C00"/>
    <w:rsid w:val="00F75C17"/>
    <w:rsid w:val="00F75CFE"/>
    <w:rsid w:val="00F75FBD"/>
    <w:rsid w:val="00F76223"/>
    <w:rsid w:val="00F76262"/>
    <w:rsid w:val="00F76275"/>
    <w:rsid w:val="00F7638A"/>
    <w:rsid w:val="00F763AE"/>
    <w:rsid w:val="00F7645C"/>
    <w:rsid w:val="00F7647E"/>
    <w:rsid w:val="00F764E1"/>
    <w:rsid w:val="00F76B86"/>
    <w:rsid w:val="00F76CBA"/>
    <w:rsid w:val="00F76EAC"/>
    <w:rsid w:val="00F7721F"/>
    <w:rsid w:val="00F7726A"/>
    <w:rsid w:val="00F7743F"/>
    <w:rsid w:val="00F774B3"/>
    <w:rsid w:val="00F778A0"/>
    <w:rsid w:val="00F77CDD"/>
    <w:rsid w:val="00F77E87"/>
    <w:rsid w:val="00F80148"/>
    <w:rsid w:val="00F80330"/>
    <w:rsid w:val="00F804C0"/>
    <w:rsid w:val="00F81097"/>
    <w:rsid w:val="00F81165"/>
    <w:rsid w:val="00F81183"/>
    <w:rsid w:val="00F812B4"/>
    <w:rsid w:val="00F81443"/>
    <w:rsid w:val="00F8180B"/>
    <w:rsid w:val="00F818B4"/>
    <w:rsid w:val="00F81AC3"/>
    <w:rsid w:val="00F81B09"/>
    <w:rsid w:val="00F81BA6"/>
    <w:rsid w:val="00F81D83"/>
    <w:rsid w:val="00F82220"/>
    <w:rsid w:val="00F82471"/>
    <w:rsid w:val="00F827E5"/>
    <w:rsid w:val="00F82964"/>
    <w:rsid w:val="00F82976"/>
    <w:rsid w:val="00F82BE0"/>
    <w:rsid w:val="00F82F51"/>
    <w:rsid w:val="00F8320A"/>
    <w:rsid w:val="00F8354E"/>
    <w:rsid w:val="00F8367B"/>
    <w:rsid w:val="00F838B5"/>
    <w:rsid w:val="00F83A3B"/>
    <w:rsid w:val="00F83B21"/>
    <w:rsid w:val="00F83BB0"/>
    <w:rsid w:val="00F83C1B"/>
    <w:rsid w:val="00F83ECE"/>
    <w:rsid w:val="00F84130"/>
    <w:rsid w:val="00F84216"/>
    <w:rsid w:val="00F84469"/>
    <w:rsid w:val="00F84487"/>
    <w:rsid w:val="00F844ED"/>
    <w:rsid w:val="00F8456B"/>
    <w:rsid w:val="00F845D5"/>
    <w:rsid w:val="00F84780"/>
    <w:rsid w:val="00F8479A"/>
    <w:rsid w:val="00F84AE9"/>
    <w:rsid w:val="00F84E27"/>
    <w:rsid w:val="00F85328"/>
    <w:rsid w:val="00F855C1"/>
    <w:rsid w:val="00F85921"/>
    <w:rsid w:val="00F85991"/>
    <w:rsid w:val="00F85A8D"/>
    <w:rsid w:val="00F85C02"/>
    <w:rsid w:val="00F85EA2"/>
    <w:rsid w:val="00F861BB"/>
    <w:rsid w:val="00F861CA"/>
    <w:rsid w:val="00F862F6"/>
    <w:rsid w:val="00F864BD"/>
    <w:rsid w:val="00F8680E"/>
    <w:rsid w:val="00F86B48"/>
    <w:rsid w:val="00F86C03"/>
    <w:rsid w:val="00F86CA8"/>
    <w:rsid w:val="00F874D1"/>
    <w:rsid w:val="00F875FF"/>
    <w:rsid w:val="00F878E5"/>
    <w:rsid w:val="00F87EE1"/>
    <w:rsid w:val="00F87F26"/>
    <w:rsid w:val="00F90336"/>
    <w:rsid w:val="00F90547"/>
    <w:rsid w:val="00F90611"/>
    <w:rsid w:val="00F907E9"/>
    <w:rsid w:val="00F9097D"/>
    <w:rsid w:val="00F90AE6"/>
    <w:rsid w:val="00F90B26"/>
    <w:rsid w:val="00F90BAB"/>
    <w:rsid w:val="00F90D45"/>
    <w:rsid w:val="00F90D4B"/>
    <w:rsid w:val="00F90DBA"/>
    <w:rsid w:val="00F90E1E"/>
    <w:rsid w:val="00F90F69"/>
    <w:rsid w:val="00F90FA9"/>
    <w:rsid w:val="00F91019"/>
    <w:rsid w:val="00F9112D"/>
    <w:rsid w:val="00F91197"/>
    <w:rsid w:val="00F9130B"/>
    <w:rsid w:val="00F91498"/>
    <w:rsid w:val="00F91595"/>
    <w:rsid w:val="00F91619"/>
    <w:rsid w:val="00F917C9"/>
    <w:rsid w:val="00F91BB4"/>
    <w:rsid w:val="00F91EA9"/>
    <w:rsid w:val="00F91F72"/>
    <w:rsid w:val="00F920DA"/>
    <w:rsid w:val="00F9229D"/>
    <w:rsid w:val="00F922D2"/>
    <w:rsid w:val="00F92761"/>
    <w:rsid w:val="00F92AC1"/>
    <w:rsid w:val="00F92AC2"/>
    <w:rsid w:val="00F92DF6"/>
    <w:rsid w:val="00F92E37"/>
    <w:rsid w:val="00F92E4D"/>
    <w:rsid w:val="00F92F7B"/>
    <w:rsid w:val="00F930CE"/>
    <w:rsid w:val="00F9310D"/>
    <w:rsid w:val="00F9324C"/>
    <w:rsid w:val="00F932E1"/>
    <w:rsid w:val="00F933A2"/>
    <w:rsid w:val="00F93813"/>
    <w:rsid w:val="00F93A12"/>
    <w:rsid w:val="00F93C37"/>
    <w:rsid w:val="00F94A5C"/>
    <w:rsid w:val="00F94E14"/>
    <w:rsid w:val="00F95553"/>
    <w:rsid w:val="00F95B1B"/>
    <w:rsid w:val="00F95C5C"/>
    <w:rsid w:val="00F95DFB"/>
    <w:rsid w:val="00F95E91"/>
    <w:rsid w:val="00F96260"/>
    <w:rsid w:val="00F963F3"/>
    <w:rsid w:val="00F9642E"/>
    <w:rsid w:val="00F9646E"/>
    <w:rsid w:val="00F965B4"/>
    <w:rsid w:val="00F965C4"/>
    <w:rsid w:val="00F96937"/>
    <w:rsid w:val="00F96A16"/>
    <w:rsid w:val="00F97090"/>
    <w:rsid w:val="00F972B1"/>
    <w:rsid w:val="00F9748D"/>
    <w:rsid w:val="00F9754E"/>
    <w:rsid w:val="00F97735"/>
    <w:rsid w:val="00F97DDE"/>
    <w:rsid w:val="00F97F09"/>
    <w:rsid w:val="00F97FF7"/>
    <w:rsid w:val="00FA00E0"/>
    <w:rsid w:val="00FA01EE"/>
    <w:rsid w:val="00FA05C1"/>
    <w:rsid w:val="00FA0877"/>
    <w:rsid w:val="00FA0DA0"/>
    <w:rsid w:val="00FA1126"/>
    <w:rsid w:val="00FA11C5"/>
    <w:rsid w:val="00FA123D"/>
    <w:rsid w:val="00FA1614"/>
    <w:rsid w:val="00FA1D28"/>
    <w:rsid w:val="00FA1D75"/>
    <w:rsid w:val="00FA24C3"/>
    <w:rsid w:val="00FA25EF"/>
    <w:rsid w:val="00FA2BC0"/>
    <w:rsid w:val="00FA2E1C"/>
    <w:rsid w:val="00FA2E6F"/>
    <w:rsid w:val="00FA3070"/>
    <w:rsid w:val="00FA347D"/>
    <w:rsid w:val="00FA39C6"/>
    <w:rsid w:val="00FA3C69"/>
    <w:rsid w:val="00FA3DF5"/>
    <w:rsid w:val="00FA401B"/>
    <w:rsid w:val="00FA49DF"/>
    <w:rsid w:val="00FA4DCB"/>
    <w:rsid w:val="00FA4E8E"/>
    <w:rsid w:val="00FA51C3"/>
    <w:rsid w:val="00FA5295"/>
    <w:rsid w:val="00FA53C5"/>
    <w:rsid w:val="00FA5921"/>
    <w:rsid w:val="00FA5B39"/>
    <w:rsid w:val="00FA5BC9"/>
    <w:rsid w:val="00FA5C61"/>
    <w:rsid w:val="00FA5D4D"/>
    <w:rsid w:val="00FA5DB1"/>
    <w:rsid w:val="00FA5E3F"/>
    <w:rsid w:val="00FA5E47"/>
    <w:rsid w:val="00FA6172"/>
    <w:rsid w:val="00FA61ED"/>
    <w:rsid w:val="00FA61F4"/>
    <w:rsid w:val="00FA62FA"/>
    <w:rsid w:val="00FA6449"/>
    <w:rsid w:val="00FA6994"/>
    <w:rsid w:val="00FA6AA2"/>
    <w:rsid w:val="00FA6F22"/>
    <w:rsid w:val="00FA70F3"/>
    <w:rsid w:val="00FA71BA"/>
    <w:rsid w:val="00FA73CA"/>
    <w:rsid w:val="00FA7D37"/>
    <w:rsid w:val="00FB02F9"/>
    <w:rsid w:val="00FB04A1"/>
    <w:rsid w:val="00FB08EE"/>
    <w:rsid w:val="00FB09EC"/>
    <w:rsid w:val="00FB0A34"/>
    <w:rsid w:val="00FB0D4D"/>
    <w:rsid w:val="00FB0D68"/>
    <w:rsid w:val="00FB10D8"/>
    <w:rsid w:val="00FB1185"/>
    <w:rsid w:val="00FB1E29"/>
    <w:rsid w:val="00FB1E7F"/>
    <w:rsid w:val="00FB1ED4"/>
    <w:rsid w:val="00FB1F97"/>
    <w:rsid w:val="00FB2283"/>
    <w:rsid w:val="00FB2504"/>
    <w:rsid w:val="00FB25DC"/>
    <w:rsid w:val="00FB2626"/>
    <w:rsid w:val="00FB288A"/>
    <w:rsid w:val="00FB2DE5"/>
    <w:rsid w:val="00FB2E3F"/>
    <w:rsid w:val="00FB318D"/>
    <w:rsid w:val="00FB323F"/>
    <w:rsid w:val="00FB33D7"/>
    <w:rsid w:val="00FB3521"/>
    <w:rsid w:val="00FB4291"/>
    <w:rsid w:val="00FB4CE5"/>
    <w:rsid w:val="00FB4D54"/>
    <w:rsid w:val="00FB4DC1"/>
    <w:rsid w:val="00FB4EFF"/>
    <w:rsid w:val="00FB507B"/>
    <w:rsid w:val="00FB51EE"/>
    <w:rsid w:val="00FB5371"/>
    <w:rsid w:val="00FB5436"/>
    <w:rsid w:val="00FB5506"/>
    <w:rsid w:val="00FB5575"/>
    <w:rsid w:val="00FB5588"/>
    <w:rsid w:val="00FB5615"/>
    <w:rsid w:val="00FB57F4"/>
    <w:rsid w:val="00FB5847"/>
    <w:rsid w:val="00FB5910"/>
    <w:rsid w:val="00FB59A5"/>
    <w:rsid w:val="00FB5A9C"/>
    <w:rsid w:val="00FB5C2B"/>
    <w:rsid w:val="00FB618A"/>
    <w:rsid w:val="00FB64F7"/>
    <w:rsid w:val="00FB6520"/>
    <w:rsid w:val="00FB69F1"/>
    <w:rsid w:val="00FB6A40"/>
    <w:rsid w:val="00FB6A46"/>
    <w:rsid w:val="00FB6B2A"/>
    <w:rsid w:val="00FB6B39"/>
    <w:rsid w:val="00FB6E19"/>
    <w:rsid w:val="00FB6E34"/>
    <w:rsid w:val="00FB6E78"/>
    <w:rsid w:val="00FB7103"/>
    <w:rsid w:val="00FB72DB"/>
    <w:rsid w:val="00FB73EF"/>
    <w:rsid w:val="00FB7697"/>
    <w:rsid w:val="00FB7751"/>
    <w:rsid w:val="00FB7ADD"/>
    <w:rsid w:val="00FB7D8C"/>
    <w:rsid w:val="00FB7FBD"/>
    <w:rsid w:val="00FC06DA"/>
    <w:rsid w:val="00FC08F6"/>
    <w:rsid w:val="00FC09CB"/>
    <w:rsid w:val="00FC0B40"/>
    <w:rsid w:val="00FC0D05"/>
    <w:rsid w:val="00FC0DEC"/>
    <w:rsid w:val="00FC0F0F"/>
    <w:rsid w:val="00FC12C9"/>
    <w:rsid w:val="00FC1569"/>
    <w:rsid w:val="00FC15CE"/>
    <w:rsid w:val="00FC20FE"/>
    <w:rsid w:val="00FC2145"/>
    <w:rsid w:val="00FC21E7"/>
    <w:rsid w:val="00FC2240"/>
    <w:rsid w:val="00FC224B"/>
    <w:rsid w:val="00FC2486"/>
    <w:rsid w:val="00FC26DA"/>
    <w:rsid w:val="00FC2838"/>
    <w:rsid w:val="00FC2B4D"/>
    <w:rsid w:val="00FC2BF9"/>
    <w:rsid w:val="00FC2EB3"/>
    <w:rsid w:val="00FC3262"/>
    <w:rsid w:val="00FC36B2"/>
    <w:rsid w:val="00FC3970"/>
    <w:rsid w:val="00FC3AC2"/>
    <w:rsid w:val="00FC3AE8"/>
    <w:rsid w:val="00FC3B07"/>
    <w:rsid w:val="00FC3E69"/>
    <w:rsid w:val="00FC3E84"/>
    <w:rsid w:val="00FC411D"/>
    <w:rsid w:val="00FC4BEB"/>
    <w:rsid w:val="00FC4FD6"/>
    <w:rsid w:val="00FC50E8"/>
    <w:rsid w:val="00FC50F3"/>
    <w:rsid w:val="00FC5490"/>
    <w:rsid w:val="00FC5603"/>
    <w:rsid w:val="00FC5778"/>
    <w:rsid w:val="00FC58A6"/>
    <w:rsid w:val="00FC59C4"/>
    <w:rsid w:val="00FC5A4F"/>
    <w:rsid w:val="00FC5B9B"/>
    <w:rsid w:val="00FC5C94"/>
    <w:rsid w:val="00FC5F00"/>
    <w:rsid w:val="00FC6261"/>
    <w:rsid w:val="00FC64B5"/>
    <w:rsid w:val="00FC671B"/>
    <w:rsid w:val="00FC6724"/>
    <w:rsid w:val="00FC68D7"/>
    <w:rsid w:val="00FC68DA"/>
    <w:rsid w:val="00FC6980"/>
    <w:rsid w:val="00FC6FA0"/>
    <w:rsid w:val="00FC7158"/>
    <w:rsid w:val="00FC7173"/>
    <w:rsid w:val="00FC73FC"/>
    <w:rsid w:val="00FC7881"/>
    <w:rsid w:val="00FD0264"/>
    <w:rsid w:val="00FD059A"/>
    <w:rsid w:val="00FD0635"/>
    <w:rsid w:val="00FD06D8"/>
    <w:rsid w:val="00FD0711"/>
    <w:rsid w:val="00FD0950"/>
    <w:rsid w:val="00FD0D1B"/>
    <w:rsid w:val="00FD0DAB"/>
    <w:rsid w:val="00FD0E81"/>
    <w:rsid w:val="00FD0EFA"/>
    <w:rsid w:val="00FD1170"/>
    <w:rsid w:val="00FD1388"/>
    <w:rsid w:val="00FD14E4"/>
    <w:rsid w:val="00FD171E"/>
    <w:rsid w:val="00FD19B1"/>
    <w:rsid w:val="00FD1A54"/>
    <w:rsid w:val="00FD1AEE"/>
    <w:rsid w:val="00FD1B4A"/>
    <w:rsid w:val="00FD1D1F"/>
    <w:rsid w:val="00FD1DCE"/>
    <w:rsid w:val="00FD1EAB"/>
    <w:rsid w:val="00FD1ED6"/>
    <w:rsid w:val="00FD227F"/>
    <w:rsid w:val="00FD239A"/>
    <w:rsid w:val="00FD2446"/>
    <w:rsid w:val="00FD287E"/>
    <w:rsid w:val="00FD2D09"/>
    <w:rsid w:val="00FD326B"/>
    <w:rsid w:val="00FD33B6"/>
    <w:rsid w:val="00FD35C7"/>
    <w:rsid w:val="00FD378D"/>
    <w:rsid w:val="00FD37BE"/>
    <w:rsid w:val="00FD3AAC"/>
    <w:rsid w:val="00FD3DCC"/>
    <w:rsid w:val="00FD456C"/>
    <w:rsid w:val="00FD4921"/>
    <w:rsid w:val="00FD4C64"/>
    <w:rsid w:val="00FD4CA7"/>
    <w:rsid w:val="00FD4CE2"/>
    <w:rsid w:val="00FD4E80"/>
    <w:rsid w:val="00FD4E87"/>
    <w:rsid w:val="00FD4ECB"/>
    <w:rsid w:val="00FD5271"/>
    <w:rsid w:val="00FD53C7"/>
    <w:rsid w:val="00FD5621"/>
    <w:rsid w:val="00FD570F"/>
    <w:rsid w:val="00FD59FC"/>
    <w:rsid w:val="00FD5BFD"/>
    <w:rsid w:val="00FD5CE0"/>
    <w:rsid w:val="00FD5E3A"/>
    <w:rsid w:val="00FD645F"/>
    <w:rsid w:val="00FD66AC"/>
    <w:rsid w:val="00FD67B7"/>
    <w:rsid w:val="00FD6834"/>
    <w:rsid w:val="00FD6A5B"/>
    <w:rsid w:val="00FD6A6B"/>
    <w:rsid w:val="00FD6DE2"/>
    <w:rsid w:val="00FD7137"/>
    <w:rsid w:val="00FD719E"/>
    <w:rsid w:val="00FD726D"/>
    <w:rsid w:val="00FD73D2"/>
    <w:rsid w:val="00FD7628"/>
    <w:rsid w:val="00FD77BA"/>
    <w:rsid w:val="00FD7B19"/>
    <w:rsid w:val="00FD7B35"/>
    <w:rsid w:val="00FD7BA1"/>
    <w:rsid w:val="00FD7CD0"/>
    <w:rsid w:val="00FD7F3D"/>
    <w:rsid w:val="00FD7F46"/>
    <w:rsid w:val="00FE00A1"/>
    <w:rsid w:val="00FE00CB"/>
    <w:rsid w:val="00FE0112"/>
    <w:rsid w:val="00FE016E"/>
    <w:rsid w:val="00FE03A8"/>
    <w:rsid w:val="00FE03C0"/>
    <w:rsid w:val="00FE03DD"/>
    <w:rsid w:val="00FE03FF"/>
    <w:rsid w:val="00FE067A"/>
    <w:rsid w:val="00FE06F3"/>
    <w:rsid w:val="00FE0B38"/>
    <w:rsid w:val="00FE0BA6"/>
    <w:rsid w:val="00FE0CD7"/>
    <w:rsid w:val="00FE0FB9"/>
    <w:rsid w:val="00FE15A1"/>
    <w:rsid w:val="00FE19E1"/>
    <w:rsid w:val="00FE1D24"/>
    <w:rsid w:val="00FE1D70"/>
    <w:rsid w:val="00FE1FFA"/>
    <w:rsid w:val="00FE23CF"/>
    <w:rsid w:val="00FE2465"/>
    <w:rsid w:val="00FE264B"/>
    <w:rsid w:val="00FE2824"/>
    <w:rsid w:val="00FE28EA"/>
    <w:rsid w:val="00FE2C97"/>
    <w:rsid w:val="00FE2CAF"/>
    <w:rsid w:val="00FE2F13"/>
    <w:rsid w:val="00FE3259"/>
    <w:rsid w:val="00FE32F9"/>
    <w:rsid w:val="00FE3BBF"/>
    <w:rsid w:val="00FE3BEC"/>
    <w:rsid w:val="00FE3E87"/>
    <w:rsid w:val="00FE3F9C"/>
    <w:rsid w:val="00FE3FB7"/>
    <w:rsid w:val="00FE40AD"/>
    <w:rsid w:val="00FE4145"/>
    <w:rsid w:val="00FE425A"/>
    <w:rsid w:val="00FE42DE"/>
    <w:rsid w:val="00FE45E4"/>
    <w:rsid w:val="00FE4700"/>
    <w:rsid w:val="00FE497C"/>
    <w:rsid w:val="00FE4B6E"/>
    <w:rsid w:val="00FE4F9C"/>
    <w:rsid w:val="00FE536C"/>
    <w:rsid w:val="00FE5B2D"/>
    <w:rsid w:val="00FE6113"/>
    <w:rsid w:val="00FE649F"/>
    <w:rsid w:val="00FE68AF"/>
    <w:rsid w:val="00FE6B14"/>
    <w:rsid w:val="00FE6BA5"/>
    <w:rsid w:val="00FE6ED0"/>
    <w:rsid w:val="00FE6FB0"/>
    <w:rsid w:val="00FE7081"/>
    <w:rsid w:val="00FE70E1"/>
    <w:rsid w:val="00FE7372"/>
    <w:rsid w:val="00FE753E"/>
    <w:rsid w:val="00FE7704"/>
    <w:rsid w:val="00FE77C9"/>
    <w:rsid w:val="00FE790B"/>
    <w:rsid w:val="00FE7DBF"/>
    <w:rsid w:val="00FE7F1A"/>
    <w:rsid w:val="00FF01B4"/>
    <w:rsid w:val="00FF0395"/>
    <w:rsid w:val="00FF0547"/>
    <w:rsid w:val="00FF0AD3"/>
    <w:rsid w:val="00FF0DE7"/>
    <w:rsid w:val="00FF15F6"/>
    <w:rsid w:val="00FF1C66"/>
    <w:rsid w:val="00FF1CDC"/>
    <w:rsid w:val="00FF1DA8"/>
    <w:rsid w:val="00FF1FFF"/>
    <w:rsid w:val="00FF2223"/>
    <w:rsid w:val="00FF2636"/>
    <w:rsid w:val="00FF28B3"/>
    <w:rsid w:val="00FF2B44"/>
    <w:rsid w:val="00FF2D1F"/>
    <w:rsid w:val="00FF2E0A"/>
    <w:rsid w:val="00FF2EF1"/>
    <w:rsid w:val="00FF301A"/>
    <w:rsid w:val="00FF307E"/>
    <w:rsid w:val="00FF30ED"/>
    <w:rsid w:val="00FF3702"/>
    <w:rsid w:val="00FF3C0E"/>
    <w:rsid w:val="00FF3CEB"/>
    <w:rsid w:val="00FF3EF5"/>
    <w:rsid w:val="00FF433D"/>
    <w:rsid w:val="00FF434D"/>
    <w:rsid w:val="00FF439F"/>
    <w:rsid w:val="00FF464A"/>
    <w:rsid w:val="00FF46AA"/>
    <w:rsid w:val="00FF4858"/>
    <w:rsid w:val="00FF48CA"/>
    <w:rsid w:val="00FF49D2"/>
    <w:rsid w:val="00FF4A84"/>
    <w:rsid w:val="00FF4A99"/>
    <w:rsid w:val="00FF4C6E"/>
    <w:rsid w:val="00FF4CE5"/>
    <w:rsid w:val="00FF4D2B"/>
    <w:rsid w:val="00FF4D5A"/>
    <w:rsid w:val="00FF5715"/>
    <w:rsid w:val="00FF5915"/>
    <w:rsid w:val="00FF5A66"/>
    <w:rsid w:val="00FF5AA5"/>
    <w:rsid w:val="00FF5ABF"/>
    <w:rsid w:val="00FF5F5A"/>
    <w:rsid w:val="00FF60CB"/>
    <w:rsid w:val="00FF62D3"/>
    <w:rsid w:val="00FF6A41"/>
    <w:rsid w:val="00FF6D08"/>
    <w:rsid w:val="00FF71F7"/>
    <w:rsid w:val="00FF72A7"/>
    <w:rsid w:val="00FF796F"/>
    <w:rsid w:val="00FF7A94"/>
    <w:rsid w:val="00FF7B1B"/>
    <w:rsid w:val="01105D10"/>
    <w:rsid w:val="01205D5C"/>
    <w:rsid w:val="01213882"/>
    <w:rsid w:val="01346218"/>
    <w:rsid w:val="014648F6"/>
    <w:rsid w:val="014A102B"/>
    <w:rsid w:val="015E6237"/>
    <w:rsid w:val="018E101A"/>
    <w:rsid w:val="019D1CF0"/>
    <w:rsid w:val="024617F2"/>
    <w:rsid w:val="024E2E0A"/>
    <w:rsid w:val="028D5673"/>
    <w:rsid w:val="028E6956"/>
    <w:rsid w:val="02A857BC"/>
    <w:rsid w:val="02C41C89"/>
    <w:rsid w:val="03082784"/>
    <w:rsid w:val="031556CD"/>
    <w:rsid w:val="03394299"/>
    <w:rsid w:val="035C6BEC"/>
    <w:rsid w:val="03773A46"/>
    <w:rsid w:val="038408F7"/>
    <w:rsid w:val="03B12888"/>
    <w:rsid w:val="03B60BF9"/>
    <w:rsid w:val="03BE3566"/>
    <w:rsid w:val="03E628FB"/>
    <w:rsid w:val="04184896"/>
    <w:rsid w:val="04247911"/>
    <w:rsid w:val="04537794"/>
    <w:rsid w:val="045B7B03"/>
    <w:rsid w:val="047859A3"/>
    <w:rsid w:val="0490144A"/>
    <w:rsid w:val="049218B7"/>
    <w:rsid w:val="04C4668A"/>
    <w:rsid w:val="04DE6CD6"/>
    <w:rsid w:val="04EA6DAD"/>
    <w:rsid w:val="05023B41"/>
    <w:rsid w:val="053B4384"/>
    <w:rsid w:val="05427468"/>
    <w:rsid w:val="0543421B"/>
    <w:rsid w:val="05870593"/>
    <w:rsid w:val="05936D7A"/>
    <w:rsid w:val="05BC001D"/>
    <w:rsid w:val="05C173E2"/>
    <w:rsid w:val="05E64439"/>
    <w:rsid w:val="05EC5C08"/>
    <w:rsid w:val="05F31C7F"/>
    <w:rsid w:val="060C0921"/>
    <w:rsid w:val="063D0C88"/>
    <w:rsid w:val="066F1876"/>
    <w:rsid w:val="06821637"/>
    <w:rsid w:val="06BF1482"/>
    <w:rsid w:val="06EC6A3A"/>
    <w:rsid w:val="06F2375D"/>
    <w:rsid w:val="07161D4A"/>
    <w:rsid w:val="072F77DB"/>
    <w:rsid w:val="07797862"/>
    <w:rsid w:val="078148F4"/>
    <w:rsid w:val="078D7EC3"/>
    <w:rsid w:val="07CC3CCD"/>
    <w:rsid w:val="07CD745A"/>
    <w:rsid w:val="07DB0C2F"/>
    <w:rsid w:val="07DE427B"/>
    <w:rsid w:val="082A4755"/>
    <w:rsid w:val="083D3697"/>
    <w:rsid w:val="08493DEA"/>
    <w:rsid w:val="08814622"/>
    <w:rsid w:val="08902ECA"/>
    <w:rsid w:val="089E5946"/>
    <w:rsid w:val="08D41A76"/>
    <w:rsid w:val="08F50F17"/>
    <w:rsid w:val="0926237D"/>
    <w:rsid w:val="092D0DD0"/>
    <w:rsid w:val="097522E1"/>
    <w:rsid w:val="09CF410B"/>
    <w:rsid w:val="09DF42DA"/>
    <w:rsid w:val="09FE6092"/>
    <w:rsid w:val="0A2306A7"/>
    <w:rsid w:val="0A390E91"/>
    <w:rsid w:val="0A4B59F5"/>
    <w:rsid w:val="0A805200"/>
    <w:rsid w:val="0A8A028C"/>
    <w:rsid w:val="0AA7129C"/>
    <w:rsid w:val="0ADA51CD"/>
    <w:rsid w:val="0AE02993"/>
    <w:rsid w:val="0B2C1098"/>
    <w:rsid w:val="0B440D72"/>
    <w:rsid w:val="0B4B536A"/>
    <w:rsid w:val="0B5C1B42"/>
    <w:rsid w:val="0B5D29A1"/>
    <w:rsid w:val="0B603134"/>
    <w:rsid w:val="0B65595F"/>
    <w:rsid w:val="0B6C2D62"/>
    <w:rsid w:val="0BC84B16"/>
    <w:rsid w:val="0C0D0F60"/>
    <w:rsid w:val="0C115D59"/>
    <w:rsid w:val="0C2250CB"/>
    <w:rsid w:val="0C707186"/>
    <w:rsid w:val="0C766913"/>
    <w:rsid w:val="0C931AD8"/>
    <w:rsid w:val="0C9D0B51"/>
    <w:rsid w:val="0CC112F0"/>
    <w:rsid w:val="0CD93263"/>
    <w:rsid w:val="0CE73BD2"/>
    <w:rsid w:val="0D013842"/>
    <w:rsid w:val="0D3861DB"/>
    <w:rsid w:val="0D395948"/>
    <w:rsid w:val="0D4234FE"/>
    <w:rsid w:val="0D587AF8"/>
    <w:rsid w:val="0D8871BD"/>
    <w:rsid w:val="0D9C2BA6"/>
    <w:rsid w:val="0DA53309"/>
    <w:rsid w:val="0E513011"/>
    <w:rsid w:val="0E6A0371"/>
    <w:rsid w:val="0E6A20ED"/>
    <w:rsid w:val="0EAF3EE9"/>
    <w:rsid w:val="0ECC7523"/>
    <w:rsid w:val="0ECE1F69"/>
    <w:rsid w:val="0EE56C89"/>
    <w:rsid w:val="0EED1CBE"/>
    <w:rsid w:val="0F1E0004"/>
    <w:rsid w:val="0F483F79"/>
    <w:rsid w:val="0F804F9C"/>
    <w:rsid w:val="0FDB730E"/>
    <w:rsid w:val="0FE25D59"/>
    <w:rsid w:val="0FF12084"/>
    <w:rsid w:val="0FF21B68"/>
    <w:rsid w:val="107260E8"/>
    <w:rsid w:val="10876659"/>
    <w:rsid w:val="10BB784F"/>
    <w:rsid w:val="10F20D97"/>
    <w:rsid w:val="111E7216"/>
    <w:rsid w:val="11373164"/>
    <w:rsid w:val="114A2981"/>
    <w:rsid w:val="11553800"/>
    <w:rsid w:val="12020A2A"/>
    <w:rsid w:val="121F1B0E"/>
    <w:rsid w:val="124C3857"/>
    <w:rsid w:val="126B0E01"/>
    <w:rsid w:val="126C7E1B"/>
    <w:rsid w:val="129955A9"/>
    <w:rsid w:val="12FC5750"/>
    <w:rsid w:val="131C6F86"/>
    <w:rsid w:val="132316DC"/>
    <w:rsid w:val="133B6A25"/>
    <w:rsid w:val="136715C8"/>
    <w:rsid w:val="136766FD"/>
    <w:rsid w:val="13A65211"/>
    <w:rsid w:val="13BC4AF1"/>
    <w:rsid w:val="13CD36B3"/>
    <w:rsid w:val="13E0508C"/>
    <w:rsid w:val="14060DE1"/>
    <w:rsid w:val="14186C15"/>
    <w:rsid w:val="143C4803"/>
    <w:rsid w:val="143D32B3"/>
    <w:rsid w:val="144D6A10"/>
    <w:rsid w:val="146D6894"/>
    <w:rsid w:val="14871ECF"/>
    <w:rsid w:val="14956D30"/>
    <w:rsid w:val="14C5146D"/>
    <w:rsid w:val="14C845D3"/>
    <w:rsid w:val="14DB14C8"/>
    <w:rsid w:val="14F87876"/>
    <w:rsid w:val="150975CE"/>
    <w:rsid w:val="153C0465"/>
    <w:rsid w:val="153F1494"/>
    <w:rsid w:val="15425F57"/>
    <w:rsid w:val="154A5B92"/>
    <w:rsid w:val="15545B7C"/>
    <w:rsid w:val="155A11D2"/>
    <w:rsid w:val="156008DF"/>
    <w:rsid w:val="156C6259"/>
    <w:rsid w:val="158B4BFF"/>
    <w:rsid w:val="15A96D62"/>
    <w:rsid w:val="15C40F54"/>
    <w:rsid w:val="15EA4391"/>
    <w:rsid w:val="15F3705A"/>
    <w:rsid w:val="16021A7C"/>
    <w:rsid w:val="1639689F"/>
    <w:rsid w:val="163F06E4"/>
    <w:rsid w:val="16591D98"/>
    <w:rsid w:val="169A1FE2"/>
    <w:rsid w:val="16AE1553"/>
    <w:rsid w:val="16CD5BE6"/>
    <w:rsid w:val="16DB47A7"/>
    <w:rsid w:val="16E50FB2"/>
    <w:rsid w:val="173B7FA7"/>
    <w:rsid w:val="174758B6"/>
    <w:rsid w:val="176253D4"/>
    <w:rsid w:val="177F691D"/>
    <w:rsid w:val="17AF6FE6"/>
    <w:rsid w:val="17B279C5"/>
    <w:rsid w:val="17D1773F"/>
    <w:rsid w:val="181810E3"/>
    <w:rsid w:val="18605AD4"/>
    <w:rsid w:val="187945BF"/>
    <w:rsid w:val="189E5FCA"/>
    <w:rsid w:val="18CA59C9"/>
    <w:rsid w:val="18E419B4"/>
    <w:rsid w:val="18EB6B88"/>
    <w:rsid w:val="191437DE"/>
    <w:rsid w:val="191F56A4"/>
    <w:rsid w:val="192166BD"/>
    <w:rsid w:val="193A152D"/>
    <w:rsid w:val="19A370D2"/>
    <w:rsid w:val="19A80025"/>
    <w:rsid w:val="19AA66B3"/>
    <w:rsid w:val="19E96087"/>
    <w:rsid w:val="19EA2F53"/>
    <w:rsid w:val="1A0E6C42"/>
    <w:rsid w:val="1A203C56"/>
    <w:rsid w:val="1A3655B4"/>
    <w:rsid w:val="1A442393"/>
    <w:rsid w:val="1A513927"/>
    <w:rsid w:val="1A9A2283"/>
    <w:rsid w:val="1A9A5F2B"/>
    <w:rsid w:val="1ACA0E37"/>
    <w:rsid w:val="1AE41750"/>
    <w:rsid w:val="1AF220BF"/>
    <w:rsid w:val="1B440F7E"/>
    <w:rsid w:val="1B7C1EFC"/>
    <w:rsid w:val="1BBD4972"/>
    <w:rsid w:val="1BD143CB"/>
    <w:rsid w:val="1BF27D35"/>
    <w:rsid w:val="1C1D4D09"/>
    <w:rsid w:val="1C724F42"/>
    <w:rsid w:val="1C7737B9"/>
    <w:rsid w:val="1C9C271F"/>
    <w:rsid w:val="1C9D4CC4"/>
    <w:rsid w:val="1D056438"/>
    <w:rsid w:val="1D0E6F59"/>
    <w:rsid w:val="1D230C56"/>
    <w:rsid w:val="1D9B385A"/>
    <w:rsid w:val="1DA41B2E"/>
    <w:rsid w:val="1DB23D88"/>
    <w:rsid w:val="1DC4081A"/>
    <w:rsid w:val="1E1F24DB"/>
    <w:rsid w:val="1E426285"/>
    <w:rsid w:val="1E4946EC"/>
    <w:rsid w:val="1E5F5CBE"/>
    <w:rsid w:val="1E6E11FA"/>
    <w:rsid w:val="1E7F2099"/>
    <w:rsid w:val="1ED66200"/>
    <w:rsid w:val="1EE1756F"/>
    <w:rsid w:val="1F136A31"/>
    <w:rsid w:val="1F1E1BFD"/>
    <w:rsid w:val="1F274302"/>
    <w:rsid w:val="1F394761"/>
    <w:rsid w:val="1F3C4E89"/>
    <w:rsid w:val="1F576950"/>
    <w:rsid w:val="1F635209"/>
    <w:rsid w:val="1F7F5D72"/>
    <w:rsid w:val="1F8E5802"/>
    <w:rsid w:val="1FDE70B6"/>
    <w:rsid w:val="1FE2318E"/>
    <w:rsid w:val="204F58BE"/>
    <w:rsid w:val="2074194C"/>
    <w:rsid w:val="207C3B85"/>
    <w:rsid w:val="20806EE9"/>
    <w:rsid w:val="20AF45AF"/>
    <w:rsid w:val="20D83B05"/>
    <w:rsid w:val="21050E8A"/>
    <w:rsid w:val="21343420"/>
    <w:rsid w:val="21352749"/>
    <w:rsid w:val="2164183D"/>
    <w:rsid w:val="21C757E8"/>
    <w:rsid w:val="21EC3183"/>
    <w:rsid w:val="21F90B83"/>
    <w:rsid w:val="221A5264"/>
    <w:rsid w:val="22821F7B"/>
    <w:rsid w:val="229C4BB4"/>
    <w:rsid w:val="22AA5B91"/>
    <w:rsid w:val="22AF5DF3"/>
    <w:rsid w:val="22D84291"/>
    <w:rsid w:val="22FF20BD"/>
    <w:rsid w:val="231150AD"/>
    <w:rsid w:val="23190326"/>
    <w:rsid w:val="233D2346"/>
    <w:rsid w:val="234205D5"/>
    <w:rsid w:val="236A540F"/>
    <w:rsid w:val="237F60D8"/>
    <w:rsid w:val="23801228"/>
    <w:rsid w:val="23DD25E2"/>
    <w:rsid w:val="23F70746"/>
    <w:rsid w:val="24200C85"/>
    <w:rsid w:val="24440E7C"/>
    <w:rsid w:val="244D64C3"/>
    <w:rsid w:val="245B7D7C"/>
    <w:rsid w:val="24614A97"/>
    <w:rsid w:val="24926D3D"/>
    <w:rsid w:val="24CF1A41"/>
    <w:rsid w:val="24D40A88"/>
    <w:rsid w:val="24FD1ED5"/>
    <w:rsid w:val="25070E5D"/>
    <w:rsid w:val="2515647A"/>
    <w:rsid w:val="2577516F"/>
    <w:rsid w:val="259D0B25"/>
    <w:rsid w:val="25A45454"/>
    <w:rsid w:val="25A87032"/>
    <w:rsid w:val="25B14925"/>
    <w:rsid w:val="25F35BE9"/>
    <w:rsid w:val="25F72C80"/>
    <w:rsid w:val="262E5F76"/>
    <w:rsid w:val="264F6A06"/>
    <w:rsid w:val="267972B5"/>
    <w:rsid w:val="26B6474F"/>
    <w:rsid w:val="26BC47CC"/>
    <w:rsid w:val="26BD3721"/>
    <w:rsid w:val="26C33C52"/>
    <w:rsid w:val="26F31699"/>
    <w:rsid w:val="26F52368"/>
    <w:rsid w:val="272C03B2"/>
    <w:rsid w:val="27370766"/>
    <w:rsid w:val="273C4BDB"/>
    <w:rsid w:val="273E043A"/>
    <w:rsid w:val="27514612"/>
    <w:rsid w:val="27580973"/>
    <w:rsid w:val="2771532E"/>
    <w:rsid w:val="27983FEE"/>
    <w:rsid w:val="279D7857"/>
    <w:rsid w:val="279E3DEE"/>
    <w:rsid w:val="27EB49DA"/>
    <w:rsid w:val="281F64BE"/>
    <w:rsid w:val="283B08BA"/>
    <w:rsid w:val="284357C9"/>
    <w:rsid w:val="285A5D01"/>
    <w:rsid w:val="28AB60F4"/>
    <w:rsid w:val="28C11DBA"/>
    <w:rsid w:val="28E90244"/>
    <w:rsid w:val="28FE4325"/>
    <w:rsid w:val="2904344D"/>
    <w:rsid w:val="291A75CC"/>
    <w:rsid w:val="2920429C"/>
    <w:rsid w:val="293B7327"/>
    <w:rsid w:val="29512C4D"/>
    <w:rsid w:val="29C037A2"/>
    <w:rsid w:val="29E115B6"/>
    <w:rsid w:val="29F87504"/>
    <w:rsid w:val="2A355B25"/>
    <w:rsid w:val="2A5070E5"/>
    <w:rsid w:val="2A5558C2"/>
    <w:rsid w:val="2AC828D8"/>
    <w:rsid w:val="2AD150C3"/>
    <w:rsid w:val="2B185C9A"/>
    <w:rsid w:val="2B4F1270"/>
    <w:rsid w:val="2BD80E5D"/>
    <w:rsid w:val="2BE0166D"/>
    <w:rsid w:val="2C0356CA"/>
    <w:rsid w:val="2C2A7048"/>
    <w:rsid w:val="2C9F0C00"/>
    <w:rsid w:val="2CA43435"/>
    <w:rsid w:val="2CB76CC5"/>
    <w:rsid w:val="2CC005C3"/>
    <w:rsid w:val="2CE678DF"/>
    <w:rsid w:val="2CFD61A9"/>
    <w:rsid w:val="2D2D6F87"/>
    <w:rsid w:val="2D5C0971"/>
    <w:rsid w:val="2D6F012A"/>
    <w:rsid w:val="2D6F134E"/>
    <w:rsid w:val="2D9F7247"/>
    <w:rsid w:val="2DD151A1"/>
    <w:rsid w:val="2DD30A40"/>
    <w:rsid w:val="2DEA7643"/>
    <w:rsid w:val="2DFF5DDD"/>
    <w:rsid w:val="2E01716D"/>
    <w:rsid w:val="2E04040D"/>
    <w:rsid w:val="2E3F71A5"/>
    <w:rsid w:val="2E864BA1"/>
    <w:rsid w:val="2E9850EA"/>
    <w:rsid w:val="2EAF3046"/>
    <w:rsid w:val="2EDA5A7A"/>
    <w:rsid w:val="2EE477DE"/>
    <w:rsid w:val="2EF10A6E"/>
    <w:rsid w:val="2EF555E3"/>
    <w:rsid w:val="2EF80E59"/>
    <w:rsid w:val="2EF95723"/>
    <w:rsid w:val="2EFA2839"/>
    <w:rsid w:val="2F61316F"/>
    <w:rsid w:val="2F9D0C5E"/>
    <w:rsid w:val="2FA23C5C"/>
    <w:rsid w:val="2FD951A4"/>
    <w:rsid w:val="2FE52AE0"/>
    <w:rsid w:val="30395EA4"/>
    <w:rsid w:val="30A70EF1"/>
    <w:rsid w:val="30BA1E8B"/>
    <w:rsid w:val="30F871C2"/>
    <w:rsid w:val="32170CB1"/>
    <w:rsid w:val="322E7A29"/>
    <w:rsid w:val="32522372"/>
    <w:rsid w:val="328226D1"/>
    <w:rsid w:val="329F5908"/>
    <w:rsid w:val="329F6C01"/>
    <w:rsid w:val="32E05D6A"/>
    <w:rsid w:val="33127D77"/>
    <w:rsid w:val="333C7B2B"/>
    <w:rsid w:val="33962028"/>
    <w:rsid w:val="341112CB"/>
    <w:rsid w:val="34560CCD"/>
    <w:rsid w:val="346F257B"/>
    <w:rsid w:val="347E456C"/>
    <w:rsid w:val="35050F88"/>
    <w:rsid w:val="352D1F84"/>
    <w:rsid w:val="353D287F"/>
    <w:rsid w:val="358A269D"/>
    <w:rsid w:val="35973B37"/>
    <w:rsid w:val="35D1069B"/>
    <w:rsid w:val="36175204"/>
    <w:rsid w:val="363A5CE1"/>
    <w:rsid w:val="364C4922"/>
    <w:rsid w:val="366E52D5"/>
    <w:rsid w:val="367F4CF7"/>
    <w:rsid w:val="36976FC4"/>
    <w:rsid w:val="36AA4AF9"/>
    <w:rsid w:val="36B037A8"/>
    <w:rsid w:val="36BD6867"/>
    <w:rsid w:val="36C841D0"/>
    <w:rsid w:val="36E3011C"/>
    <w:rsid w:val="36E56443"/>
    <w:rsid w:val="37364FA6"/>
    <w:rsid w:val="373F5203"/>
    <w:rsid w:val="37461371"/>
    <w:rsid w:val="375923A4"/>
    <w:rsid w:val="37905BD8"/>
    <w:rsid w:val="37945C27"/>
    <w:rsid w:val="37E868CC"/>
    <w:rsid w:val="37EF5170"/>
    <w:rsid w:val="381256F7"/>
    <w:rsid w:val="38867946"/>
    <w:rsid w:val="388E7BD9"/>
    <w:rsid w:val="389A64F5"/>
    <w:rsid w:val="389F6E3E"/>
    <w:rsid w:val="38A96573"/>
    <w:rsid w:val="38DD38D4"/>
    <w:rsid w:val="38F3079E"/>
    <w:rsid w:val="393637BD"/>
    <w:rsid w:val="39406294"/>
    <w:rsid w:val="39507C18"/>
    <w:rsid w:val="39AE6FE4"/>
    <w:rsid w:val="39B34CB8"/>
    <w:rsid w:val="39B92D73"/>
    <w:rsid w:val="39CA4AFD"/>
    <w:rsid w:val="39D467CD"/>
    <w:rsid w:val="39FD08E2"/>
    <w:rsid w:val="3A1F40FB"/>
    <w:rsid w:val="3A7A70F1"/>
    <w:rsid w:val="3A8859AA"/>
    <w:rsid w:val="3AA47D0C"/>
    <w:rsid w:val="3AA50AA5"/>
    <w:rsid w:val="3AA95DC5"/>
    <w:rsid w:val="3AAB65A7"/>
    <w:rsid w:val="3AAF36D1"/>
    <w:rsid w:val="3AF53CDC"/>
    <w:rsid w:val="3AFD268F"/>
    <w:rsid w:val="3B131EB2"/>
    <w:rsid w:val="3B303FD2"/>
    <w:rsid w:val="3B7F12F6"/>
    <w:rsid w:val="3B7F30A4"/>
    <w:rsid w:val="3B81506E"/>
    <w:rsid w:val="3B881BE9"/>
    <w:rsid w:val="3B961AE6"/>
    <w:rsid w:val="3BC177E2"/>
    <w:rsid w:val="3C0016D5"/>
    <w:rsid w:val="3C3F2833"/>
    <w:rsid w:val="3C5250A5"/>
    <w:rsid w:val="3C7267E1"/>
    <w:rsid w:val="3C803541"/>
    <w:rsid w:val="3C827359"/>
    <w:rsid w:val="3C9C346F"/>
    <w:rsid w:val="3CA1704A"/>
    <w:rsid w:val="3CAA6DE8"/>
    <w:rsid w:val="3CC909C2"/>
    <w:rsid w:val="3CE30D44"/>
    <w:rsid w:val="3CEF3FE3"/>
    <w:rsid w:val="3D033D39"/>
    <w:rsid w:val="3D0D4C9F"/>
    <w:rsid w:val="3D153E5D"/>
    <w:rsid w:val="3D1A7409"/>
    <w:rsid w:val="3D271C45"/>
    <w:rsid w:val="3D5B4B12"/>
    <w:rsid w:val="3D776693"/>
    <w:rsid w:val="3D96372E"/>
    <w:rsid w:val="3DBB0D42"/>
    <w:rsid w:val="3DE746B1"/>
    <w:rsid w:val="3E053C1D"/>
    <w:rsid w:val="3E0C4342"/>
    <w:rsid w:val="3E1D6DDF"/>
    <w:rsid w:val="3E52297F"/>
    <w:rsid w:val="3E953B09"/>
    <w:rsid w:val="3EB7436F"/>
    <w:rsid w:val="3F0B319D"/>
    <w:rsid w:val="3F1D1757"/>
    <w:rsid w:val="3F30107F"/>
    <w:rsid w:val="3F6A2FF2"/>
    <w:rsid w:val="3F772F6F"/>
    <w:rsid w:val="3F79605C"/>
    <w:rsid w:val="3F9058D7"/>
    <w:rsid w:val="3F946229"/>
    <w:rsid w:val="3FD0640E"/>
    <w:rsid w:val="3FFF0C57"/>
    <w:rsid w:val="400F59AA"/>
    <w:rsid w:val="40441A73"/>
    <w:rsid w:val="40464AB2"/>
    <w:rsid w:val="4066497A"/>
    <w:rsid w:val="40C04F4B"/>
    <w:rsid w:val="414F0ABE"/>
    <w:rsid w:val="41646408"/>
    <w:rsid w:val="418E1DC0"/>
    <w:rsid w:val="41A53B33"/>
    <w:rsid w:val="41D35EF7"/>
    <w:rsid w:val="41FB71FC"/>
    <w:rsid w:val="42312C1E"/>
    <w:rsid w:val="42461992"/>
    <w:rsid w:val="425067F7"/>
    <w:rsid w:val="42732620"/>
    <w:rsid w:val="427A4C31"/>
    <w:rsid w:val="42900957"/>
    <w:rsid w:val="42C121F4"/>
    <w:rsid w:val="42D0162B"/>
    <w:rsid w:val="42D263AC"/>
    <w:rsid w:val="432B17B8"/>
    <w:rsid w:val="43342924"/>
    <w:rsid w:val="43622373"/>
    <w:rsid w:val="43756414"/>
    <w:rsid w:val="43B903E7"/>
    <w:rsid w:val="43D03846"/>
    <w:rsid w:val="43D92411"/>
    <w:rsid w:val="43EE7018"/>
    <w:rsid w:val="43F63ADC"/>
    <w:rsid w:val="44052444"/>
    <w:rsid w:val="443A04B0"/>
    <w:rsid w:val="444F0625"/>
    <w:rsid w:val="44507CD3"/>
    <w:rsid w:val="449F4133"/>
    <w:rsid w:val="4544267C"/>
    <w:rsid w:val="455D092E"/>
    <w:rsid w:val="45620DC9"/>
    <w:rsid w:val="46481D20"/>
    <w:rsid w:val="465771CD"/>
    <w:rsid w:val="465810C1"/>
    <w:rsid w:val="46676156"/>
    <w:rsid w:val="466F73F9"/>
    <w:rsid w:val="46841EB6"/>
    <w:rsid w:val="46935C55"/>
    <w:rsid w:val="46967597"/>
    <w:rsid w:val="46AD17B1"/>
    <w:rsid w:val="46AF44DB"/>
    <w:rsid w:val="46B65890"/>
    <w:rsid w:val="4712192D"/>
    <w:rsid w:val="47134FE8"/>
    <w:rsid w:val="471C7DBF"/>
    <w:rsid w:val="471E7C15"/>
    <w:rsid w:val="472745EF"/>
    <w:rsid w:val="478101A3"/>
    <w:rsid w:val="47A70B6F"/>
    <w:rsid w:val="481879E7"/>
    <w:rsid w:val="483B1073"/>
    <w:rsid w:val="485C4F51"/>
    <w:rsid w:val="48627412"/>
    <w:rsid w:val="489D725F"/>
    <w:rsid w:val="48DA3857"/>
    <w:rsid w:val="48EB4F60"/>
    <w:rsid w:val="49156FEE"/>
    <w:rsid w:val="49197912"/>
    <w:rsid w:val="495E2373"/>
    <w:rsid w:val="49CF538B"/>
    <w:rsid w:val="4A577E55"/>
    <w:rsid w:val="4A655B5A"/>
    <w:rsid w:val="4A8E0ECE"/>
    <w:rsid w:val="4A9975DD"/>
    <w:rsid w:val="4AAA60D5"/>
    <w:rsid w:val="4AB4066C"/>
    <w:rsid w:val="4AB61818"/>
    <w:rsid w:val="4AF57627"/>
    <w:rsid w:val="4AF8693E"/>
    <w:rsid w:val="4B010E98"/>
    <w:rsid w:val="4B7C55D2"/>
    <w:rsid w:val="4B94388F"/>
    <w:rsid w:val="4BBE19C6"/>
    <w:rsid w:val="4BC06D7F"/>
    <w:rsid w:val="4C422B12"/>
    <w:rsid w:val="4C4C5224"/>
    <w:rsid w:val="4C6F1D51"/>
    <w:rsid w:val="4C75097F"/>
    <w:rsid w:val="4C867077"/>
    <w:rsid w:val="4C9D50C7"/>
    <w:rsid w:val="4C9F315C"/>
    <w:rsid w:val="4CB84938"/>
    <w:rsid w:val="4CE532AE"/>
    <w:rsid w:val="4D001B6A"/>
    <w:rsid w:val="4D21071E"/>
    <w:rsid w:val="4D4C2903"/>
    <w:rsid w:val="4DC86B2C"/>
    <w:rsid w:val="4DD03C33"/>
    <w:rsid w:val="4E0225D8"/>
    <w:rsid w:val="4E091F94"/>
    <w:rsid w:val="4EB62E28"/>
    <w:rsid w:val="4EC8025B"/>
    <w:rsid w:val="4F1560AE"/>
    <w:rsid w:val="4F395F77"/>
    <w:rsid w:val="4F425205"/>
    <w:rsid w:val="4F6A5725"/>
    <w:rsid w:val="4F912F4E"/>
    <w:rsid w:val="4FB437DA"/>
    <w:rsid w:val="4FB54E8E"/>
    <w:rsid w:val="4FBD1F95"/>
    <w:rsid w:val="4FEE7BE1"/>
    <w:rsid w:val="4FF87EC7"/>
    <w:rsid w:val="50505EC7"/>
    <w:rsid w:val="505B6E6A"/>
    <w:rsid w:val="50AA1C30"/>
    <w:rsid w:val="50CA2BBB"/>
    <w:rsid w:val="50CF0D33"/>
    <w:rsid w:val="50FD71E9"/>
    <w:rsid w:val="51451EA1"/>
    <w:rsid w:val="515F66EB"/>
    <w:rsid w:val="518F45DC"/>
    <w:rsid w:val="519F799F"/>
    <w:rsid w:val="51D4432F"/>
    <w:rsid w:val="51D6733E"/>
    <w:rsid w:val="51F414B8"/>
    <w:rsid w:val="52A74FD4"/>
    <w:rsid w:val="52BB7FB0"/>
    <w:rsid w:val="52D344EF"/>
    <w:rsid w:val="52DF72FA"/>
    <w:rsid w:val="52E571E3"/>
    <w:rsid w:val="52EA76A3"/>
    <w:rsid w:val="52FE0E92"/>
    <w:rsid w:val="5381660F"/>
    <w:rsid w:val="538B4108"/>
    <w:rsid w:val="53A07C03"/>
    <w:rsid w:val="53B86CFB"/>
    <w:rsid w:val="54837309"/>
    <w:rsid w:val="54A41A20"/>
    <w:rsid w:val="54BC0A6D"/>
    <w:rsid w:val="54E56216"/>
    <w:rsid w:val="54E95D06"/>
    <w:rsid w:val="54FA2F81"/>
    <w:rsid w:val="551D78F9"/>
    <w:rsid w:val="554A41BE"/>
    <w:rsid w:val="555720CA"/>
    <w:rsid w:val="558A2919"/>
    <w:rsid w:val="55A16841"/>
    <w:rsid w:val="55A61974"/>
    <w:rsid w:val="55AC6D33"/>
    <w:rsid w:val="55AD03B6"/>
    <w:rsid w:val="55CB540B"/>
    <w:rsid w:val="56085282"/>
    <w:rsid w:val="561E1D7E"/>
    <w:rsid w:val="56382103"/>
    <w:rsid w:val="56582A17"/>
    <w:rsid w:val="56614179"/>
    <w:rsid w:val="566F58A1"/>
    <w:rsid w:val="56982E14"/>
    <w:rsid w:val="56B57916"/>
    <w:rsid w:val="56BC7464"/>
    <w:rsid w:val="56C81B7E"/>
    <w:rsid w:val="56CD51B3"/>
    <w:rsid w:val="56D439E9"/>
    <w:rsid w:val="56D664DC"/>
    <w:rsid w:val="570D1A54"/>
    <w:rsid w:val="572B436A"/>
    <w:rsid w:val="5745332D"/>
    <w:rsid w:val="57496E3D"/>
    <w:rsid w:val="574A05B2"/>
    <w:rsid w:val="574C1811"/>
    <w:rsid w:val="574C52C4"/>
    <w:rsid w:val="57B82CA9"/>
    <w:rsid w:val="57B947B1"/>
    <w:rsid w:val="57D35187"/>
    <w:rsid w:val="57D936E4"/>
    <w:rsid w:val="57E42EF1"/>
    <w:rsid w:val="57E441D6"/>
    <w:rsid w:val="58262DCD"/>
    <w:rsid w:val="582770AC"/>
    <w:rsid w:val="583B614D"/>
    <w:rsid w:val="58694A68"/>
    <w:rsid w:val="587A4EC7"/>
    <w:rsid w:val="5888332E"/>
    <w:rsid w:val="58B15CFB"/>
    <w:rsid w:val="58D340D7"/>
    <w:rsid w:val="593942B3"/>
    <w:rsid w:val="59403FAC"/>
    <w:rsid w:val="595A570A"/>
    <w:rsid w:val="597816BD"/>
    <w:rsid w:val="59791389"/>
    <w:rsid w:val="597F67FE"/>
    <w:rsid w:val="59CC52AE"/>
    <w:rsid w:val="59D446A5"/>
    <w:rsid w:val="59DB7BE7"/>
    <w:rsid w:val="59DE056A"/>
    <w:rsid w:val="59DE2B69"/>
    <w:rsid w:val="59E33865"/>
    <w:rsid w:val="59EB543F"/>
    <w:rsid w:val="5A1341AF"/>
    <w:rsid w:val="5A170536"/>
    <w:rsid w:val="5A2B6F71"/>
    <w:rsid w:val="5A7D0C9E"/>
    <w:rsid w:val="5A7E247D"/>
    <w:rsid w:val="5AB53F94"/>
    <w:rsid w:val="5AD414E2"/>
    <w:rsid w:val="5AE75580"/>
    <w:rsid w:val="5AEE5251"/>
    <w:rsid w:val="5AF23E9A"/>
    <w:rsid w:val="5B0A0784"/>
    <w:rsid w:val="5B120C5C"/>
    <w:rsid w:val="5B6579A1"/>
    <w:rsid w:val="5B7904E4"/>
    <w:rsid w:val="5B9462A0"/>
    <w:rsid w:val="5BA908A2"/>
    <w:rsid w:val="5BBE156E"/>
    <w:rsid w:val="5C1327E3"/>
    <w:rsid w:val="5C281F29"/>
    <w:rsid w:val="5C5B5DCF"/>
    <w:rsid w:val="5C69772C"/>
    <w:rsid w:val="5C735EB5"/>
    <w:rsid w:val="5CA52A3F"/>
    <w:rsid w:val="5CAC2658"/>
    <w:rsid w:val="5CAD72F6"/>
    <w:rsid w:val="5CD43FAC"/>
    <w:rsid w:val="5CE344C0"/>
    <w:rsid w:val="5CE80A74"/>
    <w:rsid w:val="5CF74D38"/>
    <w:rsid w:val="5D0B0E9F"/>
    <w:rsid w:val="5D512CA6"/>
    <w:rsid w:val="5D7874FB"/>
    <w:rsid w:val="5D9061DC"/>
    <w:rsid w:val="5D9D3F39"/>
    <w:rsid w:val="5DDE5530"/>
    <w:rsid w:val="5DFB537D"/>
    <w:rsid w:val="5E0429E5"/>
    <w:rsid w:val="5E547F68"/>
    <w:rsid w:val="5E8C75FF"/>
    <w:rsid w:val="5EF41845"/>
    <w:rsid w:val="5F2B0CC9"/>
    <w:rsid w:val="5F41502B"/>
    <w:rsid w:val="5F5024DD"/>
    <w:rsid w:val="5F503D12"/>
    <w:rsid w:val="5F577D10"/>
    <w:rsid w:val="5F7A57AC"/>
    <w:rsid w:val="5F8B54DC"/>
    <w:rsid w:val="5FDF3633"/>
    <w:rsid w:val="5FE32DF1"/>
    <w:rsid w:val="604F42DF"/>
    <w:rsid w:val="60575AEE"/>
    <w:rsid w:val="607B1928"/>
    <w:rsid w:val="61066396"/>
    <w:rsid w:val="61127899"/>
    <w:rsid w:val="611B2BA6"/>
    <w:rsid w:val="611B3673"/>
    <w:rsid w:val="614D299F"/>
    <w:rsid w:val="61D03DA9"/>
    <w:rsid w:val="61F65390"/>
    <w:rsid w:val="62244CAF"/>
    <w:rsid w:val="62261C1B"/>
    <w:rsid w:val="622F0AD0"/>
    <w:rsid w:val="62566BCE"/>
    <w:rsid w:val="62676091"/>
    <w:rsid w:val="626B6B58"/>
    <w:rsid w:val="627806C9"/>
    <w:rsid w:val="629A3427"/>
    <w:rsid w:val="62B45A48"/>
    <w:rsid w:val="62E0626E"/>
    <w:rsid w:val="632435C1"/>
    <w:rsid w:val="632B5D35"/>
    <w:rsid w:val="632E5AA6"/>
    <w:rsid w:val="63416D0D"/>
    <w:rsid w:val="637C5F97"/>
    <w:rsid w:val="63A513C0"/>
    <w:rsid w:val="63B05C41"/>
    <w:rsid w:val="63BF7C32"/>
    <w:rsid w:val="63C25A0C"/>
    <w:rsid w:val="63CE15D5"/>
    <w:rsid w:val="63F504A8"/>
    <w:rsid w:val="648275DD"/>
    <w:rsid w:val="648E6FDB"/>
    <w:rsid w:val="64B1461A"/>
    <w:rsid w:val="64E32E12"/>
    <w:rsid w:val="64E947A7"/>
    <w:rsid w:val="64EF2799"/>
    <w:rsid w:val="657F40D5"/>
    <w:rsid w:val="65A97F2D"/>
    <w:rsid w:val="65BD4645"/>
    <w:rsid w:val="65F67C3C"/>
    <w:rsid w:val="66096C96"/>
    <w:rsid w:val="661A3019"/>
    <w:rsid w:val="666D1BC7"/>
    <w:rsid w:val="668441F3"/>
    <w:rsid w:val="66AA05FC"/>
    <w:rsid w:val="66AD4F00"/>
    <w:rsid w:val="66C64F06"/>
    <w:rsid w:val="66FD30FB"/>
    <w:rsid w:val="67847A65"/>
    <w:rsid w:val="67A52415"/>
    <w:rsid w:val="67DB7004"/>
    <w:rsid w:val="683E7671"/>
    <w:rsid w:val="68600384"/>
    <w:rsid w:val="68604FE1"/>
    <w:rsid w:val="687116DC"/>
    <w:rsid w:val="688332B4"/>
    <w:rsid w:val="68AB4C28"/>
    <w:rsid w:val="68CD2E71"/>
    <w:rsid w:val="68D270DD"/>
    <w:rsid w:val="68E066DE"/>
    <w:rsid w:val="68E54C48"/>
    <w:rsid w:val="68FC71D7"/>
    <w:rsid w:val="691C1682"/>
    <w:rsid w:val="695928D6"/>
    <w:rsid w:val="696939EE"/>
    <w:rsid w:val="699143E2"/>
    <w:rsid w:val="69A77022"/>
    <w:rsid w:val="69C266CE"/>
    <w:rsid w:val="69DE0CFA"/>
    <w:rsid w:val="69EA7C92"/>
    <w:rsid w:val="69F14922"/>
    <w:rsid w:val="6A2A3380"/>
    <w:rsid w:val="6ABD7E59"/>
    <w:rsid w:val="6AC348EB"/>
    <w:rsid w:val="6AC76706"/>
    <w:rsid w:val="6AFE1987"/>
    <w:rsid w:val="6B011DD2"/>
    <w:rsid w:val="6B1F5596"/>
    <w:rsid w:val="6B2A00D0"/>
    <w:rsid w:val="6B451364"/>
    <w:rsid w:val="6BD623D3"/>
    <w:rsid w:val="6BE75734"/>
    <w:rsid w:val="6BEE7BE8"/>
    <w:rsid w:val="6BF1329A"/>
    <w:rsid w:val="6BFA44C9"/>
    <w:rsid w:val="6C5026C5"/>
    <w:rsid w:val="6CBA0FE1"/>
    <w:rsid w:val="6CD40BF2"/>
    <w:rsid w:val="6D351D04"/>
    <w:rsid w:val="6D5D1C61"/>
    <w:rsid w:val="6D602485"/>
    <w:rsid w:val="6D731D08"/>
    <w:rsid w:val="6DAC7B9E"/>
    <w:rsid w:val="6DD124C7"/>
    <w:rsid w:val="6DDC2468"/>
    <w:rsid w:val="6DDE410C"/>
    <w:rsid w:val="6DF171BC"/>
    <w:rsid w:val="6DFC1022"/>
    <w:rsid w:val="6E046EA8"/>
    <w:rsid w:val="6E834752"/>
    <w:rsid w:val="6ED60CE1"/>
    <w:rsid w:val="6EF835C3"/>
    <w:rsid w:val="6F073E88"/>
    <w:rsid w:val="6F854596"/>
    <w:rsid w:val="6FE4739E"/>
    <w:rsid w:val="700F31DA"/>
    <w:rsid w:val="701F4FF2"/>
    <w:rsid w:val="704F72BE"/>
    <w:rsid w:val="70852E85"/>
    <w:rsid w:val="70891CF3"/>
    <w:rsid w:val="70A40355"/>
    <w:rsid w:val="70A97C9F"/>
    <w:rsid w:val="70EA16B8"/>
    <w:rsid w:val="713B7C54"/>
    <w:rsid w:val="713F2D94"/>
    <w:rsid w:val="714A76D4"/>
    <w:rsid w:val="715A6BBC"/>
    <w:rsid w:val="71A633FF"/>
    <w:rsid w:val="71CF1DC7"/>
    <w:rsid w:val="71D945B4"/>
    <w:rsid w:val="71FD53CA"/>
    <w:rsid w:val="72023B0B"/>
    <w:rsid w:val="722A6994"/>
    <w:rsid w:val="723A0490"/>
    <w:rsid w:val="7256211C"/>
    <w:rsid w:val="72603215"/>
    <w:rsid w:val="726A7902"/>
    <w:rsid w:val="72BC63B0"/>
    <w:rsid w:val="72C21D7D"/>
    <w:rsid w:val="72DC3FC0"/>
    <w:rsid w:val="735A4A9F"/>
    <w:rsid w:val="735A7977"/>
    <w:rsid w:val="735E1215"/>
    <w:rsid w:val="739A177F"/>
    <w:rsid w:val="73A37F13"/>
    <w:rsid w:val="73AE39A4"/>
    <w:rsid w:val="74010CAC"/>
    <w:rsid w:val="74183ABF"/>
    <w:rsid w:val="742963BF"/>
    <w:rsid w:val="743D1DD0"/>
    <w:rsid w:val="74A2126A"/>
    <w:rsid w:val="75225010"/>
    <w:rsid w:val="752B5127"/>
    <w:rsid w:val="75720FA8"/>
    <w:rsid w:val="75812F99"/>
    <w:rsid w:val="75933637"/>
    <w:rsid w:val="759519D5"/>
    <w:rsid w:val="75C52778"/>
    <w:rsid w:val="75CA61E0"/>
    <w:rsid w:val="75F16628"/>
    <w:rsid w:val="75F47C0F"/>
    <w:rsid w:val="76411B65"/>
    <w:rsid w:val="764F6506"/>
    <w:rsid w:val="766C3C49"/>
    <w:rsid w:val="76AF7FDA"/>
    <w:rsid w:val="76D11CFE"/>
    <w:rsid w:val="77113EF9"/>
    <w:rsid w:val="77124670"/>
    <w:rsid w:val="77550F96"/>
    <w:rsid w:val="778B417D"/>
    <w:rsid w:val="77985B18"/>
    <w:rsid w:val="77C81353"/>
    <w:rsid w:val="77CF26E1"/>
    <w:rsid w:val="77D31AA6"/>
    <w:rsid w:val="780C2DA9"/>
    <w:rsid w:val="781F6570"/>
    <w:rsid w:val="789E20B4"/>
    <w:rsid w:val="78A02D1C"/>
    <w:rsid w:val="78A67AE6"/>
    <w:rsid w:val="78B632C4"/>
    <w:rsid w:val="78EB5A57"/>
    <w:rsid w:val="790C34C1"/>
    <w:rsid w:val="79202AC9"/>
    <w:rsid w:val="79377082"/>
    <w:rsid w:val="7938532F"/>
    <w:rsid w:val="79507C15"/>
    <w:rsid w:val="79802F91"/>
    <w:rsid w:val="798048D7"/>
    <w:rsid w:val="799048F5"/>
    <w:rsid w:val="79A75250"/>
    <w:rsid w:val="79B53B59"/>
    <w:rsid w:val="79C45B4A"/>
    <w:rsid w:val="79C612CE"/>
    <w:rsid w:val="7A0F2487"/>
    <w:rsid w:val="7A3B22B0"/>
    <w:rsid w:val="7A3E76AA"/>
    <w:rsid w:val="7A927198"/>
    <w:rsid w:val="7AA3706F"/>
    <w:rsid w:val="7AC9522D"/>
    <w:rsid w:val="7AE364A4"/>
    <w:rsid w:val="7B2368A0"/>
    <w:rsid w:val="7B354F51"/>
    <w:rsid w:val="7B3C4164"/>
    <w:rsid w:val="7B4E6013"/>
    <w:rsid w:val="7B5D582A"/>
    <w:rsid w:val="7B607AF4"/>
    <w:rsid w:val="7B760BD4"/>
    <w:rsid w:val="7BA55A70"/>
    <w:rsid w:val="7BE53E20"/>
    <w:rsid w:val="7BF65697"/>
    <w:rsid w:val="7C5B7C86"/>
    <w:rsid w:val="7C635AEE"/>
    <w:rsid w:val="7C672088"/>
    <w:rsid w:val="7C927159"/>
    <w:rsid w:val="7C9741E9"/>
    <w:rsid w:val="7CEE1147"/>
    <w:rsid w:val="7D282F58"/>
    <w:rsid w:val="7D556E56"/>
    <w:rsid w:val="7D676F18"/>
    <w:rsid w:val="7D833182"/>
    <w:rsid w:val="7D9F70C6"/>
    <w:rsid w:val="7DAC0DCF"/>
    <w:rsid w:val="7DB12889"/>
    <w:rsid w:val="7DCB0A32"/>
    <w:rsid w:val="7DE107B8"/>
    <w:rsid w:val="7DEB54A4"/>
    <w:rsid w:val="7E07105A"/>
    <w:rsid w:val="7E233DC5"/>
    <w:rsid w:val="7E276357"/>
    <w:rsid w:val="7E5E2B03"/>
    <w:rsid w:val="7E6959D0"/>
    <w:rsid w:val="7E9E60C3"/>
    <w:rsid w:val="7EAA1510"/>
    <w:rsid w:val="7EAE5DD5"/>
    <w:rsid w:val="7ECF2FC7"/>
    <w:rsid w:val="7EED1BF2"/>
    <w:rsid w:val="7EF63DF0"/>
    <w:rsid w:val="7F2F78D2"/>
    <w:rsid w:val="7F42110C"/>
    <w:rsid w:val="7F5C0007"/>
    <w:rsid w:val="7F5F1C70"/>
    <w:rsid w:val="7FBE22C2"/>
    <w:rsid w:val="7FDB6003"/>
    <w:rsid w:val="7FFF710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semiHidden="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35" w:semiHidden="0" w:name="caption"/>
    <w:lsdException w:qFormat="1" w:unhideWhenUsed="0" w:uiPriority="0" w:semiHidden="0" w:name="table of figures"/>
    <w:lsdException w:qFormat="1" w:unhideWhenUsed="0" w:uiPriority="0" w:name="envelope address"/>
    <w:lsdException w:qFormat="1" w:unhideWhenUsed="0" w:uiPriority="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name="table of authorities"/>
    <w:lsdException w:qFormat="1" w:unhideWhenUsed="0" w:uiPriority="0" w:semiHidden="0" w:name="macro"/>
    <w:lsdException w:unhideWhenUsed="0" w:uiPriority="0" w:name="toa heading"/>
    <w:lsdException w:qFormat="1" w:unhideWhenUsed="0" w:uiPriority="0" w:semiHidden="0" w:name="List"/>
    <w:lsdException w:qFormat="1" w:unhideWhenUsed="0" w:uiPriority="0" w:semiHidden="0" w:name="List Bullet"/>
    <w:lsdException w:qFormat="1" w:unhideWhenUsed="0" w:uiPriority="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name="List 5"/>
    <w:lsdException w:qFormat="1" w:unhideWhenUsed="0" w:uiPriority="0" w:semiHidden="0" w:name="List Bullet 2"/>
    <w:lsdException w:qFormat="1" w:unhideWhenUsed="0" w:uiPriority="0" w:semiHidden="0" w:name="List Bullet 3"/>
    <w:lsdException w:qFormat="1" w:unhideWhenUsed="0" w:uiPriority="0" w:name="List Bullet 4"/>
    <w:lsdException w:qFormat="1" w:unhideWhenUsed="0" w:uiPriority="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name="List Number 5"/>
    <w:lsdException w:qFormat="1" w:unhideWhenUsed="0" w:uiPriority="0" w:semiHidden="0" w:name="Title"/>
    <w:lsdException w:qFormat="1" w:unhideWhenUsed="0" w:uiPriority="0" w:name="Closing"/>
    <w:lsdException w:qFormat="1" w:unhideWhenUsed="0"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name="List Continue"/>
    <w:lsdException w:qFormat="1" w:unhideWhenUsed="0" w:uiPriority="0" w:name="List Continue 2"/>
    <w:lsdException w:qFormat="1" w:unhideWhenUsed="0" w:uiPriority="0" w:name="List Continue 3"/>
    <w:lsdException w:qFormat="1" w:unhideWhenUsed="0" w:uiPriority="0" w:name="List Continue 4"/>
    <w:lsdException w:qFormat="1" w:unhideWhenUsed="0" w:uiPriority="0" w:name="List Continue 5"/>
    <w:lsdException w:qFormat="1" w:unhideWhenUsed="0" w:uiPriority="0" w:name="Message Header"/>
    <w:lsdException w:qFormat="1" w:unhideWhenUsed="0" w:uiPriority="0" w:semiHidden="0" w:name="Subtitle"/>
    <w:lsdException w:qFormat="1" w:unhideWhenUsed="0"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0" w:name="E-mail Signature"/>
    <w:lsdException w:qFormat="1" w:unhideWhenUsed="0" w:uiPriority="0" w:semiHidden="0" w:name="Normal (Web)"/>
    <w:lsdException w:qFormat="1" w:unhideWhenUsed="0" w:uiPriority="0" w:name="HTML Acronym"/>
    <w:lsdException w:qFormat="1" w:unhideWhenUsed="0" w:uiPriority="0" w:name="HTML Address"/>
    <w:lsdException w:qFormat="1" w:unhideWhenUsed="0" w:uiPriority="0" w:name="HTML Cite"/>
    <w:lsdException w:qFormat="1" w:unhideWhenUsed="0" w:uiPriority="0" w:semiHidden="0" w:name="HTML Code"/>
    <w:lsdException w:qFormat="1" w:unhideWhenUsed="0" w:uiPriority="0" w:name="HTML Definition"/>
    <w:lsdException w:qFormat="1" w:unhideWhenUsed="0" w:uiPriority="0" w:name="HTML Keyboard"/>
    <w:lsdException w:qFormat="1" w:unhideWhenUsed="0" w:uiPriority="0" w:semiHidden="0" w:name="HTML Preformatted"/>
    <w:lsdException w:qFormat="1" w:unhideWhenUsed="0" w:uiPriority="0" w:name="HTML Sample"/>
    <w:lsdException w:qFormat="1" w:unhideWhenUsed="0" w:uiPriority="0" w:name="HTML Typewriter"/>
    <w:lsdException w:qFormat="1" w:unhideWhenUsed="0" w:uiPriority="0" w:name="HTML Variable"/>
    <w:lsdException w:qFormat="1" w:uiPriority="99" w:semiHidden="0" w:name="Normal Table"/>
    <w:lsdException w:qFormat="1" w:unhideWhenUsed="0" w:uiPriority="0" w:semiHidden="0" w:name="annotation subject"/>
    <w:lsdException w:qFormat="1" w:unhideWhenUsed="0" w:uiPriority="0" w:semiHidden="0" w:name="Table Simple 1"/>
    <w:lsdException w:qFormat="1" w:unhideWhenUsed="0" w:uiPriority="0" w:name="Table Simple 2"/>
    <w:lsdException w:qFormat="1" w:unhideWhenUsed="0" w:uiPriority="0" w:name="Table Simple 3"/>
    <w:lsdException w:qFormat="1" w:unhideWhenUsed="0" w:uiPriority="0" w:semiHidden="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qFormat="1" w:unhideWhenUsed="0" w:uiPriority="0" w:name="Table Columns 3"/>
    <w:lsdException w:qFormat="1" w:unhideWhenUsed="0" w:uiPriority="0" w:name="Table Columns 4"/>
    <w:lsdException w:qFormat="1" w:unhideWhenUsed="0" w:uiPriority="0" w:name="Table Columns 5"/>
    <w:lsdException w:qFormat="1" w:unhideWhenUsed="0" w:uiPriority="0" w:semiHidden="0" w:name="Table Grid 1"/>
    <w:lsdException w:qFormat="1" w:unhideWhenUsed="0" w:uiPriority="0" w:name="Table Grid 2"/>
    <w:lsdException w:qFormat="1" w:unhideWhenUsed="0" w:uiPriority="0" w:name="Table Grid 3"/>
    <w:lsdException w:qFormat="1" w:unhideWhenUsed="0" w:uiPriority="0" w:name="Table Grid 4"/>
    <w:lsdException w:qFormat="1" w:unhideWhenUsed="0" w:uiPriority="0" w:name="Table Grid 5"/>
    <w:lsdException w:qFormat="1" w:unhideWhenUsed="0" w:uiPriority="0" w:name="Table Grid 6"/>
    <w:lsdException w:qFormat="1" w:unhideWhenUsed="0" w:uiPriority="0" w:semiHidden="0" w:name="Table Grid 7"/>
    <w:lsdException w:qFormat="1" w:unhideWhenUsed="0" w:uiPriority="0" w:name="Table Grid 8"/>
    <w:lsdException w:qFormat="1" w:unhideWhenUsed="0" w:uiPriority="0" w:name="Table List 1"/>
    <w:lsdException w:qFormat="1" w:unhideWhenUsed="0" w:uiPriority="0" w:semiHidden="0" w:name="Table List 2"/>
    <w:lsdException w:qFormat="1" w:unhideWhenUsed="0" w:uiPriority="0" w:name="Table List 3"/>
    <w:lsdException w:qFormat="1" w:unhideWhenUsed="0" w:uiPriority="0" w:name="Table List 4"/>
    <w:lsdException w:qFormat="1" w:unhideWhenUsed="0" w:uiPriority="0" w:name="Table List 5"/>
    <w:lsdException w:qFormat="1" w:unhideWhenUsed="0" w:uiPriority="0" w:name="Table List 6"/>
    <w:lsdException w:qFormat="1" w:unhideWhenUsed="0" w:uiPriority="0" w:name="Table List 7"/>
    <w:lsdException w:qFormat="1" w:unhideWhenUsed="0" w:uiPriority="0" w:name="Table List 8"/>
    <w:lsdException w:qFormat="1" w:unhideWhenUsed="0" w:uiPriority="0" w:name="Table 3D effects 1"/>
    <w:lsdException w:qFormat="1" w:unhideWhenUsed="0" w:uiPriority="0" w:name="Table 3D effects 2"/>
    <w:lsdException w:qFormat="1" w:unhideWhenUsed="0" w:uiPriority="0" w:name="Table 3D effects 3"/>
    <w:lsdException w:qFormat="1" w:unhideWhenUsed="0" w:uiPriority="0" w:name="Table Contemporary"/>
    <w:lsdException w:qFormat="1" w:unhideWhenUsed="0" w:uiPriority="0" w:semiHidden="0" w:name="Table Elegant"/>
    <w:lsdException w:qFormat="1" w:unhideWhenUsed="0" w:uiPriority="0" w:name="Table Professional"/>
    <w:lsdException w:qFormat="1" w:unhideWhenUsed="0" w:uiPriority="0" w:name="Table Subtle 1"/>
    <w:lsdException w:qFormat="1" w:unhideWhenUsed="0" w:uiPriority="0" w:name="Table Subtle 2"/>
    <w:lsdException w:qFormat="1" w:unhideWhenUsed="0" w:uiPriority="0" w:name="Table Web 1"/>
    <w:lsdException w:qFormat="1" w:unhideWhenUsed="0" w:uiPriority="0" w:name="Table Web 2"/>
    <w:lsdException w:qFormat="1" w:unhideWhenUsed="0" w:uiPriority="0"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宋体" w:cs="Times New Roman"/>
      <w:sz w:val="24"/>
      <w:lang w:val="en-US" w:eastAsia="zh-CN" w:bidi="ar-SA"/>
    </w:rPr>
  </w:style>
  <w:style w:type="paragraph" w:styleId="3">
    <w:name w:val="heading 1"/>
    <w:basedOn w:val="1"/>
    <w:next w:val="1"/>
    <w:link w:val="155"/>
    <w:qFormat/>
    <w:uiPriority w:val="0"/>
    <w:pPr>
      <w:keepNext/>
      <w:keepLines/>
      <w:numPr>
        <w:ilvl w:val="0"/>
        <w:numId w:val="1"/>
      </w:numPr>
      <w:spacing w:before="240" w:after="240" w:line="480" w:lineRule="auto"/>
      <w:jc w:val="center"/>
      <w:outlineLvl w:val="0"/>
    </w:pPr>
    <w:rPr>
      <w:b/>
      <w:bCs/>
      <w:kern w:val="44"/>
      <w:sz w:val="36"/>
      <w:szCs w:val="44"/>
    </w:rPr>
  </w:style>
  <w:style w:type="paragraph" w:styleId="4">
    <w:name w:val="heading 2"/>
    <w:basedOn w:val="1"/>
    <w:next w:val="1"/>
    <w:link w:val="156"/>
    <w:qFormat/>
    <w:uiPriority w:val="0"/>
    <w:pPr>
      <w:keepNext/>
      <w:keepLines/>
      <w:numPr>
        <w:ilvl w:val="1"/>
        <w:numId w:val="1"/>
      </w:numPr>
      <w:tabs>
        <w:tab w:val="left" w:pos="567"/>
      </w:tabs>
      <w:adjustRightInd w:val="0"/>
      <w:spacing w:before="240" w:after="240"/>
      <w:outlineLvl w:val="1"/>
    </w:pPr>
    <w:rPr>
      <w:rFonts w:ascii="Arial" w:hAnsi="Arial" w:eastAsia="黑体"/>
      <w:b/>
      <w:bCs/>
      <w:sz w:val="30"/>
      <w:szCs w:val="32"/>
    </w:rPr>
  </w:style>
  <w:style w:type="paragraph" w:styleId="5">
    <w:name w:val="heading 3"/>
    <w:basedOn w:val="1"/>
    <w:next w:val="1"/>
    <w:link w:val="157"/>
    <w:qFormat/>
    <w:uiPriority w:val="0"/>
    <w:pPr>
      <w:keepNext/>
      <w:keepLines/>
      <w:numPr>
        <w:ilvl w:val="2"/>
        <w:numId w:val="1"/>
      </w:numPr>
      <w:spacing w:before="120" w:after="120"/>
      <w:ind w:left="452"/>
      <w:outlineLvl w:val="2"/>
    </w:pPr>
    <w:rPr>
      <w:rFonts w:ascii="Times New Roman" w:hAnsi="Times New Roman" w:eastAsia="宋体"/>
      <w:b/>
      <w:bCs/>
      <w:sz w:val="28"/>
      <w:szCs w:val="32"/>
    </w:rPr>
  </w:style>
  <w:style w:type="paragraph" w:styleId="6">
    <w:name w:val="heading 4"/>
    <w:basedOn w:val="1"/>
    <w:next w:val="1"/>
    <w:link w:val="158"/>
    <w:qFormat/>
    <w:uiPriority w:val="0"/>
    <w:pPr>
      <w:keepNext/>
      <w:keepLines/>
      <w:numPr>
        <w:ilvl w:val="3"/>
        <w:numId w:val="1"/>
      </w:numPr>
      <w:spacing w:line="360" w:lineRule="auto"/>
      <w:ind w:left="0"/>
      <w:outlineLvl w:val="3"/>
    </w:pPr>
    <w:rPr>
      <w:rFonts w:ascii="Times New Roman" w:hAnsi="Times New Roman" w:eastAsia="宋体"/>
      <w:b/>
      <w:bCs/>
      <w:szCs w:val="28"/>
    </w:rPr>
  </w:style>
  <w:style w:type="paragraph" w:styleId="7">
    <w:name w:val="heading 5"/>
    <w:basedOn w:val="1"/>
    <w:link w:val="159"/>
    <w:qFormat/>
    <w:uiPriority w:val="0"/>
    <w:pPr>
      <w:spacing w:line="360" w:lineRule="auto"/>
      <w:ind w:firstLine="200" w:firstLineChars="200"/>
      <w:outlineLvl w:val="4"/>
    </w:pPr>
    <w:rPr>
      <w:rFonts w:ascii="宋体" w:hAnsi="宋体"/>
    </w:rPr>
  </w:style>
  <w:style w:type="paragraph" w:styleId="8">
    <w:name w:val="heading 6"/>
    <w:basedOn w:val="1"/>
    <w:next w:val="1"/>
    <w:link w:val="160"/>
    <w:qFormat/>
    <w:uiPriority w:val="0"/>
    <w:pPr>
      <w:keepNext/>
      <w:keepLines/>
      <w:tabs>
        <w:tab w:val="left" w:pos="555"/>
      </w:tabs>
      <w:spacing w:before="240" w:after="64" w:line="320" w:lineRule="auto"/>
      <w:ind w:left="555" w:hanging="555"/>
      <w:outlineLvl w:val="5"/>
    </w:pPr>
    <w:rPr>
      <w:rFonts w:ascii="Arial" w:hAnsi="Arial" w:eastAsia="黑体"/>
      <w:b/>
      <w:bCs/>
    </w:rPr>
  </w:style>
  <w:style w:type="paragraph" w:styleId="9">
    <w:name w:val="heading 7"/>
    <w:basedOn w:val="1"/>
    <w:next w:val="1"/>
    <w:link w:val="161"/>
    <w:qFormat/>
    <w:uiPriority w:val="0"/>
    <w:pPr>
      <w:keepNext/>
      <w:keepLines/>
      <w:tabs>
        <w:tab w:val="left" w:pos="555"/>
      </w:tabs>
      <w:spacing w:before="240" w:after="64" w:line="320" w:lineRule="auto"/>
      <w:ind w:left="555" w:hanging="555"/>
      <w:outlineLvl w:val="6"/>
    </w:pPr>
    <w:rPr>
      <w:rFonts w:ascii="宋体"/>
      <w:b/>
      <w:bCs/>
    </w:rPr>
  </w:style>
  <w:style w:type="paragraph" w:styleId="10">
    <w:name w:val="heading 8"/>
    <w:basedOn w:val="1"/>
    <w:next w:val="1"/>
    <w:link w:val="162"/>
    <w:qFormat/>
    <w:uiPriority w:val="0"/>
    <w:pPr>
      <w:keepNext/>
      <w:keepLines/>
      <w:tabs>
        <w:tab w:val="left" w:pos="555"/>
      </w:tabs>
      <w:spacing w:before="240" w:after="64" w:line="320" w:lineRule="auto"/>
      <w:ind w:left="555" w:hanging="555"/>
      <w:outlineLvl w:val="7"/>
    </w:pPr>
    <w:rPr>
      <w:rFonts w:ascii="Arial" w:hAnsi="Arial" w:eastAsia="黑体"/>
    </w:rPr>
  </w:style>
  <w:style w:type="paragraph" w:styleId="11">
    <w:name w:val="heading 9"/>
    <w:basedOn w:val="1"/>
    <w:next w:val="1"/>
    <w:link w:val="163"/>
    <w:qFormat/>
    <w:uiPriority w:val="0"/>
    <w:pPr>
      <w:keepNext/>
      <w:keepLines/>
      <w:tabs>
        <w:tab w:val="left" w:pos="555"/>
      </w:tabs>
      <w:spacing w:before="240" w:after="64" w:line="320" w:lineRule="auto"/>
      <w:ind w:left="555" w:hanging="555"/>
      <w:outlineLvl w:val="8"/>
    </w:pPr>
    <w:rPr>
      <w:rFonts w:ascii="Arial" w:hAnsi="Arial" w:eastAsia="黑体"/>
      <w:szCs w:val="21"/>
    </w:rPr>
  </w:style>
  <w:style w:type="character" w:default="1" w:styleId="132">
    <w:name w:val="Default Paragraph Font"/>
    <w:unhideWhenUsed/>
    <w:qFormat/>
    <w:uiPriority w:val="1"/>
  </w:style>
  <w:style w:type="table" w:default="1" w:styleId="87">
    <w:name w:val="Normal Table"/>
    <w:unhideWhenUsed/>
    <w:qFormat/>
    <w:uiPriority w:val="99"/>
    <w:tblPr>
      <w:tblCellMar>
        <w:top w:w="0" w:type="dxa"/>
        <w:left w:w="108" w:type="dxa"/>
        <w:bottom w:w="0" w:type="dxa"/>
        <w:right w:w="108" w:type="dxa"/>
      </w:tblCellMar>
    </w:tblPr>
  </w:style>
  <w:style w:type="paragraph" w:styleId="2">
    <w:name w:val="macro"/>
    <w:link w:val="154"/>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szCs w:val="24"/>
      <w:lang w:val="en-US" w:eastAsia="zh-CN" w:bidi="ar-SA"/>
    </w:rPr>
  </w:style>
  <w:style w:type="paragraph" w:styleId="12">
    <w:name w:val="List 3"/>
    <w:basedOn w:val="1"/>
    <w:qFormat/>
    <w:uiPriority w:val="0"/>
    <w:pPr>
      <w:ind w:left="1260" w:hanging="420"/>
    </w:pPr>
    <w:rPr>
      <w:szCs w:val="20"/>
    </w:rPr>
  </w:style>
  <w:style w:type="paragraph" w:styleId="13">
    <w:name w:val="toc 7"/>
    <w:basedOn w:val="1"/>
    <w:next w:val="1"/>
    <w:qFormat/>
    <w:uiPriority w:val="39"/>
    <w:pPr>
      <w:ind w:left="1260"/>
      <w:jc w:val="left"/>
    </w:pPr>
    <w:rPr>
      <w:sz w:val="18"/>
      <w:szCs w:val="18"/>
    </w:rPr>
  </w:style>
  <w:style w:type="paragraph" w:styleId="14">
    <w:name w:val="List Number 2"/>
    <w:basedOn w:val="1"/>
    <w:semiHidden/>
    <w:qFormat/>
    <w:uiPriority w:val="0"/>
    <w:pPr>
      <w:tabs>
        <w:tab w:val="left" w:pos="780"/>
      </w:tabs>
      <w:ind w:left="780" w:leftChars="200" w:hanging="360" w:hangingChars="200"/>
    </w:pPr>
  </w:style>
  <w:style w:type="paragraph" w:styleId="15">
    <w:name w:val="Note Heading"/>
    <w:basedOn w:val="1"/>
    <w:next w:val="1"/>
    <w:link w:val="164"/>
    <w:qFormat/>
    <w:uiPriority w:val="0"/>
    <w:pPr>
      <w:jc w:val="center"/>
    </w:pPr>
    <w:rPr>
      <w:rFonts w:ascii="宋体"/>
      <w:sz w:val="28"/>
      <w:szCs w:val="20"/>
    </w:rPr>
  </w:style>
  <w:style w:type="paragraph" w:styleId="16">
    <w:name w:val="List Bullet 4"/>
    <w:basedOn w:val="1"/>
    <w:semiHidden/>
    <w:qFormat/>
    <w:uiPriority w:val="0"/>
    <w:pPr>
      <w:tabs>
        <w:tab w:val="left" w:pos="1620"/>
      </w:tabs>
      <w:ind w:left="1620" w:leftChars="600" w:hanging="360" w:hangingChars="200"/>
    </w:pPr>
  </w:style>
  <w:style w:type="paragraph" w:styleId="17">
    <w:name w:val="index 8"/>
    <w:basedOn w:val="1"/>
    <w:next w:val="1"/>
    <w:qFormat/>
    <w:uiPriority w:val="0"/>
    <w:pPr>
      <w:autoSpaceDE w:val="0"/>
      <w:autoSpaceDN w:val="0"/>
      <w:adjustRightInd w:val="0"/>
      <w:ind w:left="1400" w:leftChars="1400"/>
      <w:jc w:val="left"/>
      <w:textAlignment w:val="baseline"/>
    </w:pPr>
    <w:rPr>
      <w:rFonts w:ascii="宋体"/>
      <w:kern w:val="0"/>
      <w:sz w:val="34"/>
      <w:szCs w:val="20"/>
    </w:rPr>
  </w:style>
  <w:style w:type="paragraph" w:styleId="18">
    <w:name w:val="E-mail Signature"/>
    <w:basedOn w:val="1"/>
    <w:link w:val="165"/>
    <w:semiHidden/>
    <w:qFormat/>
    <w:uiPriority w:val="0"/>
  </w:style>
  <w:style w:type="paragraph" w:styleId="19">
    <w:name w:val="List Number"/>
    <w:basedOn w:val="1"/>
    <w:semiHidden/>
    <w:qFormat/>
    <w:uiPriority w:val="0"/>
    <w:pPr>
      <w:tabs>
        <w:tab w:val="left" w:pos="360"/>
      </w:tabs>
      <w:ind w:left="360" w:hanging="360" w:hangingChars="200"/>
    </w:pPr>
  </w:style>
  <w:style w:type="paragraph" w:styleId="20">
    <w:name w:val="Normal Indent"/>
    <w:basedOn w:val="1"/>
    <w:link w:val="166"/>
    <w:qFormat/>
    <w:uiPriority w:val="0"/>
    <w:pPr>
      <w:ind w:firstLine="420"/>
    </w:pPr>
    <w:rPr>
      <w:szCs w:val="20"/>
    </w:rPr>
  </w:style>
  <w:style w:type="paragraph" w:styleId="21">
    <w:name w:val="caption"/>
    <w:basedOn w:val="1"/>
    <w:next w:val="1"/>
    <w:qFormat/>
    <w:uiPriority w:val="35"/>
    <w:rPr>
      <w:rFonts w:ascii="Arial" w:hAnsi="Arial" w:eastAsia="黑体"/>
      <w:sz w:val="20"/>
      <w:szCs w:val="20"/>
    </w:rPr>
  </w:style>
  <w:style w:type="paragraph" w:styleId="22">
    <w:name w:val="index 5"/>
    <w:basedOn w:val="1"/>
    <w:next w:val="1"/>
    <w:semiHidden/>
    <w:qFormat/>
    <w:uiPriority w:val="0"/>
    <w:pPr>
      <w:ind w:left="1200" w:hanging="240"/>
      <w:jc w:val="left"/>
    </w:pPr>
    <w:rPr>
      <w:sz w:val="20"/>
      <w:szCs w:val="20"/>
    </w:rPr>
  </w:style>
  <w:style w:type="paragraph" w:styleId="23">
    <w:name w:val="List Bullet"/>
    <w:basedOn w:val="1"/>
    <w:qFormat/>
    <w:uiPriority w:val="0"/>
    <w:pPr>
      <w:tabs>
        <w:tab w:val="left" w:pos="360"/>
      </w:tabs>
      <w:ind w:left="360" w:hanging="360" w:hangingChars="200"/>
    </w:pPr>
    <w:rPr>
      <w:rFonts w:ascii="宋体"/>
    </w:rPr>
  </w:style>
  <w:style w:type="paragraph" w:styleId="24">
    <w:name w:val="envelope address"/>
    <w:basedOn w:val="1"/>
    <w:semiHidden/>
    <w:qFormat/>
    <w:uiPriority w:val="0"/>
    <w:pPr>
      <w:framePr w:w="7920" w:h="1980" w:hRule="exact" w:hSpace="180" w:wrap="around" w:vAnchor="margin" w:hAnchor="page" w:xAlign="center" w:yAlign="bottom"/>
      <w:snapToGrid w:val="0"/>
      <w:ind w:left="100" w:leftChars="1400"/>
    </w:pPr>
    <w:rPr>
      <w:rFonts w:ascii="Arial" w:hAnsi="Arial" w:cs="Arial"/>
    </w:rPr>
  </w:style>
  <w:style w:type="paragraph" w:styleId="25">
    <w:name w:val="Document Map"/>
    <w:basedOn w:val="1"/>
    <w:link w:val="167"/>
    <w:qFormat/>
    <w:uiPriority w:val="0"/>
    <w:pPr>
      <w:shd w:val="clear" w:color="auto" w:fill="000080"/>
    </w:pPr>
  </w:style>
  <w:style w:type="paragraph" w:styleId="26">
    <w:name w:val="annotation text"/>
    <w:basedOn w:val="1"/>
    <w:link w:val="168"/>
    <w:qFormat/>
    <w:uiPriority w:val="0"/>
    <w:pPr>
      <w:jc w:val="left"/>
    </w:pPr>
  </w:style>
  <w:style w:type="paragraph" w:styleId="27">
    <w:name w:val="index 6"/>
    <w:basedOn w:val="1"/>
    <w:next w:val="1"/>
    <w:semiHidden/>
    <w:qFormat/>
    <w:uiPriority w:val="0"/>
    <w:pPr>
      <w:ind w:left="1440" w:hanging="240"/>
      <w:jc w:val="left"/>
    </w:pPr>
    <w:rPr>
      <w:sz w:val="20"/>
      <w:szCs w:val="20"/>
    </w:rPr>
  </w:style>
  <w:style w:type="paragraph" w:styleId="28">
    <w:name w:val="Salutation"/>
    <w:basedOn w:val="1"/>
    <w:next w:val="1"/>
    <w:link w:val="169"/>
    <w:semiHidden/>
    <w:qFormat/>
    <w:uiPriority w:val="0"/>
  </w:style>
  <w:style w:type="paragraph" w:styleId="29">
    <w:name w:val="Body Text 3"/>
    <w:basedOn w:val="1"/>
    <w:link w:val="170"/>
    <w:qFormat/>
    <w:uiPriority w:val="0"/>
    <w:pPr>
      <w:spacing w:after="120"/>
    </w:pPr>
    <w:rPr>
      <w:sz w:val="16"/>
      <w:szCs w:val="16"/>
    </w:rPr>
  </w:style>
  <w:style w:type="paragraph" w:styleId="30">
    <w:name w:val="Closing"/>
    <w:basedOn w:val="1"/>
    <w:link w:val="171"/>
    <w:semiHidden/>
    <w:qFormat/>
    <w:uiPriority w:val="0"/>
    <w:pPr>
      <w:ind w:left="100" w:leftChars="2100"/>
    </w:pPr>
  </w:style>
  <w:style w:type="paragraph" w:styleId="31">
    <w:name w:val="List Bullet 3"/>
    <w:basedOn w:val="1"/>
    <w:qFormat/>
    <w:uiPriority w:val="0"/>
    <w:pPr>
      <w:tabs>
        <w:tab w:val="left" w:pos="1202"/>
      </w:tabs>
      <w:ind w:left="1202" w:hanging="720"/>
    </w:pPr>
  </w:style>
  <w:style w:type="paragraph" w:styleId="32">
    <w:name w:val="Body Text"/>
    <w:basedOn w:val="1"/>
    <w:link w:val="172"/>
    <w:qFormat/>
    <w:uiPriority w:val="0"/>
    <w:rPr>
      <w:sz w:val="21"/>
    </w:rPr>
  </w:style>
  <w:style w:type="paragraph" w:styleId="33">
    <w:name w:val="Body Text Indent"/>
    <w:basedOn w:val="1"/>
    <w:next w:val="34"/>
    <w:link w:val="152"/>
    <w:qFormat/>
    <w:uiPriority w:val="0"/>
    <w:pPr>
      <w:spacing w:after="120"/>
      <w:ind w:left="420" w:leftChars="200"/>
    </w:pPr>
  </w:style>
  <w:style w:type="paragraph" w:customStyle="1" w:styleId="34">
    <w:name w:val="样式 正文文本缩进 + 行距: 1.5 倍行距"/>
    <w:basedOn w:val="33"/>
    <w:qFormat/>
    <w:uiPriority w:val="0"/>
    <w:pPr>
      <w:spacing w:after="0" w:line="360" w:lineRule="auto"/>
      <w:ind w:left="0" w:leftChars="0" w:firstLine="560" w:firstLineChars="200"/>
    </w:pPr>
    <w:rPr>
      <w:rFonts w:cs="宋体"/>
      <w:sz w:val="28"/>
      <w:szCs w:val="20"/>
      <w:lang w:val="en-US" w:eastAsia="zh-CN"/>
    </w:rPr>
  </w:style>
  <w:style w:type="paragraph" w:styleId="35">
    <w:name w:val="List Number 3"/>
    <w:basedOn w:val="1"/>
    <w:semiHidden/>
    <w:qFormat/>
    <w:uiPriority w:val="0"/>
    <w:pPr>
      <w:tabs>
        <w:tab w:val="left" w:pos="1200"/>
      </w:tabs>
      <w:ind w:left="1200" w:leftChars="400" w:hanging="360" w:hangingChars="200"/>
    </w:pPr>
  </w:style>
  <w:style w:type="paragraph" w:styleId="36">
    <w:name w:val="List 2"/>
    <w:basedOn w:val="1"/>
    <w:qFormat/>
    <w:uiPriority w:val="0"/>
    <w:pPr>
      <w:spacing w:line="360" w:lineRule="auto"/>
      <w:ind w:left="100" w:leftChars="200" w:hanging="200" w:hangingChars="200"/>
    </w:pPr>
  </w:style>
  <w:style w:type="paragraph" w:styleId="37">
    <w:name w:val="List Continue"/>
    <w:basedOn w:val="1"/>
    <w:semiHidden/>
    <w:qFormat/>
    <w:uiPriority w:val="0"/>
    <w:pPr>
      <w:spacing w:after="120"/>
      <w:ind w:left="420" w:leftChars="200"/>
    </w:pPr>
  </w:style>
  <w:style w:type="paragraph" w:styleId="38">
    <w:name w:val="Block Text"/>
    <w:basedOn w:val="1"/>
    <w:qFormat/>
    <w:uiPriority w:val="0"/>
    <w:pPr>
      <w:spacing w:after="120"/>
      <w:ind w:left="1440" w:leftChars="700" w:right="1440" w:rightChars="700"/>
    </w:pPr>
  </w:style>
  <w:style w:type="paragraph" w:styleId="39">
    <w:name w:val="List Bullet 2"/>
    <w:basedOn w:val="1"/>
    <w:qFormat/>
    <w:uiPriority w:val="0"/>
    <w:pPr>
      <w:tabs>
        <w:tab w:val="left" w:pos="780"/>
      </w:tabs>
      <w:ind w:left="780" w:leftChars="200" w:hanging="360" w:hangingChars="200"/>
    </w:pPr>
  </w:style>
  <w:style w:type="paragraph" w:styleId="40">
    <w:name w:val="HTML Address"/>
    <w:basedOn w:val="1"/>
    <w:link w:val="173"/>
    <w:semiHidden/>
    <w:qFormat/>
    <w:uiPriority w:val="0"/>
    <w:rPr>
      <w:i/>
      <w:iCs/>
    </w:rPr>
  </w:style>
  <w:style w:type="paragraph" w:styleId="41">
    <w:name w:val="index 4"/>
    <w:basedOn w:val="1"/>
    <w:next w:val="1"/>
    <w:semiHidden/>
    <w:qFormat/>
    <w:uiPriority w:val="0"/>
    <w:pPr>
      <w:ind w:left="960" w:hanging="240"/>
      <w:jc w:val="left"/>
    </w:pPr>
    <w:rPr>
      <w:sz w:val="20"/>
      <w:szCs w:val="20"/>
    </w:rPr>
  </w:style>
  <w:style w:type="paragraph" w:styleId="42">
    <w:name w:val="toc 5"/>
    <w:basedOn w:val="1"/>
    <w:next w:val="1"/>
    <w:qFormat/>
    <w:uiPriority w:val="39"/>
    <w:pPr>
      <w:ind w:left="840"/>
      <w:jc w:val="left"/>
    </w:pPr>
    <w:rPr>
      <w:sz w:val="18"/>
      <w:szCs w:val="18"/>
    </w:rPr>
  </w:style>
  <w:style w:type="paragraph" w:styleId="43">
    <w:name w:val="toc 3"/>
    <w:basedOn w:val="1"/>
    <w:next w:val="1"/>
    <w:qFormat/>
    <w:uiPriority w:val="39"/>
    <w:pPr>
      <w:ind w:left="420"/>
      <w:jc w:val="left"/>
    </w:pPr>
    <w:rPr>
      <w:i/>
      <w:iCs/>
      <w:sz w:val="20"/>
      <w:szCs w:val="20"/>
    </w:rPr>
  </w:style>
  <w:style w:type="paragraph" w:styleId="44">
    <w:name w:val="Plain Text"/>
    <w:basedOn w:val="1"/>
    <w:link w:val="174"/>
    <w:qFormat/>
    <w:uiPriority w:val="0"/>
    <w:rPr>
      <w:rFonts w:ascii="宋体" w:hAnsi="Courier New"/>
      <w:szCs w:val="21"/>
    </w:rPr>
  </w:style>
  <w:style w:type="paragraph" w:styleId="45">
    <w:name w:val="List Bullet 5"/>
    <w:basedOn w:val="1"/>
    <w:semiHidden/>
    <w:qFormat/>
    <w:uiPriority w:val="0"/>
    <w:pPr>
      <w:tabs>
        <w:tab w:val="left" w:pos="2040"/>
      </w:tabs>
      <w:ind w:left="2040" w:leftChars="800" w:hanging="360" w:hangingChars="200"/>
    </w:pPr>
  </w:style>
  <w:style w:type="paragraph" w:styleId="46">
    <w:name w:val="List Number 4"/>
    <w:basedOn w:val="1"/>
    <w:semiHidden/>
    <w:qFormat/>
    <w:uiPriority w:val="0"/>
    <w:pPr>
      <w:tabs>
        <w:tab w:val="left" w:pos="1620"/>
      </w:tabs>
      <w:ind w:left="1620" w:leftChars="600" w:hanging="360" w:hangingChars="200"/>
    </w:pPr>
  </w:style>
  <w:style w:type="paragraph" w:styleId="47">
    <w:name w:val="toc 8"/>
    <w:basedOn w:val="1"/>
    <w:next w:val="1"/>
    <w:qFormat/>
    <w:uiPriority w:val="39"/>
    <w:pPr>
      <w:ind w:left="1470"/>
      <w:jc w:val="left"/>
    </w:pPr>
    <w:rPr>
      <w:sz w:val="18"/>
      <w:szCs w:val="18"/>
    </w:rPr>
  </w:style>
  <w:style w:type="paragraph" w:styleId="48">
    <w:name w:val="index 3"/>
    <w:basedOn w:val="1"/>
    <w:next w:val="1"/>
    <w:semiHidden/>
    <w:qFormat/>
    <w:uiPriority w:val="0"/>
    <w:pPr>
      <w:ind w:left="720" w:hanging="240"/>
      <w:jc w:val="left"/>
    </w:pPr>
    <w:rPr>
      <w:sz w:val="20"/>
      <w:szCs w:val="20"/>
    </w:rPr>
  </w:style>
  <w:style w:type="paragraph" w:styleId="49">
    <w:name w:val="Date"/>
    <w:basedOn w:val="1"/>
    <w:next w:val="1"/>
    <w:link w:val="175"/>
    <w:qFormat/>
    <w:uiPriority w:val="0"/>
    <w:pPr>
      <w:ind w:left="100" w:leftChars="2500"/>
    </w:pPr>
    <w:rPr>
      <w:rFonts w:ascii="宋体" w:hAnsi="宋体"/>
      <w:b/>
      <w:bCs/>
    </w:rPr>
  </w:style>
  <w:style w:type="paragraph" w:styleId="50">
    <w:name w:val="Body Text Indent 2"/>
    <w:basedOn w:val="1"/>
    <w:next w:val="1"/>
    <w:link w:val="153"/>
    <w:qFormat/>
    <w:uiPriority w:val="0"/>
    <w:pPr>
      <w:spacing w:after="120" w:line="480" w:lineRule="auto"/>
      <w:ind w:left="420" w:leftChars="200"/>
    </w:pPr>
  </w:style>
  <w:style w:type="paragraph" w:styleId="51">
    <w:name w:val="endnote text"/>
    <w:basedOn w:val="1"/>
    <w:link w:val="176"/>
    <w:qFormat/>
    <w:uiPriority w:val="0"/>
    <w:pPr>
      <w:snapToGrid w:val="0"/>
      <w:jc w:val="left"/>
    </w:pPr>
  </w:style>
  <w:style w:type="paragraph" w:styleId="52">
    <w:name w:val="List Continue 5"/>
    <w:basedOn w:val="1"/>
    <w:semiHidden/>
    <w:qFormat/>
    <w:uiPriority w:val="0"/>
    <w:pPr>
      <w:spacing w:after="120"/>
      <w:ind w:left="2100" w:leftChars="1000"/>
    </w:pPr>
  </w:style>
  <w:style w:type="paragraph" w:styleId="53">
    <w:name w:val="Balloon Text"/>
    <w:basedOn w:val="1"/>
    <w:link w:val="177"/>
    <w:qFormat/>
    <w:uiPriority w:val="0"/>
    <w:rPr>
      <w:sz w:val="18"/>
      <w:szCs w:val="18"/>
    </w:rPr>
  </w:style>
  <w:style w:type="paragraph" w:styleId="54">
    <w:name w:val="footer"/>
    <w:basedOn w:val="1"/>
    <w:link w:val="178"/>
    <w:qFormat/>
    <w:uiPriority w:val="99"/>
    <w:pPr>
      <w:tabs>
        <w:tab w:val="center" w:pos="4153"/>
        <w:tab w:val="right" w:pos="8306"/>
      </w:tabs>
      <w:snapToGrid w:val="0"/>
      <w:jc w:val="left"/>
    </w:pPr>
    <w:rPr>
      <w:sz w:val="18"/>
      <w:szCs w:val="18"/>
    </w:rPr>
  </w:style>
  <w:style w:type="paragraph" w:styleId="55">
    <w:name w:val="envelope return"/>
    <w:basedOn w:val="1"/>
    <w:semiHidden/>
    <w:qFormat/>
    <w:uiPriority w:val="0"/>
    <w:pPr>
      <w:snapToGrid w:val="0"/>
    </w:pPr>
    <w:rPr>
      <w:rFonts w:ascii="Arial" w:hAnsi="Arial" w:cs="Arial"/>
    </w:rPr>
  </w:style>
  <w:style w:type="paragraph" w:styleId="56">
    <w:name w:val="header"/>
    <w:basedOn w:val="1"/>
    <w:link w:val="179"/>
    <w:qFormat/>
    <w:uiPriority w:val="0"/>
    <w:pPr>
      <w:pBdr>
        <w:bottom w:val="single" w:color="auto" w:sz="6" w:space="1"/>
      </w:pBdr>
      <w:tabs>
        <w:tab w:val="center" w:pos="4153"/>
        <w:tab w:val="right" w:pos="8306"/>
      </w:tabs>
      <w:snapToGrid w:val="0"/>
      <w:jc w:val="center"/>
    </w:pPr>
    <w:rPr>
      <w:sz w:val="18"/>
      <w:szCs w:val="18"/>
    </w:rPr>
  </w:style>
  <w:style w:type="paragraph" w:styleId="57">
    <w:name w:val="Signature"/>
    <w:basedOn w:val="1"/>
    <w:link w:val="180"/>
    <w:semiHidden/>
    <w:qFormat/>
    <w:uiPriority w:val="0"/>
    <w:pPr>
      <w:ind w:left="100" w:leftChars="2100"/>
    </w:pPr>
  </w:style>
  <w:style w:type="paragraph" w:styleId="58">
    <w:name w:val="toc 1"/>
    <w:basedOn w:val="1"/>
    <w:next w:val="1"/>
    <w:qFormat/>
    <w:uiPriority w:val="39"/>
    <w:pPr>
      <w:tabs>
        <w:tab w:val="right" w:leader="dot" w:pos="8602"/>
      </w:tabs>
    </w:pPr>
    <w:rPr>
      <w:rFonts w:eastAsia="黑体"/>
      <w:b/>
      <w:kern w:val="0"/>
      <w:szCs w:val="28"/>
    </w:rPr>
  </w:style>
  <w:style w:type="paragraph" w:styleId="59">
    <w:name w:val="List Continue 4"/>
    <w:basedOn w:val="1"/>
    <w:semiHidden/>
    <w:qFormat/>
    <w:uiPriority w:val="0"/>
    <w:pPr>
      <w:spacing w:after="120"/>
      <w:ind w:left="1680" w:leftChars="800"/>
    </w:pPr>
  </w:style>
  <w:style w:type="paragraph" w:styleId="60">
    <w:name w:val="toc 4"/>
    <w:basedOn w:val="1"/>
    <w:next w:val="1"/>
    <w:qFormat/>
    <w:uiPriority w:val="39"/>
    <w:pPr>
      <w:ind w:left="630"/>
      <w:jc w:val="left"/>
    </w:pPr>
    <w:rPr>
      <w:sz w:val="18"/>
      <w:szCs w:val="18"/>
    </w:rPr>
  </w:style>
  <w:style w:type="paragraph" w:styleId="61">
    <w:name w:val="index heading"/>
    <w:basedOn w:val="1"/>
    <w:next w:val="62"/>
    <w:qFormat/>
    <w:uiPriority w:val="0"/>
    <w:pPr>
      <w:tabs>
        <w:tab w:val="left" w:pos="840"/>
      </w:tabs>
      <w:spacing w:line="360" w:lineRule="auto"/>
      <w:ind w:firstLine="420"/>
    </w:pPr>
    <w:rPr>
      <w:szCs w:val="20"/>
    </w:rPr>
  </w:style>
  <w:style w:type="paragraph" w:styleId="62">
    <w:name w:val="index 1"/>
    <w:basedOn w:val="1"/>
    <w:next w:val="1"/>
    <w:qFormat/>
    <w:uiPriority w:val="0"/>
    <w:pPr>
      <w:spacing w:line="300" w:lineRule="exact"/>
      <w:jc w:val="center"/>
    </w:pPr>
    <w:rPr>
      <w:szCs w:val="21"/>
    </w:rPr>
  </w:style>
  <w:style w:type="paragraph" w:styleId="63">
    <w:name w:val="Subtitle"/>
    <w:basedOn w:val="1"/>
    <w:link w:val="181"/>
    <w:qFormat/>
    <w:uiPriority w:val="0"/>
    <w:pPr>
      <w:spacing w:before="240" w:after="60" w:line="312" w:lineRule="auto"/>
      <w:jc w:val="center"/>
      <w:outlineLvl w:val="1"/>
    </w:pPr>
    <w:rPr>
      <w:rFonts w:ascii="Arial" w:hAnsi="Arial" w:cs="Arial"/>
      <w:b/>
      <w:bCs/>
      <w:kern w:val="28"/>
      <w:sz w:val="32"/>
      <w:szCs w:val="32"/>
    </w:rPr>
  </w:style>
  <w:style w:type="paragraph" w:styleId="64">
    <w:name w:val="List Number 5"/>
    <w:basedOn w:val="1"/>
    <w:semiHidden/>
    <w:qFormat/>
    <w:uiPriority w:val="0"/>
    <w:pPr>
      <w:tabs>
        <w:tab w:val="left" w:pos="2040"/>
      </w:tabs>
      <w:ind w:left="2040" w:leftChars="800" w:hanging="360" w:hangingChars="200"/>
    </w:pPr>
  </w:style>
  <w:style w:type="paragraph" w:styleId="65">
    <w:name w:val="List"/>
    <w:basedOn w:val="1"/>
    <w:qFormat/>
    <w:uiPriority w:val="0"/>
    <w:pPr>
      <w:ind w:left="200" w:hanging="200" w:hangingChars="200"/>
    </w:pPr>
    <w:rPr>
      <w:rFonts w:ascii="宋体"/>
      <w:sz w:val="28"/>
      <w:szCs w:val="20"/>
    </w:rPr>
  </w:style>
  <w:style w:type="paragraph" w:styleId="66">
    <w:name w:val="footnote text"/>
    <w:basedOn w:val="1"/>
    <w:link w:val="182"/>
    <w:qFormat/>
    <w:uiPriority w:val="0"/>
    <w:pPr>
      <w:snapToGrid w:val="0"/>
      <w:jc w:val="left"/>
    </w:pPr>
    <w:rPr>
      <w:sz w:val="18"/>
      <w:szCs w:val="18"/>
    </w:rPr>
  </w:style>
  <w:style w:type="paragraph" w:styleId="67">
    <w:name w:val="toc 6"/>
    <w:basedOn w:val="1"/>
    <w:next w:val="1"/>
    <w:qFormat/>
    <w:uiPriority w:val="39"/>
    <w:pPr>
      <w:ind w:left="1050"/>
      <w:jc w:val="left"/>
    </w:pPr>
    <w:rPr>
      <w:sz w:val="18"/>
      <w:szCs w:val="18"/>
    </w:rPr>
  </w:style>
  <w:style w:type="paragraph" w:styleId="68">
    <w:name w:val="List 5"/>
    <w:basedOn w:val="1"/>
    <w:semiHidden/>
    <w:qFormat/>
    <w:uiPriority w:val="0"/>
    <w:pPr>
      <w:ind w:left="100" w:leftChars="800" w:hanging="200" w:hangingChars="200"/>
    </w:pPr>
  </w:style>
  <w:style w:type="paragraph" w:styleId="69">
    <w:name w:val="Body Text Indent 3"/>
    <w:basedOn w:val="1"/>
    <w:link w:val="183"/>
    <w:qFormat/>
    <w:uiPriority w:val="0"/>
    <w:pPr>
      <w:ind w:firstLine="497" w:firstLineChars="200"/>
    </w:pPr>
  </w:style>
  <w:style w:type="paragraph" w:styleId="70">
    <w:name w:val="index 7"/>
    <w:basedOn w:val="1"/>
    <w:next w:val="1"/>
    <w:semiHidden/>
    <w:qFormat/>
    <w:uiPriority w:val="0"/>
    <w:pPr>
      <w:ind w:left="1680" w:hanging="240"/>
      <w:jc w:val="left"/>
    </w:pPr>
    <w:rPr>
      <w:sz w:val="20"/>
      <w:szCs w:val="20"/>
    </w:rPr>
  </w:style>
  <w:style w:type="paragraph" w:styleId="71">
    <w:name w:val="index 9"/>
    <w:basedOn w:val="1"/>
    <w:next w:val="1"/>
    <w:semiHidden/>
    <w:qFormat/>
    <w:uiPriority w:val="0"/>
    <w:pPr>
      <w:ind w:left="2160" w:hanging="240"/>
      <w:jc w:val="left"/>
    </w:pPr>
    <w:rPr>
      <w:sz w:val="20"/>
      <w:szCs w:val="20"/>
    </w:rPr>
  </w:style>
  <w:style w:type="paragraph" w:styleId="72">
    <w:name w:val="table of figures"/>
    <w:basedOn w:val="1"/>
    <w:next w:val="1"/>
    <w:qFormat/>
    <w:uiPriority w:val="0"/>
    <w:pPr>
      <w:ind w:left="200" w:leftChars="200" w:hanging="200" w:hangingChars="200"/>
    </w:pPr>
  </w:style>
  <w:style w:type="paragraph" w:styleId="73">
    <w:name w:val="toc 2"/>
    <w:basedOn w:val="1"/>
    <w:next w:val="1"/>
    <w:qFormat/>
    <w:uiPriority w:val="39"/>
    <w:pPr>
      <w:ind w:left="420" w:leftChars="200"/>
    </w:pPr>
    <w:rPr>
      <w:sz w:val="21"/>
    </w:rPr>
  </w:style>
  <w:style w:type="paragraph" w:styleId="74">
    <w:name w:val="toc 9"/>
    <w:basedOn w:val="1"/>
    <w:next w:val="1"/>
    <w:qFormat/>
    <w:uiPriority w:val="39"/>
    <w:pPr>
      <w:ind w:left="1680"/>
      <w:jc w:val="left"/>
    </w:pPr>
    <w:rPr>
      <w:sz w:val="18"/>
      <w:szCs w:val="18"/>
    </w:rPr>
  </w:style>
  <w:style w:type="paragraph" w:styleId="75">
    <w:name w:val="Body Text 2"/>
    <w:basedOn w:val="1"/>
    <w:link w:val="184"/>
    <w:qFormat/>
    <w:uiPriority w:val="0"/>
    <w:pPr>
      <w:spacing w:after="120" w:line="480" w:lineRule="auto"/>
    </w:pPr>
  </w:style>
  <w:style w:type="paragraph" w:styleId="76">
    <w:name w:val="List 4"/>
    <w:basedOn w:val="1"/>
    <w:qFormat/>
    <w:uiPriority w:val="0"/>
    <w:pPr>
      <w:ind w:left="100" w:leftChars="600" w:hanging="200" w:hangingChars="200"/>
    </w:pPr>
  </w:style>
  <w:style w:type="paragraph" w:styleId="77">
    <w:name w:val="List Continue 2"/>
    <w:basedOn w:val="1"/>
    <w:semiHidden/>
    <w:qFormat/>
    <w:uiPriority w:val="0"/>
    <w:pPr>
      <w:spacing w:after="120"/>
      <w:ind w:left="840" w:leftChars="400"/>
    </w:pPr>
  </w:style>
  <w:style w:type="paragraph" w:styleId="78">
    <w:name w:val="Message Header"/>
    <w:basedOn w:val="1"/>
    <w:link w:val="185"/>
    <w:semiHidden/>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rPr>
  </w:style>
  <w:style w:type="paragraph" w:styleId="79">
    <w:name w:val="HTML Preformatted"/>
    <w:basedOn w:val="1"/>
    <w:link w:val="18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olor w:val="0000FF"/>
      <w:kern w:val="0"/>
    </w:rPr>
  </w:style>
  <w:style w:type="paragraph" w:styleId="80">
    <w:name w:val="Normal (Web)"/>
    <w:basedOn w:val="1"/>
    <w:qFormat/>
    <w:uiPriority w:val="0"/>
    <w:pPr>
      <w:widowControl/>
      <w:spacing w:before="100" w:beforeAutospacing="1" w:after="100" w:afterAutospacing="1"/>
      <w:jc w:val="left"/>
    </w:pPr>
    <w:rPr>
      <w:rFonts w:ascii="宋体" w:hAnsi="宋体" w:cs="宋体"/>
      <w:kern w:val="0"/>
    </w:rPr>
  </w:style>
  <w:style w:type="paragraph" w:styleId="81">
    <w:name w:val="List Continue 3"/>
    <w:basedOn w:val="1"/>
    <w:semiHidden/>
    <w:qFormat/>
    <w:uiPriority w:val="0"/>
    <w:pPr>
      <w:spacing w:after="120"/>
      <w:ind w:left="1260" w:leftChars="600"/>
    </w:pPr>
  </w:style>
  <w:style w:type="paragraph" w:styleId="82">
    <w:name w:val="index 2"/>
    <w:basedOn w:val="1"/>
    <w:next w:val="1"/>
    <w:semiHidden/>
    <w:qFormat/>
    <w:uiPriority w:val="0"/>
    <w:pPr>
      <w:ind w:left="480" w:hanging="240"/>
      <w:jc w:val="left"/>
    </w:pPr>
    <w:rPr>
      <w:sz w:val="20"/>
      <w:szCs w:val="20"/>
    </w:rPr>
  </w:style>
  <w:style w:type="paragraph" w:styleId="83">
    <w:name w:val="Title"/>
    <w:basedOn w:val="1"/>
    <w:link w:val="187"/>
    <w:qFormat/>
    <w:uiPriority w:val="0"/>
    <w:pPr>
      <w:spacing w:before="240" w:after="60"/>
      <w:jc w:val="center"/>
      <w:outlineLvl w:val="0"/>
    </w:pPr>
    <w:rPr>
      <w:rFonts w:ascii="Arial" w:hAnsi="Arial"/>
      <w:b/>
      <w:bCs/>
      <w:sz w:val="32"/>
      <w:szCs w:val="32"/>
    </w:rPr>
  </w:style>
  <w:style w:type="paragraph" w:styleId="84">
    <w:name w:val="annotation subject"/>
    <w:basedOn w:val="26"/>
    <w:next w:val="26"/>
    <w:link w:val="188"/>
    <w:qFormat/>
    <w:uiPriority w:val="0"/>
    <w:rPr>
      <w:b/>
      <w:bCs/>
    </w:rPr>
  </w:style>
  <w:style w:type="paragraph" w:styleId="85">
    <w:name w:val="Body Text First Indent"/>
    <w:basedOn w:val="32"/>
    <w:next w:val="1"/>
    <w:link w:val="189"/>
    <w:qFormat/>
    <w:uiPriority w:val="0"/>
    <w:pPr>
      <w:ind w:firstLine="420" w:firstLineChars="100"/>
    </w:pPr>
    <w:rPr>
      <w:rFonts w:ascii="Calibri" w:hAnsi="Calibri"/>
    </w:rPr>
  </w:style>
  <w:style w:type="paragraph" w:styleId="86">
    <w:name w:val="Body Text First Indent 2"/>
    <w:basedOn w:val="33"/>
    <w:next w:val="85"/>
    <w:link w:val="190"/>
    <w:qFormat/>
    <w:uiPriority w:val="0"/>
    <w:pPr>
      <w:spacing w:line="312" w:lineRule="auto"/>
      <w:ind w:firstLine="210" w:firstLineChars="0"/>
    </w:pPr>
  </w:style>
  <w:style w:type="table" w:styleId="88">
    <w:name w:val="Table Grid"/>
    <w:basedOn w:val="87"/>
    <w:qFormat/>
    <w:uiPriority w:val="59"/>
    <w:pPr>
      <w:widowControl w:val="0"/>
      <w:jc w:val="both"/>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9">
    <w:name w:val="Table Theme"/>
    <w:basedOn w:val="87"/>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Colorful 1"/>
    <w:basedOn w:val="87"/>
    <w:semiHidden/>
    <w:qFormat/>
    <w:uiPriority w:val="0"/>
    <w:pPr>
      <w:widowControl w:val="0"/>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1">
    <w:name w:val="Table Colorful 2"/>
    <w:basedOn w:val="87"/>
    <w:semiHidden/>
    <w:qFormat/>
    <w:uiPriority w:val="0"/>
    <w:pPr>
      <w:widowControl w:val="0"/>
      <w:jc w:val="both"/>
    </w:pPr>
    <w:rPr>
      <w:rFonts w:ascii="Calibri" w:hAnsi="Calibri"/>
    </w:rPr>
    <w:tblPr>
      <w:tblBorders>
        <w:bottom w:val="single" w:color="000000" w:sz="12" w:space="0"/>
      </w:tblBorders>
    </w:tblPr>
    <w:tcPr>
      <w:shd w:val="pct20" w:color="FFFF00" w:fill="FFFFFF"/>
    </w:tcPr>
    <w:tblStylePr w:type="firstRow">
      <w:rPr>
        <w:b/>
        <w:bCs/>
        <w:i/>
        <w:iCs/>
        <w:color w:val="FFFFFF"/>
      </w:rPr>
      <w:tbl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2">
    <w:name w:val="Table Colorful 3"/>
    <w:basedOn w:val="87"/>
    <w:semiHidden/>
    <w:qFormat/>
    <w:uiPriority w:val="0"/>
    <w:pPr>
      <w:widowControl w:val="0"/>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single" w:color="000000" w:sz="6" w:space="0"/>
          <w:bottom w:val="nil"/>
          <w:right w:val="nil"/>
          <w:insideH w:val="nil"/>
          <w:insideV w:val="nil"/>
          <w:tl2br w:val="nil"/>
          <w:tr2bl w:val="nil"/>
        </w:tcBorders>
        <w:shd w:val="solid" w:color="008080" w:fill="FFFFFF"/>
      </w:tcPr>
    </w:tblStylePr>
    <w:tblStylePr w:type="firstCol">
      <w:tblPr/>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3">
    <w:name w:val="Table Elegant"/>
    <w:basedOn w:val="87"/>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4">
    <w:name w:val="Table Classic 1"/>
    <w:basedOn w:val="87"/>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5">
    <w:name w:val="Table Classic 2"/>
    <w:basedOn w:val="87"/>
    <w:semiHidden/>
    <w:qFormat/>
    <w:uiPriority w:val="0"/>
    <w:pPr>
      <w:widowControl w:val="0"/>
      <w:jc w:val="both"/>
    </w:pPr>
    <w:rPr>
      <w:rFonts w:ascii="Calibri" w:hAnsi="Calibri"/>
    </w:rPr>
    <w:tblPr>
      <w:tblBorders>
        <w:top w:val="single" w:color="000000" w:sz="12" w:space="0"/>
        <w:bottom w:val="single" w:color="000000" w:sz="12" w:space="0"/>
      </w:tblBorders>
    </w:tblPr>
    <w:tcPr>
      <w:shd w:val="clear" w:color="auto" w:fill="auto"/>
    </w:tcPr>
    <w:tblStylePr w:type="firstRow">
      <w:rPr>
        <w:color w:val="FFFFFF"/>
      </w:rPr>
      <w:tblPr/>
      <w:tcPr>
        <w:tcBorders>
          <w:top w:val="nil"/>
          <w:left w:val="single" w:color="000000" w:sz="6" w:space="0"/>
          <w:bottom w:val="nil"/>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6">
    <w:name w:val="Table Classic 3"/>
    <w:basedOn w:val="87"/>
    <w:semiHidden/>
    <w:qFormat/>
    <w:uiPriority w:val="0"/>
    <w:pPr>
      <w:widowControl w:val="0"/>
      <w:jc w:val="both"/>
    </w:pPr>
    <w:rPr>
      <w:rFonts w:ascii="Calibri" w:hAnsi="Calibri"/>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single" w:color="000000" w:sz="6" w:space="0"/>
          <w:bottom w:val="nil"/>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97">
    <w:name w:val="Table Classic 4"/>
    <w:basedOn w:val="87"/>
    <w:semiHidden/>
    <w:qFormat/>
    <w:uiPriority w:val="0"/>
    <w:pPr>
      <w:widowControl w:val="0"/>
      <w:jc w:val="both"/>
    </w:pPr>
    <w:rPr>
      <w:rFonts w:ascii="Calibri" w:hAnsi="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single" w:color="000000" w:sz="6" w:space="0"/>
          <w:bottom w:val="nil"/>
          <w:right w:val="nil"/>
          <w:insideH w:val="nil"/>
          <w:insideV w:val="nil"/>
          <w:tl2br w:val="nil"/>
          <w:tr2bl w:val="nil"/>
        </w:tcBorders>
        <w:shd w:val="pct50" w:color="000080" w:fill="FFFFFF"/>
      </w:tcPr>
    </w:tblStylePr>
    <w:tblStylePr w:type="lastRow">
      <w:rPr>
        <w:color w:val="000080"/>
      </w:rPr>
      <w:tblPr/>
      <w:tcPr>
        <w:tcBorders>
          <w:top w:val="nil"/>
          <w:left w:val="single" w:color="000000" w:sz="6" w:space="0"/>
          <w:bottom w:val="nil"/>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8">
    <w:name w:val="Table Simple 1"/>
    <w:basedOn w:val="87"/>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99">
    <w:name w:val="Table Simple 2"/>
    <w:basedOn w:val="87"/>
    <w:semiHidden/>
    <w:qFormat/>
    <w:uiPriority w:val="0"/>
    <w:pPr>
      <w:widowControl w:val="0"/>
      <w:jc w:val="both"/>
    </w:pPr>
    <w:rPr>
      <w:rFonts w:ascii="Calibri" w:hAnsi="Calibri"/>
    </w:rPr>
    <w:tblPr/>
    <w:tblStylePr w:type="firstRow">
      <w:rPr>
        <w:b/>
        <w:bCs/>
      </w:rPr>
      <w:tblPr/>
      <w:tcPr>
        <w:tcBorders>
          <w:top w:val="nil"/>
          <w:left w:val="single" w:color="000000" w:sz="12" w:space="0"/>
          <w:bottom w:val="nil"/>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nil"/>
          <w:bottom w:val="single" w:color="000000" w:sz="6" w:space="0"/>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0">
    <w:name w:val="Table Simple 3"/>
    <w:basedOn w:val="87"/>
    <w:semiHidden/>
    <w:qFormat/>
    <w:uiPriority w:val="0"/>
    <w:pPr>
      <w:widowControl w:val="0"/>
      <w:jc w:val="both"/>
    </w:pPr>
    <w:rPr>
      <w:rFonts w:ascii="Calibri" w:hAnsi="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1">
    <w:name w:val="Table Subtle 1"/>
    <w:basedOn w:val="87"/>
    <w:semiHidden/>
    <w:qFormat/>
    <w:uiPriority w:val="0"/>
    <w:pPr>
      <w:widowControl w:val="0"/>
      <w:jc w:val="both"/>
    </w:pPr>
    <w:rPr>
      <w:rFonts w:ascii="Calibri" w:hAnsi="Calibri"/>
    </w:rPr>
    <w:tblPr>
      <w:tblStyleRowBandSize w:val="1"/>
    </w:tblPr>
    <w:tblStylePr w:type="firstRow">
      <w:tblPr/>
      <w:tcPr>
        <w:tcBorders>
          <w:top w:val="single" w:color="000000" w:sz="6" w:space="0"/>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nil"/>
          <w:bottom w:val="single" w:color="000000" w:sz="12" w:space="0"/>
          <w:right w:val="nil"/>
          <w:insideH w:val="nil"/>
          <w:insideV w:val="nil"/>
          <w:tl2br w:val="nil"/>
          <w:tr2bl w:val="nil"/>
        </w:tcBorders>
      </w:tcPr>
    </w:tblStylePr>
    <w:tblStylePr w:type="band1Horz">
      <w:tblPr/>
      <w:tcPr>
        <w:tcBorders>
          <w:top w:val="nil"/>
          <w:left w:val="single" w:color="000000" w:sz="6"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2">
    <w:name w:val="Table Subtle 2"/>
    <w:basedOn w:val="87"/>
    <w:semiHidden/>
    <w:qFormat/>
    <w:uiPriority w:val="0"/>
    <w:pPr>
      <w:widowControl w:val="0"/>
      <w:jc w:val="both"/>
    </w:pPr>
    <w:rPr>
      <w:rFonts w:ascii="Calibri" w:hAnsi="Calibri"/>
    </w:rPr>
    <w:tblPr>
      <w:tblBorders>
        <w:left w:val="single" w:color="000000" w:sz="6" w:space="0"/>
        <w:right w:val="single" w:color="000000" w:sz="6" w:space="0"/>
      </w:tblBorders>
    </w:tblPr>
    <w:tblStylePr w:type="firstRow">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nil"/>
          <w:bottom w:val="single" w:color="000000" w:sz="12"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3">
    <w:name w:val="Table 3D effects 1"/>
    <w:basedOn w:val="87"/>
    <w:semiHidden/>
    <w:qFormat/>
    <w:uiPriority w:val="0"/>
    <w:pPr>
      <w:widowControl w:val="0"/>
      <w:jc w:val="both"/>
    </w:pPr>
    <w:rPr>
      <w:rFonts w:ascii="Calibri" w:hAnsi="Calibri"/>
    </w:rPr>
    <w:tblPr/>
    <w:tcPr>
      <w:shd w:val="solid" w:color="C0C0C0" w:fill="FFFFFF"/>
    </w:tcPr>
    <w:tblStylePr w:type="firstRow">
      <w:rPr>
        <w:b/>
        <w:bCs/>
        <w:color w:val="800080"/>
      </w:rPr>
      <w:tblPr/>
      <w:tcPr>
        <w:tcBorders>
          <w:top w:val="nil"/>
          <w:left w:val="single" w:color="808080" w:sz="6" w:space="0"/>
          <w:bottom w:val="nil"/>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single" w:color="FFFFFF" w:sz="6" w:space="0"/>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4">
    <w:name w:val="Table 3D effects 2"/>
    <w:basedOn w:val="87"/>
    <w:semiHidden/>
    <w:qFormat/>
    <w:uiPriority w:val="0"/>
    <w:pPr>
      <w:widowControl w:val="0"/>
      <w:jc w:val="both"/>
    </w:pPr>
    <w:rPr>
      <w:rFonts w:ascii="Calibri" w:hAnsi="Calibri"/>
    </w:r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5">
    <w:name w:val="Table 3D effects 3"/>
    <w:basedOn w:val="87"/>
    <w:semiHidden/>
    <w:qFormat/>
    <w:uiPriority w:val="0"/>
    <w:pPr>
      <w:widowControl w:val="0"/>
      <w:jc w:val="both"/>
    </w:pPr>
    <w:rPr>
      <w:rFonts w:ascii="Calibri" w:hAnsi="Calibri"/>
    </w:r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6">
    <w:name w:val="Table List 1"/>
    <w:basedOn w:val="87"/>
    <w:semiHidden/>
    <w:qFormat/>
    <w:uiPriority w:val="0"/>
    <w:pPr>
      <w:widowControl w:val="0"/>
      <w:jc w:val="both"/>
    </w:pPr>
    <w:rPr>
      <w:rFonts w:ascii="Calibri" w:hAnsi="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single" w:color="000000" w:sz="6" w:space="0"/>
          <w:bottom w:val="nil"/>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7">
    <w:name w:val="Table List 2"/>
    <w:basedOn w:val="87"/>
    <w:qFormat/>
    <w:uiPriority w:val="0"/>
    <w:pPr>
      <w:widowControl w:val="0"/>
      <w:jc w:val="both"/>
    </w:pPr>
    <w:tblPr>
      <w:tblBorders>
        <w:bottom w:val="single" w:color="808080" w:sz="12" w:space="0"/>
      </w:tblBorders>
    </w:tblPr>
    <w:tblStylePr w:type="firstRow">
      <w:rPr>
        <w:b/>
        <w:bCs/>
        <w:color w:val="FFFFFF"/>
      </w:rPr>
      <w:tblPr/>
      <w:tcPr>
        <w:tcBorders>
          <w:top w:val="nil"/>
          <w:left w:val="single" w:color="000000" w:sz="6" w:space="0"/>
          <w:bottom w:val="nil"/>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8">
    <w:name w:val="Table List 3"/>
    <w:basedOn w:val="87"/>
    <w:semiHidden/>
    <w:qFormat/>
    <w:uiPriority w:val="0"/>
    <w:pPr>
      <w:widowControl w:val="0"/>
      <w:jc w:val="both"/>
    </w:pPr>
    <w:rPr>
      <w:rFonts w:ascii="Calibri" w:hAnsi="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09">
    <w:name w:val="Table List 4"/>
    <w:basedOn w:val="87"/>
    <w:semiHidden/>
    <w:qFormat/>
    <w:uiPriority w:val="0"/>
    <w:pPr>
      <w:widowControl w:val="0"/>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single" w:color="000000" w:sz="12" w:space="0"/>
          <w:bottom w:val="nil"/>
          <w:right w:val="nil"/>
          <w:insideH w:val="nil"/>
          <w:insideV w:val="nil"/>
          <w:tl2br w:val="nil"/>
          <w:tr2bl w:val="nil"/>
        </w:tcBorders>
        <w:shd w:val="solid" w:color="808080" w:fill="FFFFFF"/>
      </w:tcPr>
    </w:tblStylePr>
  </w:style>
  <w:style w:type="table" w:styleId="110">
    <w:name w:val="Table List 5"/>
    <w:basedOn w:val="87"/>
    <w:semiHidden/>
    <w:qFormat/>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11">
    <w:name w:val="Table List 6"/>
    <w:basedOn w:val="87"/>
    <w:semiHidden/>
    <w:qFormat/>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2">
    <w:name w:val="Table List 7"/>
    <w:basedOn w:val="87"/>
    <w:semiHidden/>
    <w:qFormat/>
    <w:uiPriority w:val="0"/>
    <w:pPr>
      <w:widowControl w:val="0"/>
      <w:jc w:val="both"/>
    </w:pPr>
    <w:rPr>
      <w:rFonts w:ascii="Calibri" w:hAnsi="Calibri"/>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single" w:color="008000" w:sz="12" w:space="0"/>
          <w:bottom w:val="nil"/>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3">
    <w:name w:val="Table List 8"/>
    <w:basedOn w:val="87"/>
    <w:semiHidden/>
    <w:qFormat/>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4">
    <w:name w:val="Table Contemporary"/>
    <w:basedOn w:val="87"/>
    <w:semiHidden/>
    <w:qFormat/>
    <w:uiPriority w:val="0"/>
    <w:pPr>
      <w:widowControl w:val="0"/>
      <w:jc w:val="both"/>
    </w:pPr>
    <w:rPr>
      <w:rFonts w:ascii="Calibri" w:hAnsi="Calibri"/>
    </w:r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5">
    <w:name w:val="Table Columns 1"/>
    <w:basedOn w:val="87"/>
    <w:semiHidden/>
    <w:qFormat/>
    <w:uiPriority w:val="0"/>
    <w:pPr>
      <w:widowControl w:val="0"/>
      <w:jc w:val="both"/>
    </w:pPr>
    <w:rPr>
      <w:rFonts w:ascii="Calibri" w:hAnsi="Calibri"/>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double" w:color="000000" w:sz="6" w:space="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6">
    <w:name w:val="Table Columns 2"/>
    <w:basedOn w:val="87"/>
    <w:semiHidden/>
    <w:qFormat/>
    <w:uiPriority w:val="0"/>
    <w:pPr>
      <w:widowControl w:val="0"/>
      <w:jc w:val="both"/>
    </w:pPr>
    <w:rPr>
      <w:rFonts w:ascii="Calibri" w:hAnsi="Calibri"/>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7">
    <w:name w:val="Table Columns 3"/>
    <w:basedOn w:val="87"/>
    <w:semiHidden/>
    <w:qFormat/>
    <w:uiPriority w:val="0"/>
    <w:pPr>
      <w:widowControl w:val="0"/>
      <w:jc w:val="both"/>
    </w:pPr>
    <w:rPr>
      <w:rFonts w:ascii="Calibri" w:hAnsi="Calibri"/>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18">
    <w:name w:val="Table Columns 4"/>
    <w:basedOn w:val="87"/>
    <w:semiHidden/>
    <w:qFormat/>
    <w:uiPriority w:val="0"/>
    <w:pPr>
      <w:widowControl w:val="0"/>
      <w:jc w:val="both"/>
    </w:pPr>
    <w:rPr>
      <w:rFonts w:ascii="Calibri" w:hAnsi="Calibri"/>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9">
    <w:name w:val="Table Columns 5"/>
    <w:basedOn w:val="87"/>
    <w:semiHidden/>
    <w:qFormat/>
    <w:uiPriority w:val="0"/>
    <w:pPr>
      <w:widowControl w:val="0"/>
      <w:jc w:val="both"/>
    </w:pPr>
    <w:rPr>
      <w:rFonts w:ascii="Calibri" w:hAnsi="Calibri"/>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single" w:color="808080" w:sz="6" w:space="0"/>
          <w:bottom w:val="nil"/>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0">
    <w:name w:val="Table Grid 1"/>
    <w:basedOn w:val="87"/>
    <w:qFormat/>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1">
    <w:name w:val="Table Grid 2"/>
    <w:basedOn w:val="87"/>
    <w:semiHidden/>
    <w:qFormat/>
    <w:uiPriority w:val="0"/>
    <w:pPr>
      <w:widowControl w:val="0"/>
      <w:jc w:val="both"/>
    </w:pPr>
    <w:rPr>
      <w:rFonts w:ascii="Calibri" w:hAnsi="Calibri"/>
    </w:r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2">
    <w:name w:val="Table Grid 3"/>
    <w:basedOn w:val="87"/>
    <w:semiHidden/>
    <w:qFormat/>
    <w:uiPriority w:val="0"/>
    <w:pPr>
      <w:widowControl w:val="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3">
    <w:name w:val="Table Grid 4"/>
    <w:basedOn w:val="87"/>
    <w:semiHidden/>
    <w:qFormat/>
    <w:uiPriority w:val="0"/>
    <w:pPr>
      <w:widowControl w:val="0"/>
      <w:jc w:val="both"/>
    </w:pPr>
    <w:rPr>
      <w:rFonts w:ascii="Calibri" w:hAnsi="Calibri"/>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4">
    <w:name w:val="Table Grid 5"/>
    <w:basedOn w:val="87"/>
    <w:semiHidden/>
    <w:qFormat/>
    <w:uiPriority w:val="0"/>
    <w:pPr>
      <w:widowControl w:val="0"/>
      <w:jc w:val="both"/>
    </w:pPr>
    <w:rPr>
      <w:rFonts w:ascii="Calibri" w:hAnsi="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5">
    <w:name w:val="Table Grid 6"/>
    <w:basedOn w:val="87"/>
    <w:semiHidden/>
    <w:qFormat/>
    <w:uiPriority w:val="0"/>
    <w:pPr>
      <w:widowControl w:val="0"/>
      <w:jc w:val="both"/>
    </w:pPr>
    <w:rPr>
      <w:rFonts w:ascii="Calibri" w:hAnsi="Calibri"/>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6">
    <w:name w:val="Table Grid 7"/>
    <w:basedOn w:val="87"/>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single" w:color="000000" w:sz="12" w:space="0"/>
          <w:bottom w:val="nil"/>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7">
    <w:name w:val="Table Grid 8"/>
    <w:basedOn w:val="87"/>
    <w:semiHidden/>
    <w:qFormat/>
    <w:uiPriority w:val="0"/>
    <w:pPr>
      <w:widowControl w:val="0"/>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8">
    <w:name w:val="Table Web 1"/>
    <w:basedOn w:val="87"/>
    <w:semiHidden/>
    <w:qFormat/>
    <w:uiPriority w:val="0"/>
    <w:pPr>
      <w:widowControl w:val="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9">
    <w:name w:val="Table Web 2"/>
    <w:basedOn w:val="87"/>
    <w:semiHidden/>
    <w:qFormat/>
    <w:uiPriority w:val="0"/>
    <w:pPr>
      <w:widowControl w:val="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0">
    <w:name w:val="Table Web 3"/>
    <w:basedOn w:val="87"/>
    <w:semiHidden/>
    <w:qFormat/>
    <w:uiPriority w:val="0"/>
    <w:pPr>
      <w:widowControl w:val="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1">
    <w:name w:val="Table Professional"/>
    <w:basedOn w:val="87"/>
    <w:semiHidden/>
    <w:qFormat/>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33">
    <w:name w:val="Strong"/>
    <w:qFormat/>
    <w:uiPriority w:val="0"/>
    <w:rPr>
      <w:b/>
      <w:bCs/>
    </w:rPr>
  </w:style>
  <w:style w:type="character" w:styleId="134">
    <w:name w:val="endnote reference"/>
    <w:qFormat/>
    <w:uiPriority w:val="0"/>
    <w:rPr>
      <w:rFonts w:ascii="宋体" w:hAnsi="宋体" w:eastAsia="宋体" w:cs="宋体"/>
      <w:kern w:val="2"/>
      <w:sz w:val="24"/>
      <w:szCs w:val="24"/>
      <w:vertAlign w:val="superscript"/>
      <w:lang w:val="en-US" w:eastAsia="zh-CN" w:bidi="ar-SA"/>
    </w:rPr>
  </w:style>
  <w:style w:type="character" w:styleId="135">
    <w:name w:val="page number"/>
    <w:qFormat/>
    <w:uiPriority w:val="0"/>
  </w:style>
  <w:style w:type="character" w:styleId="136">
    <w:name w:val="FollowedHyperlink"/>
    <w:qFormat/>
    <w:uiPriority w:val="0"/>
    <w:rPr>
      <w:color w:val="800080"/>
      <w:u w:val="single"/>
    </w:rPr>
  </w:style>
  <w:style w:type="character" w:styleId="137">
    <w:name w:val="Emphasis"/>
    <w:qFormat/>
    <w:uiPriority w:val="20"/>
    <w:rPr>
      <w:i/>
      <w:iCs/>
    </w:rPr>
  </w:style>
  <w:style w:type="character" w:styleId="138">
    <w:name w:val="line number"/>
    <w:qFormat/>
    <w:uiPriority w:val="0"/>
  </w:style>
  <w:style w:type="character" w:styleId="139">
    <w:name w:val="HTML Definition"/>
    <w:semiHidden/>
    <w:qFormat/>
    <w:uiPriority w:val="0"/>
    <w:rPr>
      <w:i/>
      <w:iCs/>
    </w:rPr>
  </w:style>
  <w:style w:type="character" w:styleId="140">
    <w:name w:val="HTML Typewriter"/>
    <w:semiHidden/>
    <w:qFormat/>
    <w:uiPriority w:val="0"/>
    <w:rPr>
      <w:rFonts w:ascii="Courier New" w:hAnsi="Courier New" w:cs="Courier New"/>
      <w:sz w:val="20"/>
      <w:szCs w:val="20"/>
    </w:rPr>
  </w:style>
  <w:style w:type="character" w:styleId="141">
    <w:name w:val="HTML Acronym"/>
    <w:semiHidden/>
    <w:qFormat/>
    <w:uiPriority w:val="0"/>
  </w:style>
  <w:style w:type="character" w:styleId="142">
    <w:name w:val="HTML Variable"/>
    <w:semiHidden/>
    <w:qFormat/>
    <w:uiPriority w:val="0"/>
    <w:rPr>
      <w:i/>
      <w:iCs/>
    </w:rPr>
  </w:style>
  <w:style w:type="character" w:styleId="143">
    <w:name w:val="Hyperlink"/>
    <w:qFormat/>
    <w:uiPriority w:val="99"/>
    <w:rPr>
      <w:color w:val="0000FF"/>
      <w:u w:val="single"/>
    </w:rPr>
  </w:style>
  <w:style w:type="character" w:styleId="144">
    <w:name w:val="HTML Code"/>
    <w:qFormat/>
    <w:uiPriority w:val="0"/>
    <w:rPr>
      <w:rFonts w:ascii="Courier New" w:hAnsi="Courier New" w:cs="Courier New"/>
      <w:sz w:val="20"/>
      <w:szCs w:val="20"/>
    </w:rPr>
  </w:style>
  <w:style w:type="character" w:styleId="145">
    <w:name w:val="annotation reference"/>
    <w:qFormat/>
    <w:uiPriority w:val="0"/>
    <w:rPr>
      <w:rFonts w:ascii="宋体" w:hAnsi="宋体" w:eastAsia="宋体" w:cs="宋体"/>
      <w:kern w:val="2"/>
      <w:sz w:val="21"/>
      <w:szCs w:val="21"/>
      <w:lang w:val="en-US" w:eastAsia="zh-CN" w:bidi="ar-SA"/>
    </w:rPr>
  </w:style>
  <w:style w:type="character" w:styleId="146">
    <w:name w:val="HTML Cite"/>
    <w:semiHidden/>
    <w:qFormat/>
    <w:uiPriority w:val="0"/>
    <w:rPr>
      <w:i/>
      <w:iCs/>
    </w:rPr>
  </w:style>
  <w:style w:type="character" w:styleId="147">
    <w:name w:val="footnote reference"/>
    <w:qFormat/>
    <w:uiPriority w:val="0"/>
    <w:rPr>
      <w:vertAlign w:val="superscript"/>
    </w:rPr>
  </w:style>
  <w:style w:type="character" w:styleId="148">
    <w:name w:val="HTML Keyboard"/>
    <w:semiHidden/>
    <w:qFormat/>
    <w:uiPriority w:val="0"/>
    <w:rPr>
      <w:rFonts w:ascii="Courier New" w:hAnsi="Courier New" w:cs="Courier New"/>
      <w:sz w:val="20"/>
      <w:szCs w:val="20"/>
    </w:rPr>
  </w:style>
  <w:style w:type="character" w:styleId="149">
    <w:name w:val="HTML Sample"/>
    <w:semiHidden/>
    <w:qFormat/>
    <w:uiPriority w:val="0"/>
    <w:rPr>
      <w:rFonts w:ascii="Courier New" w:hAnsi="Courier New" w:cs="Courier New"/>
    </w:rPr>
  </w:style>
  <w:style w:type="paragraph" w:customStyle="1" w:styleId="150">
    <w:name w:val="默认段落"/>
    <w:basedOn w:val="1"/>
    <w:link w:val="266"/>
    <w:qFormat/>
    <w:uiPriority w:val="0"/>
    <w:rPr>
      <w:rFonts w:ascii="Calibri" w:hAnsi="Calibri"/>
    </w:rPr>
  </w:style>
  <w:style w:type="paragraph" w:customStyle="1" w:styleId="151">
    <w:name w:val="正文文本1"/>
    <w:basedOn w:val="1"/>
    <w:next w:val="32"/>
    <w:qFormat/>
    <w:uiPriority w:val="0"/>
    <w:pPr>
      <w:adjustRightInd w:val="0"/>
      <w:snapToGrid w:val="0"/>
      <w:spacing w:line="360" w:lineRule="auto"/>
      <w:ind w:right="210" w:rightChars="100" w:firstLine="420" w:firstLineChars="175"/>
    </w:pPr>
    <w:rPr>
      <w:rFonts w:ascii="宋体" w:hAnsi="宋体"/>
      <w:sz w:val="24"/>
    </w:rPr>
  </w:style>
  <w:style w:type="character" w:customStyle="1" w:styleId="152">
    <w:name w:val="正文文本缩进 字符1"/>
    <w:link w:val="33"/>
    <w:qFormat/>
    <w:uiPriority w:val="0"/>
    <w:rPr>
      <w:kern w:val="2"/>
      <w:sz w:val="24"/>
      <w:szCs w:val="24"/>
    </w:rPr>
  </w:style>
  <w:style w:type="character" w:customStyle="1" w:styleId="153">
    <w:name w:val="正文文本缩进 2 字符1"/>
    <w:link w:val="50"/>
    <w:qFormat/>
    <w:uiPriority w:val="0"/>
    <w:rPr>
      <w:kern w:val="2"/>
      <w:sz w:val="24"/>
      <w:szCs w:val="24"/>
    </w:rPr>
  </w:style>
  <w:style w:type="character" w:customStyle="1" w:styleId="154">
    <w:name w:val="宏文本 字符"/>
    <w:link w:val="2"/>
    <w:qFormat/>
    <w:uiPriority w:val="0"/>
    <w:rPr>
      <w:rFonts w:ascii="Courier New" w:hAnsi="Courier New"/>
      <w:kern w:val="2"/>
      <w:sz w:val="24"/>
      <w:szCs w:val="24"/>
      <w:lang w:bidi="ar-SA"/>
    </w:rPr>
  </w:style>
  <w:style w:type="character" w:customStyle="1" w:styleId="155">
    <w:name w:val="标题 1 字符"/>
    <w:link w:val="3"/>
    <w:qFormat/>
    <w:uiPriority w:val="0"/>
    <w:rPr>
      <w:b/>
      <w:bCs/>
      <w:kern w:val="44"/>
      <w:sz w:val="36"/>
      <w:szCs w:val="44"/>
    </w:rPr>
  </w:style>
  <w:style w:type="character" w:customStyle="1" w:styleId="156">
    <w:name w:val="标题 2 字符"/>
    <w:link w:val="4"/>
    <w:qFormat/>
    <w:uiPriority w:val="0"/>
    <w:rPr>
      <w:rFonts w:ascii="Arial" w:hAnsi="Arial" w:eastAsia="黑体"/>
      <w:b/>
      <w:bCs/>
      <w:kern w:val="2"/>
      <w:sz w:val="30"/>
      <w:szCs w:val="32"/>
    </w:rPr>
  </w:style>
  <w:style w:type="character" w:customStyle="1" w:styleId="157">
    <w:name w:val="标题 3 字符"/>
    <w:link w:val="5"/>
    <w:qFormat/>
    <w:uiPriority w:val="0"/>
    <w:rPr>
      <w:rFonts w:ascii="Times New Roman" w:hAnsi="Times New Roman" w:eastAsia="宋体"/>
      <w:b/>
      <w:bCs/>
      <w:kern w:val="2"/>
      <w:sz w:val="28"/>
      <w:szCs w:val="32"/>
    </w:rPr>
  </w:style>
  <w:style w:type="character" w:customStyle="1" w:styleId="158">
    <w:name w:val="标题 4 字符1"/>
    <w:link w:val="6"/>
    <w:qFormat/>
    <w:uiPriority w:val="0"/>
    <w:rPr>
      <w:rFonts w:ascii="Times New Roman" w:hAnsi="Times New Roman" w:eastAsia="宋体"/>
      <w:b/>
      <w:bCs/>
      <w:kern w:val="2"/>
      <w:sz w:val="24"/>
      <w:szCs w:val="28"/>
    </w:rPr>
  </w:style>
  <w:style w:type="character" w:customStyle="1" w:styleId="159">
    <w:name w:val="标题 5 字符"/>
    <w:link w:val="7"/>
    <w:qFormat/>
    <w:uiPriority w:val="0"/>
    <w:rPr>
      <w:rFonts w:ascii="宋体" w:hAnsi="宋体" w:cs="宋体"/>
      <w:kern w:val="2"/>
      <w:sz w:val="24"/>
      <w:szCs w:val="24"/>
    </w:rPr>
  </w:style>
  <w:style w:type="character" w:customStyle="1" w:styleId="160">
    <w:name w:val="标题 6 字符"/>
    <w:link w:val="8"/>
    <w:qFormat/>
    <w:uiPriority w:val="0"/>
    <w:rPr>
      <w:rFonts w:ascii="Arial" w:hAnsi="Arial" w:eastAsia="黑体"/>
      <w:b/>
      <w:bCs/>
      <w:kern w:val="2"/>
      <w:sz w:val="24"/>
      <w:szCs w:val="24"/>
    </w:rPr>
  </w:style>
  <w:style w:type="character" w:customStyle="1" w:styleId="161">
    <w:name w:val="标题 7 字符"/>
    <w:link w:val="9"/>
    <w:qFormat/>
    <w:uiPriority w:val="0"/>
    <w:rPr>
      <w:rFonts w:ascii="宋体"/>
      <w:b/>
      <w:bCs/>
      <w:kern w:val="2"/>
      <w:sz w:val="24"/>
      <w:szCs w:val="24"/>
    </w:rPr>
  </w:style>
  <w:style w:type="character" w:customStyle="1" w:styleId="162">
    <w:name w:val="标题 8 字符1"/>
    <w:link w:val="10"/>
    <w:qFormat/>
    <w:uiPriority w:val="0"/>
    <w:rPr>
      <w:rFonts w:ascii="Arial" w:hAnsi="Arial" w:eastAsia="黑体"/>
      <w:kern w:val="2"/>
      <w:sz w:val="24"/>
      <w:szCs w:val="24"/>
    </w:rPr>
  </w:style>
  <w:style w:type="character" w:customStyle="1" w:styleId="163">
    <w:name w:val="标题 9 字符"/>
    <w:link w:val="11"/>
    <w:qFormat/>
    <w:uiPriority w:val="0"/>
    <w:rPr>
      <w:rFonts w:ascii="Arial" w:hAnsi="Arial" w:eastAsia="黑体"/>
      <w:kern w:val="2"/>
      <w:sz w:val="24"/>
      <w:szCs w:val="21"/>
    </w:rPr>
  </w:style>
  <w:style w:type="character" w:customStyle="1" w:styleId="164">
    <w:name w:val="注释标题 字符"/>
    <w:link w:val="15"/>
    <w:qFormat/>
    <w:uiPriority w:val="0"/>
    <w:rPr>
      <w:rFonts w:ascii="宋体"/>
      <w:kern w:val="2"/>
      <w:sz w:val="28"/>
    </w:rPr>
  </w:style>
  <w:style w:type="character" w:customStyle="1" w:styleId="165">
    <w:name w:val="电子邮件签名 字符"/>
    <w:link w:val="18"/>
    <w:semiHidden/>
    <w:qFormat/>
    <w:uiPriority w:val="0"/>
    <w:rPr>
      <w:kern w:val="2"/>
      <w:sz w:val="24"/>
      <w:szCs w:val="24"/>
    </w:rPr>
  </w:style>
  <w:style w:type="character" w:customStyle="1" w:styleId="166">
    <w:name w:val="正文缩进 字符1"/>
    <w:link w:val="20"/>
    <w:qFormat/>
    <w:uiPriority w:val="0"/>
    <w:rPr>
      <w:kern w:val="2"/>
      <w:sz w:val="24"/>
    </w:rPr>
  </w:style>
  <w:style w:type="character" w:customStyle="1" w:styleId="167">
    <w:name w:val="文档结构图 字符"/>
    <w:link w:val="25"/>
    <w:qFormat/>
    <w:uiPriority w:val="0"/>
    <w:rPr>
      <w:kern w:val="2"/>
      <w:sz w:val="24"/>
      <w:szCs w:val="24"/>
      <w:shd w:val="clear" w:color="auto" w:fill="000080"/>
    </w:rPr>
  </w:style>
  <w:style w:type="character" w:customStyle="1" w:styleId="168">
    <w:name w:val="批注文字 字符"/>
    <w:link w:val="26"/>
    <w:qFormat/>
    <w:uiPriority w:val="0"/>
    <w:rPr>
      <w:kern w:val="2"/>
      <w:sz w:val="24"/>
      <w:szCs w:val="24"/>
    </w:rPr>
  </w:style>
  <w:style w:type="character" w:customStyle="1" w:styleId="169">
    <w:name w:val="称呼 字符"/>
    <w:link w:val="28"/>
    <w:semiHidden/>
    <w:qFormat/>
    <w:uiPriority w:val="0"/>
    <w:rPr>
      <w:kern w:val="2"/>
      <w:sz w:val="24"/>
      <w:szCs w:val="24"/>
    </w:rPr>
  </w:style>
  <w:style w:type="character" w:customStyle="1" w:styleId="170">
    <w:name w:val="正文文本 3 字符"/>
    <w:link w:val="29"/>
    <w:qFormat/>
    <w:uiPriority w:val="0"/>
    <w:rPr>
      <w:kern w:val="2"/>
      <w:sz w:val="16"/>
      <w:szCs w:val="16"/>
    </w:rPr>
  </w:style>
  <w:style w:type="character" w:customStyle="1" w:styleId="171">
    <w:name w:val="结束语 字符"/>
    <w:link w:val="30"/>
    <w:semiHidden/>
    <w:qFormat/>
    <w:uiPriority w:val="0"/>
    <w:rPr>
      <w:kern w:val="2"/>
      <w:sz w:val="24"/>
      <w:szCs w:val="24"/>
    </w:rPr>
  </w:style>
  <w:style w:type="character" w:customStyle="1" w:styleId="172">
    <w:name w:val="正文文本 字符"/>
    <w:link w:val="32"/>
    <w:qFormat/>
    <w:uiPriority w:val="0"/>
    <w:rPr>
      <w:kern w:val="2"/>
      <w:sz w:val="21"/>
      <w:szCs w:val="24"/>
    </w:rPr>
  </w:style>
  <w:style w:type="character" w:customStyle="1" w:styleId="173">
    <w:name w:val="HTML 地址 字符"/>
    <w:link w:val="40"/>
    <w:semiHidden/>
    <w:qFormat/>
    <w:uiPriority w:val="0"/>
    <w:rPr>
      <w:i/>
      <w:iCs/>
      <w:kern w:val="2"/>
      <w:sz w:val="24"/>
      <w:szCs w:val="24"/>
    </w:rPr>
  </w:style>
  <w:style w:type="character" w:customStyle="1" w:styleId="174">
    <w:name w:val="纯文本 字符"/>
    <w:link w:val="44"/>
    <w:qFormat/>
    <w:uiPriority w:val="0"/>
    <w:rPr>
      <w:rFonts w:ascii="宋体" w:hAnsi="Courier New" w:cs="Courier New"/>
      <w:kern w:val="2"/>
      <w:sz w:val="24"/>
      <w:szCs w:val="21"/>
    </w:rPr>
  </w:style>
  <w:style w:type="character" w:customStyle="1" w:styleId="175">
    <w:name w:val="日期 字符"/>
    <w:link w:val="49"/>
    <w:qFormat/>
    <w:uiPriority w:val="0"/>
    <w:rPr>
      <w:rFonts w:ascii="宋体" w:hAnsi="宋体"/>
      <w:b/>
      <w:bCs/>
      <w:kern w:val="2"/>
      <w:sz w:val="24"/>
      <w:szCs w:val="24"/>
    </w:rPr>
  </w:style>
  <w:style w:type="character" w:customStyle="1" w:styleId="176">
    <w:name w:val="尾注文本 字符"/>
    <w:link w:val="51"/>
    <w:qFormat/>
    <w:uiPriority w:val="0"/>
    <w:rPr>
      <w:kern w:val="2"/>
      <w:sz w:val="24"/>
      <w:szCs w:val="24"/>
    </w:rPr>
  </w:style>
  <w:style w:type="character" w:customStyle="1" w:styleId="177">
    <w:name w:val="批注框文本 字符"/>
    <w:link w:val="53"/>
    <w:qFormat/>
    <w:uiPriority w:val="0"/>
    <w:rPr>
      <w:kern w:val="2"/>
      <w:sz w:val="18"/>
      <w:szCs w:val="18"/>
    </w:rPr>
  </w:style>
  <w:style w:type="character" w:customStyle="1" w:styleId="178">
    <w:name w:val="页脚 字符"/>
    <w:link w:val="54"/>
    <w:qFormat/>
    <w:uiPriority w:val="99"/>
    <w:rPr>
      <w:kern w:val="2"/>
      <w:sz w:val="18"/>
      <w:szCs w:val="18"/>
    </w:rPr>
  </w:style>
  <w:style w:type="character" w:customStyle="1" w:styleId="179">
    <w:name w:val="页眉 字符"/>
    <w:link w:val="56"/>
    <w:qFormat/>
    <w:uiPriority w:val="0"/>
    <w:rPr>
      <w:kern w:val="2"/>
      <w:sz w:val="18"/>
      <w:szCs w:val="18"/>
    </w:rPr>
  </w:style>
  <w:style w:type="character" w:customStyle="1" w:styleId="180">
    <w:name w:val="签名 字符"/>
    <w:link w:val="57"/>
    <w:semiHidden/>
    <w:qFormat/>
    <w:uiPriority w:val="0"/>
    <w:rPr>
      <w:kern w:val="2"/>
      <w:sz w:val="24"/>
      <w:szCs w:val="24"/>
    </w:rPr>
  </w:style>
  <w:style w:type="character" w:customStyle="1" w:styleId="181">
    <w:name w:val="副标题 字符1"/>
    <w:link w:val="63"/>
    <w:qFormat/>
    <w:uiPriority w:val="0"/>
    <w:rPr>
      <w:rFonts w:ascii="Arial" w:hAnsi="Arial" w:cs="Arial"/>
      <w:b/>
      <w:bCs/>
      <w:kern w:val="28"/>
      <w:sz w:val="32"/>
      <w:szCs w:val="32"/>
    </w:rPr>
  </w:style>
  <w:style w:type="character" w:customStyle="1" w:styleId="182">
    <w:name w:val="脚注文本 字符"/>
    <w:link w:val="66"/>
    <w:qFormat/>
    <w:uiPriority w:val="0"/>
    <w:rPr>
      <w:kern w:val="2"/>
      <w:sz w:val="18"/>
      <w:szCs w:val="18"/>
    </w:rPr>
  </w:style>
  <w:style w:type="character" w:customStyle="1" w:styleId="183">
    <w:name w:val="正文文本缩进 3 字符"/>
    <w:link w:val="69"/>
    <w:qFormat/>
    <w:uiPriority w:val="0"/>
    <w:rPr>
      <w:kern w:val="2"/>
      <w:sz w:val="24"/>
      <w:szCs w:val="24"/>
    </w:rPr>
  </w:style>
  <w:style w:type="character" w:customStyle="1" w:styleId="184">
    <w:name w:val="正文文本 2 字符"/>
    <w:link w:val="75"/>
    <w:qFormat/>
    <w:uiPriority w:val="0"/>
    <w:rPr>
      <w:kern w:val="2"/>
      <w:sz w:val="24"/>
      <w:szCs w:val="24"/>
    </w:rPr>
  </w:style>
  <w:style w:type="character" w:customStyle="1" w:styleId="185">
    <w:name w:val="信息标题 字符"/>
    <w:link w:val="78"/>
    <w:semiHidden/>
    <w:qFormat/>
    <w:uiPriority w:val="0"/>
    <w:rPr>
      <w:rFonts w:ascii="Arial" w:hAnsi="Arial" w:cs="Arial"/>
      <w:kern w:val="2"/>
      <w:sz w:val="24"/>
      <w:szCs w:val="24"/>
      <w:shd w:val="pct20" w:color="auto" w:fill="auto"/>
    </w:rPr>
  </w:style>
  <w:style w:type="character" w:customStyle="1" w:styleId="186">
    <w:name w:val="HTML 预设格式 字符1"/>
    <w:link w:val="79"/>
    <w:qFormat/>
    <w:uiPriority w:val="0"/>
    <w:rPr>
      <w:rFonts w:ascii="宋体" w:hAnsi="宋体" w:cs="宋体"/>
      <w:color w:val="0000FF"/>
      <w:sz w:val="24"/>
      <w:szCs w:val="24"/>
    </w:rPr>
  </w:style>
  <w:style w:type="character" w:customStyle="1" w:styleId="187">
    <w:name w:val="标题 字符1"/>
    <w:link w:val="83"/>
    <w:qFormat/>
    <w:uiPriority w:val="0"/>
    <w:rPr>
      <w:rFonts w:ascii="Arial" w:hAnsi="Arial" w:cs="Arial"/>
      <w:b/>
      <w:bCs/>
      <w:kern w:val="2"/>
      <w:sz w:val="32"/>
      <w:szCs w:val="32"/>
    </w:rPr>
  </w:style>
  <w:style w:type="character" w:customStyle="1" w:styleId="188">
    <w:name w:val="批注主题 字符"/>
    <w:link w:val="84"/>
    <w:qFormat/>
    <w:uiPriority w:val="0"/>
    <w:rPr>
      <w:b/>
      <w:bCs/>
      <w:kern w:val="2"/>
      <w:sz w:val="24"/>
      <w:szCs w:val="24"/>
    </w:rPr>
  </w:style>
  <w:style w:type="character" w:customStyle="1" w:styleId="189">
    <w:name w:val="正文首行缩进 字符"/>
    <w:link w:val="85"/>
    <w:qFormat/>
    <w:uiPriority w:val="0"/>
    <w:rPr>
      <w:rFonts w:ascii="Calibri" w:hAnsi="Calibri"/>
      <w:kern w:val="2"/>
      <w:sz w:val="24"/>
      <w:szCs w:val="24"/>
    </w:rPr>
  </w:style>
  <w:style w:type="character" w:customStyle="1" w:styleId="190">
    <w:name w:val="正文首行缩进 2 字符"/>
    <w:link w:val="86"/>
    <w:qFormat/>
    <w:uiPriority w:val="0"/>
    <w:rPr>
      <w:kern w:val="2"/>
      <w:sz w:val="24"/>
      <w:szCs w:val="24"/>
    </w:rPr>
  </w:style>
  <w:style w:type="character" w:customStyle="1" w:styleId="191">
    <w:name w:val="haydonli Char"/>
    <w:link w:val="192"/>
    <w:qFormat/>
    <w:uiPriority w:val="0"/>
    <w:rPr>
      <w:kern w:val="2"/>
      <w:sz w:val="24"/>
      <w:szCs w:val="24"/>
    </w:rPr>
  </w:style>
  <w:style w:type="paragraph" w:customStyle="1" w:styleId="192">
    <w:name w:val="haydonli"/>
    <w:basedOn w:val="1"/>
    <w:link w:val="191"/>
    <w:qFormat/>
    <w:uiPriority w:val="0"/>
    <w:pPr>
      <w:snapToGrid w:val="0"/>
      <w:spacing w:line="360" w:lineRule="auto"/>
      <w:ind w:firstLine="200" w:firstLineChars="200"/>
    </w:pPr>
  </w:style>
  <w:style w:type="character" w:customStyle="1" w:styleId="193">
    <w:name w:val=" Char Char Char Char Char Char1 Char Char Char Char Char Char Char1"/>
    <w:qFormat/>
    <w:uiPriority w:val="0"/>
    <w:rPr>
      <w:rFonts w:eastAsia="宋体"/>
      <w:color w:val="000000"/>
      <w:kern w:val="2"/>
      <w:sz w:val="18"/>
      <w:szCs w:val="18"/>
      <w:lang w:val="en-US" w:eastAsia="zh-CN" w:bidi="ar-SA"/>
    </w:rPr>
  </w:style>
  <w:style w:type="character" w:customStyle="1" w:styleId="194">
    <w:name w:val=" Char Char1"/>
    <w:qFormat/>
    <w:uiPriority w:val="0"/>
    <w:rPr>
      <w:rFonts w:ascii="宋体" w:hAnsi="Courier New" w:eastAsia="宋体" w:cs="Courier New"/>
      <w:kern w:val="2"/>
      <w:sz w:val="21"/>
      <w:szCs w:val="21"/>
      <w:lang w:val="en-US" w:eastAsia="zh-CN" w:bidi="ar-SA"/>
    </w:rPr>
  </w:style>
  <w:style w:type="character" w:customStyle="1" w:styleId="195">
    <w:name w:val="WW8Num35z0"/>
    <w:qFormat/>
    <w:uiPriority w:val="0"/>
    <w:rPr>
      <w:rFonts w:ascii="Wingdings" w:hAnsi="Wingdings"/>
    </w:rPr>
  </w:style>
  <w:style w:type="character" w:customStyle="1" w:styleId="196">
    <w:name w:val="WW8Num38z0"/>
    <w:qFormat/>
    <w:uiPriority w:val="0"/>
    <w:rPr>
      <w:rFonts w:ascii="Wingdings" w:hAnsi="Wingdings"/>
    </w:rPr>
  </w:style>
  <w:style w:type="character" w:customStyle="1" w:styleId="197">
    <w:name w:val=" Char Char4"/>
    <w:qFormat/>
    <w:uiPriority w:val="0"/>
    <w:rPr>
      <w:sz w:val="18"/>
      <w:szCs w:val="18"/>
    </w:rPr>
  </w:style>
  <w:style w:type="character" w:customStyle="1" w:styleId="198">
    <w:name w:val="tit"/>
    <w:qFormat/>
    <w:uiPriority w:val="0"/>
  </w:style>
  <w:style w:type="character" w:customStyle="1" w:styleId="199">
    <w:name w:val=" Char Char Char Char Char Char Char Char Char Char Char Char Char Char Char Char Char Char Char Char Char"/>
    <w:semiHidden/>
    <w:qFormat/>
    <w:uiPriority w:val="0"/>
    <w:rPr>
      <w:rFonts w:eastAsia="宋体"/>
      <w:kern w:val="2"/>
      <w:sz w:val="24"/>
      <w:szCs w:val="24"/>
      <w:lang w:val="en-US" w:eastAsia="zh-CN" w:bidi="ar-SA"/>
    </w:rPr>
  </w:style>
  <w:style w:type="character" w:customStyle="1" w:styleId="200">
    <w:name w:val="正文报告 Char Char"/>
    <w:link w:val="201"/>
    <w:qFormat/>
    <w:uiPriority w:val="0"/>
    <w:rPr>
      <w:kern w:val="2"/>
      <w:sz w:val="28"/>
      <w:szCs w:val="28"/>
    </w:rPr>
  </w:style>
  <w:style w:type="paragraph" w:customStyle="1" w:styleId="201">
    <w:name w:val="正文报告 Char"/>
    <w:basedOn w:val="1"/>
    <w:link w:val="200"/>
    <w:qFormat/>
    <w:uiPriority w:val="0"/>
    <w:pPr>
      <w:topLinePunct/>
      <w:snapToGrid w:val="0"/>
      <w:spacing w:line="480" w:lineRule="exact"/>
      <w:ind w:firstLine="567"/>
    </w:pPr>
    <w:rPr>
      <w:sz w:val="28"/>
      <w:szCs w:val="28"/>
    </w:rPr>
  </w:style>
  <w:style w:type="character" w:customStyle="1" w:styleId="202">
    <w:name w:val="标题6 Char Char"/>
    <w:link w:val="203"/>
    <w:qFormat/>
    <w:uiPriority w:val="0"/>
    <w:rPr>
      <w:rFonts w:ascii="黑体" w:hAnsi="宋体" w:eastAsia="黑体"/>
      <w:bCs/>
      <w:sz w:val="24"/>
      <w:szCs w:val="24"/>
    </w:rPr>
  </w:style>
  <w:style w:type="paragraph" w:customStyle="1" w:styleId="203">
    <w:name w:val="标题6"/>
    <w:basedOn w:val="1"/>
    <w:link w:val="202"/>
    <w:qFormat/>
    <w:uiPriority w:val="0"/>
    <w:pPr>
      <w:autoSpaceDE w:val="0"/>
      <w:autoSpaceDN w:val="0"/>
      <w:adjustRightInd w:val="0"/>
      <w:snapToGrid w:val="0"/>
      <w:spacing w:line="480" w:lineRule="exact"/>
      <w:ind w:firstLine="200" w:firstLineChars="200"/>
    </w:pPr>
    <w:rPr>
      <w:rFonts w:ascii="黑体" w:hAnsi="宋体" w:eastAsia="黑体"/>
      <w:bCs/>
      <w:kern w:val="0"/>
    </w:rPr>
  </w:style>
  <w:style w:type="character" w:customStyle="1" w:styleId="204">
    <w:name w:val="newstxt"/>
    <w:qFormat/>
    <w:uiPriority w:val="0"/>
  </w:style>
  <w:style w:type="character" w:customStyle="1" w:styleId="205">
    <w:name w:val="表头 Char Char Char"/>
    <w:qFormat/>
    <w:uiPriority w:val="0"/>
    <w:rPr>
      <w:rFonts w:ascii="黑体" w:eastAsia="黑体"/>
      <w:sz w:val="24"/>
      <w:szCs w:val="24"/>
      <w:lang w:val="en-US" w:eastAsia="zh-CN" w:bidi="ar-SA"/>
    </w:rPr>
  </w:style>
  <w:style w:type="character" w:customStyle="1" w:styleId="206">
    <w:name w:val="正文（首行缩近两字） Char"/>
    <w:link w:val="207"/>
    <w:qFormat/>
    <w:uiPriority w:val="0"/>
    <w:rPr>
      <w:kern w:val="2"/>
      <w:sz w:val="24"/>
      <w:szCs w:val="24"/>
    </w:rPr>
  </w:style>
  <w:style w:type="paragraph" w:customStyle="1" w:styleId="207">
    <w:name w:val="正文（首行缩近两字）"/>
    <w:basedOn w:val="1"/>
    <w:next w:val="1"/>
    <w:link w:val="206"/>
    <w:qFormat/>
    <w:uiPriority w:val="0"/>
    <w:pPr>
      <w:ind w:firstLine="420" w:firstLineChars="200"/>
    </w:pPr>
  </w:style>
  <w:style w:type="character" w:customStyle="1" w:styleId="208">
    <w:name w:val="正文 Char"/>
    <w:link w:val="209"/>
    <w:qFormat/>
    <w:uiPriority w:val="0"/>
    <w:rPr>
      <w:rFonts w:ascii="宋体"/>
      <w:sz w:val="24"/>
    </w:rPr>
  </w:style>
  <w:style w:type="paragraph" w:customStyle="1" w:styleId="209">
    <w:name w:val="正文2"/>
    <w:link w:val="208"/>
    <w:qFormat/>
    <w:uiPriority w:val="0"/>
    <w:pPr>
      <w:widowControl w:val="0"/>
      <w:adjustRightInd w:val="0"/>
      <w:spacing w:line="360" w:lineRule="atLeast"/>
      <w:jc w:val="both"/>
      <w:textAlignment w:val="baseline"/>
    </w:pPr>
    <w:rPr>
      <w:rFonts w:ascii="宋体" w:hAnsi="Times New Roman" w:eastAsia="宋体" w:cs="Times New Roman"/>
      <w:sz w:val="24"/>
      <w:lang w:val="en-US" w:eastAsia="zh-CN" w:bidi="ar-SA"/>
    </w:rPr>
  </w:style>
  <w:style w:type="character" w:customStyle="1" w:styleId="210">
    <w:name w:val="表格内容 Char"/>
    <w:link w:val="211"/>
    <w:qFormat/>
    <w:uiPriority w:val="0"/>
    <w:rPr>
      <w:snapToGrid w:val="0"/>
      <w:color w:val="000000"/>
      <w:sz w:val="24"/>
      <w:szCs w:val="21"/>
    </w:rPr>
  </w:style>
  <w:style w:type="paragraph" w:customStyle="1" w:styleId="211">
    <w:name w:val="表格内容"/>
    <w:basedOn w:val="1"/>
    <w:link w:val="210"/>
    <w:qFormat/>
    <w:uiPriority w:val="0"/>
    <w:pPr>
      <w:snapToGrid w:val="0"/>
      <w:jc w:val="center"/>
    </w:pPr>
    <w:rPr>
      <w:snapToGrid w:val="0"/>
      <w:color w:val="000000"/>
      <w:kern w:val="0"/>
      <w:szCs w:val="21"/>
    </w:rPr>
  </w:style>
  <w:style w:type="character" w:customStyle="1" w:styleId="212">
    <w:name w:val="style11"/>
    <w:qFormat/>
    <w:uiPriority w:val="0"/>
    <w:rPr>
      <w:b/>
      <w:bCs/>
      <w:color w:val="000000"/>
      <w:sz w:val="18"/>
      <w:szCs w:val="18"/>
    </w:rPr>
  </w:style>
  <w:style w:type="character" w:customStyle="1" w:styleId="213">
    <w:name w:val="正文文 Char"/>
    <w:link w:val="214"/>
    <w:qFormat/>
    <w:uiPriority w:val="0"/>
    <w:rPr>
      <w:sz w:val="24"/>
      <w:szCs w:val="24"/>
    </w:rPr>
  </w:style>
  <w:style w:type="paragraph" w:customStyle="1" w:styleId="214">
    <w:name w:val="正文文"/>
    <w:basedOn w:val="1"/>
    <w:link w:val="213"/>
    <w:qFormat/>
    <w:uiPriority w:val="0"/>
    <w:pPr>
      <w:widowControl/>
      <w:ind w:firstLine="200" w:firstLineChars="200"/>
      <w:jc w:val="left"/>
    </w:pPr>
    <w:rPr>
      <w:kern w:val="0"/>
    </w:rPr>
  </w:style>
  <w:style w:type="character" w:customStyle="1" w:styleId="215">
    <w:name w:val="样式3 Char"/>
    <w:link w:val="216"/>
    <w:qFormat/>
    <w:uiPriority w:val="0"/>
    <w:rPr>
      <w:kern w:val="2"/>
      <w:sz w:val="24"/>
      <w:szCs w:val="24"/>
    </w:rPr>
  </w:style>
  <w:style w:type="paragraph" w:customStyle="1" w:styleId="216">
    <w:name w:val="样式3"/>
    <w:basedOn w:val="1"/>
    <w:link w:val="215"/>
    <w:qFormat/>
    <w:uiPriority w:val="0"/>
    <w:pPr>
      <w:pBdr>
        <w:bottom w:val="thinThickSmallGap" w:color="auto" w:sz="18" w:space="1"/>
      </w:pBdr>
    </w:pPr>
  </w:style>
  <w:style w:type="character" w:customStyle="1" w:styleId="217">
    <w:name w:val="样式8 Char Char Char Char"/>
    <w:qFormat/>
    <w:uiPriority w:val="0"/>
    <w:rPr>
      <w:rFonts w:eastAsia="宋体"/>
      <w:kern w:val="2"/>
      <w:sz w:val="24"/>
      <w:lang w:val="en-US" w:eastAsia="zh-CN"/>
    </w:rPr>
  </w:style>
  <w:style w:type="character" w:customStyle="1" w:styleId="218">
    <w:name w:val="A4"/>
    <w:qFormat/>
    <w:uiPriority w:val="0"/>
    <w:rPr>
      <w:rFonts w:cs="宋体"/>
      <w:color w:val="000000"/>
      <w:sz w:val="28"/>
      <w:szCs w:val="28"/>
    </w:rPr>
  </w:style>
  <w:style w:type="character" w:customStyle="1" w:styleId="219">
    <w:name w:val="1.1 Char"/>
    <w:link w:val="220"/>
    <w:qFormat/>
    <w:uiPriority w:val="0"/>
    <w:rPr>
      <w:rFonts w:ascii="黑体" w:eastAsia="黑体"/>
      <w:b/>
      <w:spacing w:val="10"/>
      <w:sz w:val="28"/>
      <w:lang w:bidi="ar-SA"/>
    </w:rPr>
  </w:style>
  <w:style w:type="paragraph" w:customStyle="1" w:styleId="220">
    <w:name w:val="1.1"/>
    <w:next w:val="1"/>
    <w:link w:val="219"/>
    <w:qFormat/>
    <w:uiPriority w:val="0"/>
    <w:pPr>
      <w:widowControl w:val="0"/>
      <w:adjustRightInd w:val="0"/>
      <w:snapToGrid w:val="0"/>
      <w:spacing w:before="100" w:beforeLines="100" w:after="50" w:afterLines="50" w:line="300" w:lineRule="auto"/>
      <w:jc w:val="both"/>
    </w:pPr>
    <w:rPr>
      <w:rFonts w:ascii="黑体" w:hAnsi="Times New Roman" w:eastAsia="黑体" w:cs="Times New Roman"/>
      <w:b/>
      <w:spacing w:val="10"/>
      <w:sz w:val="28"/>
      <w:lang w:val="en-US" w:eastAsia="zh-CN" w:bidi="ar-SA"/>
    </w:rPr>
  </w:style>
  <w:style w:type="character" w:customStyle="1" w:styleId="221">
    <w:name w:val="样式1 Char"/>
    <w:link w:val="222"/>
    <w:qFormat/>
    <w:uiPriority w:val="0"/>
    <w:rPr>
      <w:kern w:val="2"/>
      <w:sz w:val="21"/>
      <w:szCs w:val="21"/>
    </w:rPr>
  </w:style>
  <w:style w:type="paragraph" w:customStyle="1" w:styleId="222">
    <w:name w:val="样式1"/>
    <w:basedOn w:val="56"/>
    <w:next w:val="56"/>
    <w:link w:val="221"/>
    <w:qFormat/>
    <w:uiPriority w:val="0"/>
    <w:pPr>
      <w:pBdr>
        <w:bottom w:val="thinThickSmallGap" w:color="auto" w:sz="24" w:space="1"/>
      </w:pBdr>
      <w:jc w:val="both"/>
    </w:pPr>
    <w:rPr>
      <w:sz w:val="21"/>
      <w:szCs w:val="21"/>
    </w:rPr>
  </w:style>
  <w:style w:type="character" w:customStyle="1" w:styleId="223">
    <w:name w:val="WW8Num15z2"/>
    <w:qFormat/>
    <w:uiPriority w:val="0"/>
    <w:rPr>
      <w:rFonts w:ascii="Century Gothic" w:hAnsi="Century Gothic" w:eastAsia="华文楷体"/>
      <w:sz w:val="26"/>
      <w:szCs w:val="26"/>
    </w:rPr>
  </w:style>
  <w:style w:type="character" w:customStyle="1" w:styleId="224">
    <w:name w:val="Char Char Char1 Char Char1 Char Char"/>
    <w:qFormat/>
    <w:uiPriority w:val="0"/>
    <w:rPr>
      <w:rFonts w:eastAsia="宋体"/>
      <w:kern w:val="2"/>
      <w:sz w:val="24"/>
      <w:szCs w:val="24"/>
      <w:lang w:val="en-US" w:eastAsia="zh-CN" w:bidi="ar-SA"/>
    </w:rPr>
  </w:style>
  <w:style w:type="character" w:customStyle="1" w:styleId="225">
    <w:name w:val=" Char Char8"/>
    <w:qFormat/>
    <w:uiPriority w:val="0"/>
    <w:rPr>
      <w:rFonts w:eastAsia="宋体"/>
      <w:kern w:val="2"/>
      <w:sz w:val="21"/>
      <w:szCs w:val="24"/>
      <w:lang w:val="en-US" w:eastAsia="zh-CN" w:bidi="ar-SA"/>
    </w:rPr>
  </w:style>
  <w:style w:type="character" w:customStyle="1" w:styleId="226">
    <w:name w:val="WW8Num7z0"/>
    <w:qFormat/>
    <w:uiPriority w:val="0"/>
    <w:rPr>
      <w:rFonts w:ascii="Wingdings" w:hAnsi="Wingdings"/>
    </w:rPr>
  </w:style>
  <w:style w:type="character" w:customStyle="1" w:styleId="227">
    <w:name w:val="style391"/>
    <w:qFormat/>
    <w:uiPriority w:val="0"/>
    <w:rPr>
      <w:sz w:val="18"/>
      <w:szCs w:val="18"/>
    </w:rPr>
  </w:style>
  <w:style w:type="character" w:customStyle="1" w:styleId="228">
    <w:name w:val="font31"/>
    <w:qFormat/>
    <w:uiPriority w:val="0"/>
    <w:rPr>
      <w:rFonts w:hint="eastAsia" w:ascii="黑体" w:eastAsia="黑体"/>
      <w:color w:val="000000"/>
      <w:sz w:val="20"/>
      <w:szCs w:val="20"/>
      <w:u w:val="none"/>
    </w:rPr>
  </w:style>
  <w:style w:type="character" w:customStyle="1" w:styleId="229">
    <w:name w:val="p11"/>
    <w:qFormat/>
    <w:uiPriority w:val="0"/>
    <w:rPr>
      <w:rFonts w:hint="default" w:ascii="ˎ̥" w:hAnsi="ˎ̥"/>
      <w:color w:val="000000"/>
      <w:sz w:val="29"/>
      <w:szCs w:val="29"/>
      <w:u w:val="none"/>
    </w:rPr>
  </w:style>
  <w:style w:type="character" w:customStyle="1" w:styleId="230">
    <w:name w:val="文档结构图 Char2"/>
    <w:qFormat/>
    <w:uiPriority w:val="99"/>
    <w:rPr>
      <w:rFonts w:ascii="Times New Roman" w:hAnsi="Times New Roman" w:eastAsia="宋体" w:cs="Times New Roman"/>
      <w:szCs w:val="28"/>
      <w:shd w:val="clear" w:color="auto" w:fill="000080"/>
    </w:rPr>
  </w:style>
  <w:style w:type="character" w:customStyle="1" w:styleId="231">
    <w:name w:val="样式 正文缩进正文（首行缩进两字）正文缩进 Char正文缩进 Char1 Char正文缩进 Char Char Char... Char Char Char"/>
    <w:link w:val="232"/>
    <w:qFormat/>
    <w:uiPriority w:val="0"/>
    <w:rPr>
      <w:rFonts w:ascii="宋体" w:hAnsi="宋体"/>
      <w:color w:val="000000"/>
      <w:spacing w:val="10"/>
      <w:kern w:val="2"/>
      <w:sz w:val="24"/>
      <w:szCs w:val="24"/>
    </w:rPr>
  </w:style>
  <w:style w:type="paragraph" w:customStyle="1" w:styleId="232">
    <w:name w:val="样式 正文缩进正文（首行缩进两字）正文缩进 Char正文缩进 Char1 Char正文缩进 Char Char Char... Char Char"/>
    <w:basedOn w:val="20"/>
    <w:link w:val="231"/>
    <w:qFormat/>
    <w:uiPriority w:val="0"/>
    <w:pPr>
      <w:ind w:firstLine="200" w:firstLineChars="200"/>
    </w:pPr>
    <w:rPr>
      <w:rFonts w:ascii="宋体" w:hAnsi="宋体"/>
      <w:color w:val="000000"/>
      <w:spacing w:val="10"/>
      <w:szCs w:val="24"/>
      <w:lang w:val="en-US" w:eastAsia="zh-CN"/>
    </w:rPr>
  </w:style>
  <w:style w:type="character" w:customStyle="1" w:styleId="233">
    <w:name w:val="WW8Num15z3"/>
    <w:qFormat/>
    <w:uiPriority w:val="0"/>
    <w:rPr>
      <w:rFonts w:ascii="Century Gothic" w:hAnsi="Century Gothic" w:eastAsia="华文仿宋"/>
      <w:sz w:val="26"/>
      <w:szCs w:val="26"/>
    </w:rPr>
  </w:style>
  <w:style w:type="character" w:customStyle="1" w:styleId="234">
    <w:name w:val="表格文字 Char"/>
    <w:link w:val="235"/>
    <w:qFormat/>
    <w:uiPriority w:val="0"/>
    <w:rPr>
      <w:rFonts w:ascii="宋体" w:hAnsi="宋体"/>
      <w:snapToGrid/>
      <w:color w:val="FF0000"/>
      <w:spacing w:val="6"/>
      <w:sz w:val="24"/>
    </w:rPr>
  </w:style>
  <w:style w:type="paragraph" w:customStyle="1" w:styleId="235">
    <w:name w:val="表格文字"/>
    <w:basedOn w:val="1"/>
    <w:link w:val="234"/>
    <w:qFormat/>
    <w:uiPriority w:val="0"/>
    <w:pPr>
      <w:tabs>
        <w:tab w:val="left" w:pos="146"/>
      </w:tabs>
      <w:jc w:val="center"/>
    </w:pPr>
    <w:rPr>
      <w:rFonts w:ascii="宋体" w:hAnsi="宋体"/>
      <w:snapToGrid w:val="0"/>
      <w:color w:val="FF0000"/>
      <w:spacing w:val="6"/>
      <w:kern w:val="0"/>
      <w:szCs w:val="20"/>
    </w:rPr>
  </w:style>
  <w:style w:type="character" w:customStyle="1" w:styleId="236">
    <w:name w:val="正文（睢） Char"/>
    <w:link w:val="237"/>
    <w:qFormat/>
    <w:uiPriority w:val="0"/>
    <w:rPr>
      <w:rFonts w:cs="宋体"/>
      <w:kern w:val="2"/>
      <w:sz w:val="28"/>
    </w:rPr>
  </w:style>
  <w:style w:type="paragraph" w:customStyle="1" w:styleId="237">
    <w:name w:val="正文（睢）"/>
    <w:basedOn w:val="1"/>
    <w:link w:val="236"/>
    <w:qFormat/>
    <w:uiPriority w:val="0"/>
    <w:pPr>
      <w:spacing w:line="480" w:lineRule="exact"/>
      <w:ind w:firstLine="200" w:firstLineChars="200"/>
    </w:pPr>
    <w:rPr>
      <w:rFonts w:cs="宋体"/>
      <w:sz w:val="28"/>
      <w:szCs w:val="20"/>
    </w:rPr>
  </w:style>
  <w:style w:type="character" w:customStyle="1" w:styleId="238">
    <w:name w:val="WW8Num6z0"/>
    <w:qFormat/>
    <w:uiPriority w:val="0"/>
    <w:rPr>
      <w:rFonts w:ascii="Wingdings" w:hAnsi="Wingdings"/>
    </w:rPr>
  </w:style>
  <w:style w:type="character" w:customStyle="1" w:styleId="239">
    <w:name w:val="style141"/>
    <w:qFormat/>
    <w:uiPriority w:val="0"/>
    <w:rPr>
      <w:b/>
      <w:bCs/>
      <w:sz w:val="17"/>
      <w:szCs w:val="17"/>
    </w:rPr>
  </w:style>
  <w:style w:type="character" w:customStyle="1" w:styleId="240">
    <w:name w:val="页眉 Char1"/>
    <w:qFormat/>
    <w:uiPriority w:val="0"/>
    <w:rPr>
      <w:kern w:val="2"/>
      <w:sz w:val="18"/>
      <w:szCs w:val="18"/>
    </w:rPr>
  </w:style>
  <w:style w:type="character" w:customStyle="1" w:styleId="241">
    <w:name w:val="我的正文 Char"/>
    <w:link w:val="242"/>
    <w:qFormat/>
    <w:uiPriority w:val="0"/>
    <w:rPr>
      <w:rFonts w:ascii="Calibri" w:hAnsi="Calibri"/>
      <w:kern w:val="2"/>
      <w:sz w:val="24"/>
    </w:rPr>
  </w:style>
  <w:style w:type="paragraph" w:customStyle="1" w:styleId="242">
    <w:name w:val="我的正文"/>
    <w:basedOn w:val="1"/>
    <w:link w:val="241"/>
    <w:qFormat/>
    <w:uiPriority w:val="0"/>
    <w:pPr>
      <w:spacing w:line="440" w:lineRule="exact"/>
      <w:ind w:firstLine="200" w:firstLineChars="200"/>
    </w:pPr>
    <w:rPr>
      <w:rFonts w:ascii="Calibri" w:hAnsi="Calibri"/>
      <w:szCs w:val="20"/>
    </w:rPr>
  </w:style>
  <w:style w:type="character" w:customStyle="1" w:styleId="243">
    <w:name w:val="正文文字缩进 Char"/>
    <w:link w:val="244"/>
    <w:qFormat/>
    <w:uiPriority w:val="0"/>
    <w:rPr>
      <w:rFonts w:ascii="宋体" w:hAnsi="宋体" w:cs="宋体"/>
      <w:kern w:val="2"/>
      <w:sz w:val="24"/>
      <w:szCs w:val="24"/>
    </w:rPr>
  </w:style>
  <w:style w:type="paragraph" w:customStyle="1" w:styleId="244">
    <w:name w:val="正文文字缩进"/>
    <w:basedOn w:val="1"/>
    <w:link w:val="243"/>
    <w:qFormat/>
    <w:uiPriority w:val="0"/>
    <w:pPr>
      <w:spacing w:line="360" w:lineRule="auto"/>
      <w:ind w:firstLine="482"/>
    </w:pPr>
    <w:rPr>
      <w:rFonts w:ascii="宋体" w:hAnsi="宋体" w:cs="宋体"/>
    </w:rPr>
  </w:style>
  <w:style w:type="character" w:customStyle="1" w:styleId="245">
    <w:name w:val="WW8Num22z0"/>
    <w:qFormat/>
    <w:uiPriority w:val="0"/>
    <w:rPr>
      <w:rFonts w:ascii="宋体" w:hAnsi="宋体"/>
    </w:rPr>
  </w:style>
  <w:style w:type="character" w:customStyle="1" w:styleId="246">
    <w:name w:val="样式 正文缩进 + 首行缩进:  2 字符 Char"/>
    <w:link w:val="247"/>
    <w:qFormat/>
    <w:uiPriority w:val="0"/>
    <w:rPr>
      <w:rFonts w:eastAsia="黑体" w:cs="宋体"/>
      <w:color w:val="000000"/>
      <w:kern w:val="2"/>
      <w:sz w:val="28"/>
      <w:szCs w:val="28"/>
    </w:rPr>
  </w:style>
  <w:style w:type="paragraph" w:customStyle="1" w:styleId="247">
    <w:name w:val="样式 正文缩进 + 首行缩进:  2 字符"/>
    <w:basedOn w:val="20"/>
    <w:link w:val="246"/>
    <w:qFormat/>
    <w:uiPriority w:val="0"/>
    <w:pPr>
      <w:snapToGrid w:val="0"/>
      <w:spacing w:line="520" w:lineRule="atLeast"/>
      <w:ind w:firstLine="200" w:firstLineChars="200"/>
    </w:pPr>
    <w:rPr>
      <w:rFonts w:eastAsia="黑体" w:cs="宋体"/>
      <w:color w:val="000000"/>
      <w:sz w:val="28"/>
      <w:szCs w:val="28"/>
    </w:rPr>
  </w:style>
  <w:style w:type="character" w:customStyle="1" w:styleId="248">
    <w:name w:val="neiwen"/>
    <w:qFormat/>
    <w:uiPriority w:val="0"/>
    <w:rPr>
      <w:rFonts w:eastAsia="黑体" w:cs="宋体"/>
      <w:b/>
      <w:bCs/>
      <w:color w:val="000000"/>
      <w:kern w:val="2"/>
      <w:sz w:val="32"/>
      <w:szCs w:val="32"/>
      <w:lang w:val="en-US" w:eastAsia="zh-CN" w:bidi="ar-SA"/>
    </w:rPr>
  </w:style>
  <w:style w:type="character" w:customStyle="1" w:styleId="249">
    <w:name w:val="表格格式 Char"/>
    <w:link w:val="250"/>
    <w:qFormat/>
    <w:uiPriority w:val="0"/>
    <w:rPr>
      <w:sz w:val="21"/>
      <w:szCs w:val="21"/>
    </w:rPr>
  </w:style>
  <w:style w:type="paragraph" w:customStyle="1" w:styleId="250">
    <w:name w:val="表格格式"/>
    <w:basedOn w:val="1"/>
    <w:link w:val="249"/>
    <w:qFormat/>
    <w:uiPriority w:val="0"/>
    <w:pPr>
      <w:widowControl/>
      <w:jc w:val="center"/>
    </w:pPr>
    <w:rPr>
      <w:kern w:val="0"/>
      <w:sz w:val="21"/>
      <w:szCs w:val="21"/>
    </w:rPr>
  </w:style>
  <w:style w:type="character" w:customStyle="1" w:styleId="251">
    <w:name w:val="font_green1"/>
    <w:qFormat/>
    <w:uiPriority w:val="0"/>
    <w:rPr>
      <w:rFonts w:eastAsia="黑体" w:cs="宋体"/>
      <w:b/>
      <w:bCs/>
      <w:color w:val="044E10"/>
      <w:kern w:val="2"/>
      <w:sz w:val="18"/>
      <w:szCs w:val="18"/>
      <w:u w:val="none"/>
      <w:lang w:val="en-US" w:eastAsia="zh-CN" w:bidi="ar-SA"/>
    </w:rPr>
  </w:style>
  <w:style w:type="character" w:customStyle="1" w:styleId="252">
    <w:name w:val="标题 3 Char1"/>
    <w:qFormat/>
    <w:uiPriority w:val="0"/>
    <w:rPr>
      <w:b/>
      <w:bCs/>
      <w:kern w:val="2"/>
      <w:sz w:val="28"/>
      <w:szCs w:val="32"/>
    </w:rPr>
  </w:style>
  <w:style w:type="character" w:customStyle="1" w:styleId="253">
    <w:name w:val="标准 正文 QJJ Char Char"/>
    <w:link w:val="254"/>
    <w:qFormat/>
    <w:uiPriority w:val="0"/>
    <w:rPr>
      <w:rFonts w:ascii="宋体" w:hAnsi="Arial" w:cs="宋体"/>
      <w:kern w:val="2"/>
      <w:sz w:val="24"/>
      <w:szCs w:val="24"/>
    </w:rPr>
  </w:style>
  <w:style w:type="paragraph" w:customStyle="1" w:styleId="254">
    <w:name w:val="标准 正文 QJJ"/>
    <w:basedOn w:val="1"/>
    <w:link w:val="253"/>
    <w:qFormat/>
    <w:uiPriority w:val="0"/>
    <w:pPr>
      <w:spacing w:line="520" w:lineRule="exact"/>
      <w:ind w:firstLine="480" w:firstLineChars="200"/>
    </w:pPr>
    <w:rPr>
      <w:rFonts w:ascii="宋体" w:hAnsi="Arial" w:cs="宋体"/>
    </w:rPr>
  </w:style>
  <w:style w:type="character" w:customStyle="1" w:styleId="255">
    <w:name w:val="WW8Num29z0"/>
    <w:qFormat/>
    <w:uiPriority w:val="0"/>
    <w:rPr>
      <w:rFonts w:ascii="Wingdings" w:hAnsi="Wingdings"/>
    </w:rPr>
  </w:style>
  <w:style w:type="character" w:customStyle="1" w:styleId="256">
    <w:name w:val="正文文本首行缩进 2 字符"/>
    <w:link w:val="257"/>
    <w:qFormat/>
    <w:uiPriority w:val="0"/>
    <w:rPr>
      <w:kern w:val="2"/>
      <w:sz w:val="21"/>
    </w:rPr>
  </w:style>
  <w:style w:type="paragraph" w:customStyle="1" w:styleId="257">
    <w:name w:val="正文首行缩进 211"/>
    <w:basedOn w:val="33"/>
    <w:next w:val="1"/>
    <w:link w:val="256"/>
    <w:qFormat/>
    <w:uiPriority w:val="0"/>
    <w:pPr>
      <w:ind w:left="0" w:leftChars="0" w:firstLine="420"/>
    </w:pPr>
    <w:rPr>
      <w:sz w:val="21"/>
      <w:szCs w:val="20"/>
    </w:rPr>
  </w:style>
  <w:style w:type="character" w:customStyle="1" w:styleId="258">
    <w:name w:val="正文文字 Char Char Char Char"/>
    <w:link w:val="259"/>
    <w:qFormat/>
    <w:uiPriority w:val="0"/>
    <w:rPr>
      <w:rFonts w:ascii="宋体" w:hAnsi="宋体"/>
      <w:kern w:val="2"/>
      <w:sz w:val="24"/>
    </w:rPr>
  </w:style>
  <w:style w:type="paragraph" w:customStyle="1" w:styleId="259">
    <w:name w:val="正文文字 Char Char Char"/>
    <w:basedOn w:val="1"/>
    <w:link w:val="258"/>
    <w:qFormat/>
    <w:uiPriority w:val="0"/>
    <w:pPr>
      <w:spacing w:line="480" w:lineRule="exact"/>
      <w:ind w:firstLine="480" w:firstLineChars="200"/>
    </w:pPr>
    <w:rPr>
      <w:rFonts w:ascii="宋体" w:hAnsi="宋体"/>
      <w:szCs w:val="20"/>
    </w:rPr>
  </w:style>
  <w:style w:type="character" w:customStyle="1" w:styleId="260">
    <w:name w:val="项标题(1) Char Char"/>
    <w:qFormat/>
    <w:uiPriority w:val="0"/>
    <w:rPr>
      <w:rFonts w:ascii="宋体" w:hAnsi="宋体" w:eastAsia="宋体" w:cs="宋体"/>
      <w:b/>
      <w:bCs/>
      <w:color w:val="000000"/>
      <w:kern w:val="2"/>
      <w:sz w:val="24"/>
      <w:szCs w:val="28"/>
      <w:lang w:val="en-US" w:eastAsia="zh-CN" w:bidi="ar-SA"/>
    </w:rPr>
  </w:style>
  <w:style w:type="character" w:customStyle="1" w:styleId="261">
    <w:name w:val="WW8Num49z0"/>
    <w:qFormat/>
    <w:uiPriority w:val="0"/>
    <w:rPr>
      <w:rFonts w:ascii="Wingdings" w:hAnsi="Wingdings"/>
    </w:rPr>
  </w:style>
  <w:style w:type="character" w:customStyle="1" w:styleId="262">
    <w:name w:val="Char Char1"/>
    <w:qFormat/>
    <w:uiPriority w:val="0"/>
    <w:rPr>
      <w:rFonts w:ascii="宋体" w:hAnsi="Courier New" w:eastAsia="宋体" w:cs="Courier New"/>
      <w:kern w:val="2"/>
      <w:sz w:val="21"/>
      <w:szCs w:val="21"/>
      <w:lang w:val="en-US" w:eastAsia="zh-CN" w:bidi="ar-SA"/>
    </w:rPr>
  </w:style>
  <w:style w:type="character" w:customStyle="1" w:styleId="263">
    <w:name w:val="WW8Num45z0"/>
    <w:qFormat/>
    <w:uiPriority w:val="0"/>
    <w:rPr>
      <w:rFonts w:ascii="Wingdings" w:hAnsi="Wingdings"/>
    </w:rPr>
  </w:style>
  <w:style w:type="character" w:customStyle="1" w:styleId="264">
    <w:name w:val="图表名 Char Char Char"/>
    <w:link w:val="265"/>
    <w:qFormat/>
    <w:uiPriority w:val="0"/>
    <w:rPr>
      <w:rFonts w:ascii="黑体" w:eastAsia="黑体" w:cs="黑体"/>
      <w:color w:val="000000"/>
      <w:kern w:val="2"/>
      <w:sz w:val="28"/>
      <w:szCs w:val="28"/>
    </w:rPr>
  </w:style>
  <w:style w:type="paragraph" w:customStyle="1" w:styleId="265">
    <w:name w:val="图表名 Char Char"/>
    <w:basedOn w:val="1"/>
    <w:link w:val="264"/>
    <w:qFormat/>
    <w:uiPriority w:val="0"/>
    <w:pPr>
      <w:adjustRightInd w:val="0"/>
      <w:snapToGrid w:val="0"/>
      <w:spacing w:line="240" w:lineRule="atLeast"/>
    </w:pPr>
    <w:rPr>
      <w:rFonts w:ascii="黑体" w:eastAsia="黑体" w:cs="黑体"/>
      <w:color w:val="000000"/>
      <w:sz w:val="28"/>
      <w:szCs w:val="28"/>
    </w:rPr>
  </w:style>
  <w:style w:type="character" w:customStyle="1" w:styleId="266">
    <w:name w:val="默认段落 Char"/>
    <w:link w:val="150"/>
    <w:qFormat/>
    <w:uiPriority w:val="0"/>
    <w:rPr>
      <w:rFonts w:ascii="Calibri" w:hAnsi="Calibri"/>
      <w:kern w:val="2"/>
      <w:sz w:val="24"/>
      <w:szCs w:val="24"/>
    </w:rPr>
  </w:style>
  <w:style w:type="character" w:customStyle="1" w:styleId="267">
    <w:name w:val="表号、图号 Char"/>
    <w:link w:val="268"/>
    <w:qFormat/>
    <w:uiPriority w:val="0"/>
    <w:rPr>
      <w:rFonts w:ascii="Times New Roman" w:hAnsi="Times New Roman" w:eastAsia="黑体"/>
      <w:kern w:val="2"/>
      <w:sz w:val="24"/>
      <w:szCs w:val="24"/>
    </w:rPr>
  </w:style>
  <w:style w:type="paragraph" w:customStyle="1" w:styleId="268">
    <w:name w:val="表号、图号"/>
    <w:basedOn w:val="1"/>
    <w:link w:val="267"/>
    <w:qFormat/>
    <w:uiPriority w:val="0"/>
    <w:pPr>
      <w:numPr>
        <w:ilvl w:val="4"/>
        <w:numId w:val="1"/>
      </w:numPr>
      <w:tabs>
        <w:tab w:val="left" w:pos="0"/>
      </w:tabs>
      <w:ind w:left="0" w:firstLine="0"/>
      <w:jc w:val="center"/>
    </w:pPr>
    <w:rPr>
      <w:rFonts w:ascii="Times New Roman" w:hAnsi="Times New Roman" w:eastAsia="黑体"/>
    </w:rPr>
  </w:style>
  <w:style w:type="character" w:customStyle="1" w:styleId="269">
    <w:name w:val="WW8Num18z0"/>
    <w:qFormat/>
    <w:uiPriority w:val="0"/>
    <w:rPr>
      <w:rFonts w:ascii="Wingdings" w:hAnsi="Wingdings"/>
    </w:rPr>
  </w:style>
  <w:style w:type="character" w:customStyle="1" w:styleId="270">
    <w:name w:val="表号、图号 Char Char Char"/>
    <w:link w:val="271"/>
    <w:qFormat/>
    <w:uiPriority w:val="0"/>
    <w:rPr>
      <w:rFonts w:ascii="黑体" w:hAnsi="黑体" w:eastAsia="黑体"/>
      <w:color w:val="000000"/>
      <w:kern w:val="2"/>
      <w:sz w:val="24"/>
      <w:szCs w:val="24"/>
    </w:rPr>
  </w:style>
  <w:style w:type="paragraph" w:customStyle="1" w:styleId="271">
    <w:name w:val="表号、图号 Char Char"/>
    <w:basedOn w:val="1"/>
    <w:link w:val="270"/>
    <w:qFormat/>
    <w:uiPriority w:val="0"/>
    <w:pPr>
      <w:spacing w:line="360" w:lineRule="auto"/>
      <w:jc w:val="center"/>
    </w:pPr>
    <w:rPr>
      <w:rFonts w:ascii="黑体" w:hAnsi="黑体" w:eastAsia="黑体"/>
      <w:color w:val="000000"/>
    </w:rPr>
  </w:style>
  <w:style w:type="character" w:customStyle="1" w:styleId="272">
    <w:name w:val="正文文本缩进 22"/>
    <w:qFormat/>
    <w:uiPriority w:val="0"/>
    <w:rPr>
      <w:rFonts w:eastAsia="宋体"/>
      <w:kern w:val="2"/>
      <w:sz w:val="24"/>
      <w:szCs w:val="24"/>
      <w:lang w:val="en-US" w:eastAsia="zh-CN" w:bidi="ar-SA"/>
    </w:rPr>
  </w:style>
  <w:style w:type="character" w:customStyle="1" w:styleId="273">
    <w:name w:val="样式 报告书正文 + 倾斜 居中 底端: (粗-细窄间隔 自动设置  3 磅 行宽) Char Char Char"/>
    <w:link w:val="274"/>
    <w:qFormat/>
    <w:uiPriority w:val="0"/>
    <w:rPr>
      <w:rFonts w:cs="宋体"/>
      <w:i/>
      <w:iCs/>
      <w:color w:val="000000"/>
      <w:kern w:val="2"/>
      <w:sz w:val="24"/>
    </w:rPr>
  </w:style>
  <w:style w:type="paragraph" w:customStyle="1" w:styleId="274">
    <w:name w:val="样式 报告书正文 + 倾斜 居中 底端: (粗-细窄间隔 自动设置  3 磅 行宽) Char Char"/>
    <w:basedOn w:val="1"/>
    <w:link w:val="273"/>
    <w:qFormat/>
    <w:uiPriority w:val="0"/>
    <w:pPr>
      <w:adjustRightInd w:val="0"/>
      <w:snapToGrid w:val="0"/>
      <w:spacing w:line="400" w:lineRule="atLeast"/>
      <w:ind w:firstLine="567"/>
      <w:jc w:val="center"/>
    </w:pPr>
    <w:rPr>
      <w:rFonts w:cs="宋体"/>
      <w:i/>
      <w:iCs/>
      <w:color w:val="000000"/>
      <w:szCs w:val="20"/>
    </w:rPr>
  </w:style>
  <w:style w:type="character" w:customStyle="1" w:styleId="275">
    <w:name w:val="WW8Num48z0"/>
    <w:qFormat/>
    <w:uiPriority w:val="0"/>
    <w:rPr>
      <w:rFonts w:ascii="Wingdings" w:hAnsi="Wingdings"/>
    </w:rPr>
  </w:style>
  <w:style w:type="character" w:customStyle="1" w:styleId="276">
    <w:name w:val="样式 HZZH正文 + 红色 Char Char Char"/>
    <w:link w:val="277"/>
    <w:qFormat/>
    <w:uiPriority w:val="0"/>
    <w:rPr>
      <w:rFonts w:ascii="宋体" w:hAnsi="宋体" w:cs="宋体"/>
      <w:color w:val="000000"/>
      <w:sz w:val="24"/>
      <w:szCs w:val="24"/>
    </w:rPr>
  </w:style>
  <w:style w:type="paragraph" w:customStyle="1" w:styleId="277">
    <w:name w:val="样式 HZZH正文 + 红色 Char Char"/>
    <w:basedOn w:val="278"/>
    <w:link w:val="276"/>
    <w:qFormat/>
    <w:uiPriority w:val="0"/>
    <w:pPr>
      <w:overflowPunct w:val="0"/>
      <w:ind w:left="420" w:leftChars="100" w:right="100" w:rightChars="100"/>
      <w:jc w:val="center"/>
    </w:pPr>
    <w:rPr>
      <w:rFonts w:ascii="宋体" w:hAnsi="宋体" w:cs="宋体"/>
      <w:color w:val="000000"/>
      <w:kern w:val="0"/>
      <w:szCs w:val="24"/>
      <w:lang w:val="en-US" w:eastAsia="zh-CN"/>
    </w:rPr>
  </w:style>
  <w:style w:type="paragraph" w:customStyle="1" w:styleId="278">
    <w:name w:val="HZZH正文"/>
    <w:basedOn w:val="1"/>
    <w:link w:val="279"/>
    <w:qFormat/>
    <w:uiPriority w:val="0"/>
    <w:pPr>
      <w:ind w:firstLine="480" w:firstLineChars="200"/>
    </w:pPr>
    <w:rPr>
      <w:szCs w:val="21"/>
    </w:rPr>
  </w:style>
  <w:style w:type="character" w:customStyle="1" w:styleId="279">
    <w:name w:val="HZZH正文 Char"/>
    <w:link w:val="278"/>
    <w:qFormat/>
    <w:uiPriority w:val="0"/>
    <w:rPr>
      <w:kern w:val="2"/>
      <w:sz w:val="24"/>
      <w:szCs w:val="21"/>
    </w:rPr>
  </w:style>
  <w:style w:type="character" w:customStyle="1" w:styleId="280">
    <w:name w:val="Char Char9"/>
    <w:qFormat/>
    <w:uiPriority w:val="0"/>
    <w:rPr>
      <w:rFonts w:eastAsia="宋体"/>
      <w:kern w:val="2"/>
      <w:sz w:val="18"/>
      <w:szCs w:val="18"/>
      <w:lang w:val="en-US" w:eastAsia="zh-CN" w:bidi="ar-SA"/>
    </w:rPr>
  </w:style>
  <w:style w:type="character" w:customStyle="1" w:styleId="281">
    <w:name w:val="正文文本缩进 2 Char1 Char1 Char1 Char Char "/>
    <w:qFormat/>
    <w:uiPriority w:val="0"/>
    <w:rPr>
      <w:rFonts w:eastAsia="宋体"/>
      <w:color w:val="000000"/>
      <w:kern w:val="2"/>
      <w:sz w:val="24"/>
      <w:szCs w:val="24"/>
      <w:lang w:val="en-US" w:eastAsia="zh-CN" w:bidi="ar-SA"/>
    </w:rPr>
  </w:style>
  <w:style w:type="character" w:customStyle="1" w:styleId="282">
    <w:name w:val=" Char Char11"/>
    <w:qFormat/>
    <w:uiPriority w:val="0"/>
    <w:rPr>
      <w:rFonts w:ascii="宋体" w:hAnsi="宋体" w:eastAsia="宋体"/>
      <w:spacing w:val="20"/>
      <w:kern w:val="2"/>
      <w:sz w:val="28"/>
      <w:szCs w:val="24"/>
      <w:lang w:val="en-US" w:eastAsia="zh-CN" w:bidi="ar-SA"/>
    </w:rPr>
  </w:style>
  <w:style w:type="character" w:customStyle="1" w:styleId="283">
    <w:name w:val=" Char Char Char2"/>
    <w:qFormat/>
    <w:uiPriority w:val="0"/>
    <w:rPr>
      <w:rFonts w:eastAsia="宋体"/>
      <w:color w:val="000000"/>
      <w:kern w:val="2"/>
      <w:sz w:val="18"/>
      <w:szCs w:val="18"/>
      <w:lang w:val="en-US" w:eastAsia="zh-CN" w:bidi="ar-SA"/>
    </w:rPr>
  </w:style>
  <w:style w:type="character" w:customStyle="1" w:styleId="284">
    <w:name w:val="font41"/>
    <w:qFormat/>
    <w:uiPriority w:val="0"/>
    <w:rPr>
      <w:rFonts w:hint="default" w:ascii="Times New Roman" w:hAnsi="Times New Roman" w:cs="Times New Roman"/>
      <w:color w:val="FF0000"/>
      <w:sz w:val="20"/>
      <w:szCs w:val="20"/>
      <w:u w:val="none"/>
    </w:rPr>
  </w:style>
  <w:style w:type="character" w:customStyle="1" w:styleId="285">
    <w:name w:val="Char Char Char Char Char Char Char Char Char Char Char Char Char Char Char Char Char Char Char Char Char"/>
    <w:semiHidden/>
    <w:qFormat/>
    <w:uiPriority w:val="0"/>
    <w:rPr>
      <w:rFonts w:eastAsia="宋体"/>
      <w:kern w:val="2"/>
      <w:sz w:val="24"/>
      <w:szCs w:val="24"/>
      <w:lang w:val="en-US" w:eastAsia="zh-CN" w:bidi="ar-SA"/>
    </w:rPr>
  </w:style>
  <w:style w:type="character" w:customStyle="1" w:styleId="286">
    <w:name w:val="样式1 Char Char"/>
    <w:qFormat/>
    <w:uiPriority w:val="0"/>
    <w:rPr>
      <w:kern w:val="2"/>
      <w:sz w:val="24"/>
      <w:szCs w:val="24"/>
    </w:rPr>
  </w:style>
  <w:style w:type="character" w:customStyle="1" w:styleId="287">
    <w:name w:val="正文文字4 Char"/>
    <w:qFormat/>
    <w:uiPriority w:val="0"/>
    <w:rPr>
      <w:rFonts w:hint="eastAsia" w:ascii="宋体" w:hAnsi="宋体" w:eastAsia="宋体"/>
      <w:kern w:val="2"/>
      <w:sz w:val="28"/>
      <w:szCs w:val="28"/>
      <w:lang w:val="en-US" w:eastAsia="zh-CN" w:bidi="ar-SA"/>
    </w:rPr>
  </w:style>
  <w:style w:type="character" w:customStyle="1" w:styleId="288">
    <w:name w:val="style171"/>
    <w:qFormat/>
    <w:uiPriority w:val="0"/>
    <w:rPr>
      <w:rFonts w:hint="eastAsia" w:ascii="宋体" w:hAnsi="宋体" w:eastAsia="宋体" w:cs="宋体"/>
      <w:kern w:val="2"/>
      <w:sz w:val="21"/>
      <w:szCs w:val="21"/>
      <w:lang w:val="en-US" w:eastAsia="zh-CN" w:bidi="ar-SA"/>
    </w:rPr>
  </w:style>
  <w:style w:type="character" w:customStyle="1" w:styleId="289">
    <w:name w:val="06表头 Char"/>
    <w:link w:val="290"/>
    <w:qFormat/>
    <w:uiPriority w:val="0"/>
    <w:rPr>
      <w:rFonts w:eastAsia="黑体"/>
      <w:kern w:val="2"/>
      <w:sz w:val="24"/>
      <w:szCs w:val="24"/>
    </w:rPr>
  </w:style>
  <w:style w:type="paragraph" w:customStyle="1" w:styleId="290">
    <w:name w:val="06表头"/>
    <w:link w:val="289"/>
    <w:qFormat/>
    <w:uiPriority w:val="0"/>
    <w:pPr>
      <w:adjustRightInd w:val="0"/>
      <w:snapToGrid w:val="0"/>
      <w:spacing w:line="400" w:lineRule="exact"/>
      <w:jc w:val="center"/>
    </w:pPr>
    <w:rPr>
      <w:rFonts w:ascii="Times New Roman" w:hAnsi="Times New Roman" w:eastAsia="黑体" w:cs="Times New Roman"/>
      <w:kern w:val="2"/>
      <w:sz w:val="24"/>
      <w:szCs w:val="24"/>
      <w:lang w:val="en-US" w:eastAsia="zh-CN" w:bidi="ar-SA"/>
    </w:rPr>
  </w:style>
  <w:style w:type="character" w:customStyle="1" w:styleId="291">
    <w:name w:val="正文缩进 字符"/>
    <w:qFormat/>
    <w:uiPriority w:val="0"/>
    <w:rPr>
      <w:rFonts w:ascii="Arial" w:hAnsi="Arial" w:eastAsia="宋体" w:cs="Arial"/>
      <w:spacing w:val="10"/>
      <w:kern w:val="2"/>
      <w:sz w:val="24"/>
      <w:szCs w:val="24"/>
      <w:lang w:val="en-US" w:eastAsia="zh-CN" w:bidi="ar-SA"/>
    </w:rPr>
  </w:style>
  <w:style w:type="character" w:customStyle="1" w:styleId="292">
    <w:name w:val="count3"/>
    <w:qFormat/>
    <w:uiPriority w:val="0"/>
  </w:style>
  <w:style w:type="character" w:customStyle="1" w:styleId="293">
    <w:name w:val="Char Char Char Char1 Char1 Char"/>
    <w:qFormat/>
    <w:uiPriority w:val="0"/>
    <w:rPr>
      <w:rFonts w:eastAsia="宋体"/>
      <w:kern w:val="2"/>
      <w:sz w:val="24"/>
      <w:szCs w:val="24"/>
      <w:lang w:val="en-US" w:eastAsia="zh-CN" w:bidi="ar-SA"/>
    </w:rPr>
  </w:style>
  <w:style w:type="character" w:customStyle="1" w:styleId="294">
    <w:name w:val="FHDI中文报告表格内容 Char"/>
    <w:link w:val="295"/>
    <w:qFormat/>
    <w:uiPriority w:val="0"/>
    <w:rPr>
      <w:rFonts w:ascii="Arial" w:hAnsi="Arial"/>
      <w:kern w:val="2"/>
      <w:sz w:val="21"/>
      <w:szCs w:val="28"/>
    </w:rPr>
  </w:style>
  <w:style w:type="paragraph" w:customStyle="1" w:styleId="295">
    <w:name w:val="FHDI中文报告表格内容"/>
    <w:basedOn w:val="1"/>
    <w:link w:val="294"/>
    <w:qFormat/>
    <w:uiPriority w:val="0"/>
    <w:pPr>
      <w:adjustRightInd w:val="0"/>
      <w:snapToGrid w:val="0"/>
      <w:spacing w:line="520" w:lineRule="exact"/>
      <w:ind w:firstLine="200" w:firstLineChars="200"/>
      <w:jc w:val="center"/>
    </w:pPr>
    <w:rPr>
      <w:rFonts w:ascii="Arial" w:hAnsi="Arial"/>
      <w:sz w:val="21"/>
      <w:szCs w:val="28"/>
    </w:rPr>
  </w:style>
  <w:style w:type="character" w:customStyle="1" w:styleId="296">
    <w:name w:val="标题 3 Char"/>
    <w:qFormat/>
    <w:uiPriority w:val="0"/>
    <w:rPr>
      <w:rFonts w:ascii="黑体" w:hAnsi="宋体" w:eastAsia="黑体"/>
      <w:snapToGrid w:val="0"/>
      <w:sz w:val="24"/>
      <w:lang w:val="en-US" w:eastAsia="zh-CN" w:bidi="ar-SA"/>
    </w:rPr>
  </w:style>
  <w:style w:type="character" w:customStyle="1" w:styleId="297">
    <w:name w:val="z-窗体底端 字符"/>
    <w:link w:val="298"/>
    <w:qFormat/>
    <w:uiPriority w:val="0"/>
    <w:rPr>
      <w:rFonts w:ascii="Arial" w:hAnsi="Arial" w:cs="Arial"/>
      <w:vanish/>
      <w:kern w:val="2"/>
      <w:sz w:val="16"/>
      <w:szCs w:val="16"/>
    </w:rPr>
  </w:style>
  <w:style w:type="paragraph" w:customStyle="1" w:styleId="298">
    <w:name w:val="_Style 296"/>
    <w:basedOn w:val="1"/>
    <w:next w:val="1"/>
    <w:link w:val="297"/>
    <w:qFormat/>
    <w:uiPriority w:val="0"/>
    <w:pPr>
      <w:pBdr>
        <w:top w:val="single" w:color="auto" w:sz="6" w:space="1"/>
      </w:pBdr>
      <w:spacing w:line="360" w:lineRule="auto"/>
      <w:jc w:val="center"/>
    </w:pPr>
    <w:rPr>
      <w:rFonts w:ascii="Arial" w:hAnsi="Arial"/>
      <w:vanish/>
      <w:sz w:val="16"/>
      <w:szCs w:val="16"/>
    </w:rPr>
  </w:style>
  <w:style w:type="character" w:customStyle="1" w:styleId="299">
    <w:name w:val="text1"/>
    <w:qFormat/>
    <w:uiPriority w:val="0"/>
    <w:rPr>
      <w:rFonts w:ascii="宋体" w:hAnsi="宋体" w:eastAsia="宋体" w:cs="宋体"/>
      <w:kern w:val="2"/>
      <w:sz w:val="18"/>
      <w:szCs w:val="18"/>
      <w:u w:val="none"/>
      <w:lang w:val="en-US" w:eastAsia="zh-CN" w:bidi="ar-SA"/>
    </w:rPr>
  </w:style>
  <w:style w:type="character" w:customStyle="1" w:styleId="300">
    <w:name w:val="纯文本 Char"/>
    <w:qFormat/>
    <w:uiPriority w:val="0"/>
    <w:rPr>
      <w:rFonts w:ascii="宋体" w:hAnsi="Courier New" w:eastAsia="宋体" w:cs="Courier New"/>
      <w:szCs w:val="21"/>
    </w:rPr>
  </w:style>
  <w:style w:type="character" w:customStyle="1" w:styleId="301">
    <w:name w:val="Char Char Char Char3"/>
    <w:qFormat/>
    <w:uiPriority w:val="0"/>
    <w:rPr>
      <w:rFonts w:ascii="宋体" w:hAnsi="宋体" w:eastAsia="宋体" w:cs="宋体"/>
      <w:kern w:val="2"/>
      <w:sz w:val="24"/>
      <w:szCs w:val="24"/>
      <w:lang w:val="en-US" w:eastAsia="zh-CN" w:bidi="ar-SA"/>
    </w:rPr>
  </w:style>
  <w:style w:type="character" w:customStyle="1" w:styleId="302">
    <w:name w:val="Char Char Char Char2"/>
    <w:qFormat/>
    <w:uiPriority w:val="0"/>
    <w:rPr>
      <w:rFonts w:ascii="宋体" w:hAnsi="宋体" w:eastAsia="宋体" w:cs="宋体"/>
      <w:kern w:val="2"/>
      <w:sz w:val="24"/>
      <w:szCs w:val="24"/>
      <w:lang w:val="en-US" w:eastAsia="zh-CN" w:bidi="ar-SA"/>
    </w:rPr>
  </w:style>
  <w:style w:type="character" w:customStyle="1" w:styleId="303">
    <w:name w:val="Char Char Char Char8"/>
    <w:qFormat/>
    <w:uiPriority w:val="0"/>
    <w:rPr>
      <w:rFonts w:eastAsia="宋体"/>
      <w:kern w:val="2"/>
      <w:sz w:val="24"/>
      <w:szCs w:val="24"/>
      <w:lang w:val="en-US" w:eastAsia="zh-CN" w:bidi="ar-SA"/>
    </w:rPr>
  </w:style>
  <w:style w:type="character" w:customStyle="1" w:styleId="304">
    <w:name w:val="图表格式 Char"/>
    <w:qFormat/>
    <w:uiPriority w:val="0"/>
    <w:rPr>
      <w:rFonts w:ascii="宋体" w:hAnsi="宋体" w:eastAsia="宋体" w:cs="宋体"/>
      <w:b/>
      <w:bCs/>
      <w:color w:val="auto"/>
      <w:spacing w:val="0"/>
      <w:w w:val="100"/>
      <w:kern w:val="0"/>
      <w:position w:val="0"/>
      <w:sz w:val="24"/>
      <w:szCs w:val="32"/>
      <w:u w:val="none"/>
      <w:vertAlign w:val="baseline"/>
      <w:lang w:val="en-US" w:eastAsia="zh-CN" w:bidi="ar-SA"/>
    </w:rPr>
  </w:style>
  <w:style w:type="character" w:customStyle="1" w:styleId="305">
    <w:name w:val="表格 Char"/>
    <w:link w:val="306"/>
    <w:qFormat/>
    <w:uiPriority w:val="0"/>
    <w:rPr>
      <w:rFonts w:ascii="宋体"/>
      <w:snapToGrid/>
      <w:sz w:val="24"/>
      <w:szCs w:val="24"/>
    </w:rPr>
  </w:style>
  <w:style w:type="paragraph" w:customStyle="1" w:styleId="306">
    <w:name w:val="表格"/>
    <w:basedOn w:val="65"/>
    <w:next w:val="1"/>
    <w:link w:val="305"/>
    <w:qFormat/>
    <w:uiPriority w:val="0"/>
    <w:pPr>
      <w:spacing w:line="480" w:lineRule="exact"/>
      <w:jc w:val="center"/>
    </w:pPr>
    <w:rPr>
      <w:rFonts w:ascii="宋体"/>
      <w:snapToGrid w:val="0"/>
      <w:kern w:val="0"/>
    </w:rPr>
  </w:style>
  <w:style w:type="character" w:customStyle="1" w:styleId="307">
    <w:name w:val="title"/>
    <w:qFormat/>
    <w:uiPriority w:val="0"/>
  </w:style>
  <w:style w:type="character" w:customStyle="1" w:styleId="308">
    <w:name w:val="s"/>
    <w:qFormat/>
    <w:uiPriority w:val="0"/>
  </w:style>
  <w:style w:type="character" w:customStyle="1" w:styleId="309">
    <w:name w:val="样式 黑体 三号 加粗"/>
    <w:qFormat/>
    <w:uiPriority w:val="0"/>
    <w:rPr>
      <w:rFonts w:ascii="黑体" w:hAnsi="黑体" w:eastAsia="Times New Roman"/>
      <w:b/>
      <w:bCs/>
      <w:kern w:val="44"/>
      <w:sz w:val="32"/>
    </w:rPr>
  </w:style>
  <w:style w:type="character" w:customStyle="1" w:styleId="310">
    <w:name w:val="样式 首行缩进:  2 字符 Char1"/>
    <w:link w:val="311"/>
    <w:qFormat/>
    <w:uiPriority w:val="0"/>
    <w:rPr>
      <w:bCs/>
      <w:color w:val="FF0000"/>
      <w:kern w:val="2"/>
      <w:sz w:val="24"/>
      <w:szCs w:val="24"/>
    </w:rPr>
  </w:style>
  <w:style w:type="paragraph" w:customStyle="1" w:styleId="311">
    <w:name w:val="样式 首行缩进:  2 字符"/>
    <w:basedOn w:val="1"/>
    <w:link w:val="310"/>
    <w:qFormat/>
    <w:uiPriority w:val="0"/>
    <w:pPr>
      <w:ind w:firstLine="437" w:firstLineChars="200"/>
    </w:pPr>
    <w:rPr>
      <w:bCs/>
      <w:color w:val="FF0000"/>
    </w:rPr>
  </w:style>
  <w:style w:type="character" w:customStyle="1" w:styleId="312">
    <w:name w:val="正文段落格式 Char"/>
    <w:link w:val="313"/>
    <w:qFormat/>
    <w:uiPriority w:val="0"/>
    <w:rPr>
      <w:kern w:val="2"/>
      <w:sz w:val="24"/>
    </w:rPr>
  </w:style>
  <w:style w:type="paragraph" w:customStyle="1" w:styleId="313">
    <w:name w:val="正文段落格式"/>
    <w:basedOn w:val="1"/>
    <w:link w:val="312"/>
    <w:qFormat/>
    <w:uiPriority w:val="0"/>
    <w:pPr>
      <w:spacing w:line="480" w:lineRule="exact"/>
      <w:ind w:firstLine="480" w:firstLineChars="200"/>
    </w:pPr>
    <w:rPr>
      <w:szCs w:val="20"/>
    </w:rPr>
  </w:style>
  <w:style w:type="character" w:customStyle="1" w:styleId="314">
    <w:name w:val="列出段落 Char Char"/>
    <w:qFormat/>
    <w:uiPriority w:val="0"/>
    <w:rPr>
      <w:rFonts w:ascii="Times New Roman" w:hAnsi="Times New Roman" w:eastAsia="宋体" w:cs="宋体"/>
      <w:b/>
      <w:bCs/>
      <w:color w:val="000000"/>
      <w:szCs w:val="24"/>
    </w:rPr>
  </w:style>
  <w:style w:type="character" w:customStyle="1" w:styleId="315">
    <w:name w:val="t3"/>
    <w:qFormat/>
    <w:uiPriority w:val="0"/>
    <w:rPr>
      <w:sz w:val="21"/>
      <w:szCs w:val="21"/>
    </w:rPr>
  </w:style>
  <w:style w:type="character" w:customStyle="1" w:styleId="316">
    <w:name w:val="宏文本 Char1"/>
    <w:semiHidden/>
    <w:qFormat/>
    <w:uiPriority w:val="0"/>
    <w:rPr>
      <w:rFonts w:ascii="Courier New" w:hAnsi="Courier New" w:cs="Courier New"/>
      <w:sz w:val="24"/>
      <w:szCs w:val="24"/>
    </w:rPr>
  </w:style>
  <w:style w:type="character" w:customStyle="1" w:styleId="317">
    <w:name w:val="HZZH标题—4 Char Char Char"/>
    <w:link w:val="318"/>
    <w:qFormat/>
    <w:uiPriority w:val="0"/>
    <w:rPr>
      <w:rFonts w:ascii="宋体" w:hAnsi="宋体"/>
      <w:b/>
      <w:color w:val="000000"/>
      <w:kern w:val="2"/>
      <w:sz w:val="24"/>
      <w:szCs w:val="28"/>
    </w:rPr>
  </w:style>
  <w:style w:type="paragraph" w:customStyle="1" w:styleId="318">
    <w:name w:val="HZZH标题—4 Char Char"/>
    <w:basedOn w:val="6"/>
    <w:link w:val="317"/>
    <w:qFormat/>
    <w:uiPriority w:val="0"/>
    <w:pPr>
      <w:numPr>
        <w:ilvl w:val="0"/>
        <w:numId w:val="0"/>
      </w:numPr>
      <w:tabs>
        <w:tab w:val="left" w:pos="1080"/>
      </w:tabs>
      <w:jc w:val="left"/>
    </w:pPr>
    <w:rPr>
      <w:rFonts w:ascii="宋体" w:hAnsi="宋体" w:eastAsia="宋体"/>
      <w:b w:val="0"/>
      <w:bCs w:val="0"/>
      <w:color w:val="000000"/>
      <w:lang w:val="en-US" w:eastAsia="zh-CN"/>
    </w:rPr>
  </w:style>
  <w:style w:type="character" w:customStyle="1" w:styleId="319">
    <w:name w:val=" Char Char Char Char1 Char1 Char"/>
    <w:qFormat/>
    <w:uiPriority w:val="0"/>
    <w:rPr>
      <w:rFonts w:eastAsia="宋体"/>
      <w:kern w:val="2"/>
      <w:sz w:val="24"/>
      <w:szCs w:val="24"/>
      <w:lang w:val="en-US" w:eastAsia="zh-CN" w:bidi="ar-SA"/>
    </w:rPr>
  </w:style>
  <w:style w:type="character" w:customStyle="1" w:styleId="320">
    <w:name w:val="Char1 Char"/>
    <w:qFormat/>
    <w:uiPriority w:val="0"/>
    <w:rPr>
      <w:rFonts w:ascii="Times New Roman" w:hAnsi="Times New Roman" w:eastAsia="宋体" w:cs="Times New Roman"/>
      <w:b/>
      <w:bCs/>
      <w:sz w:val="28"/>
      <w:szCs w:val="28"/>
    </w:rPr>
  </w:style>
  <w:style w:type="character" w:customStyle="1" w:styleId="321">
    <w:name w:val="表格内容 Char Char Char"/>
    <w:qFormat/>
    <w:uiPriority w:val="0"/>
    <w:rPr>
      <w:rFonts w:eastAsia="宋体"/>
      <w:color w:val="000000"/>
      <w:kern w:val="2"/>
      <w:sz w:val="21"/>
      <w:szCs w:val="16"/>
      <w:lang w:val="en-US" w:eastAsia="zh-CN" w:bidi="ar-SA"/>
    </w:rPr>
  </w:style>
  <w:style w:type="character" w:customStyle="1" w:styleId="322">
    <w:name w:val="Char Char20"/>
    <w:qFormat/>
    <w:uiPriority w:val="0"/>
    <w:rPr>
      <w:rFonts w:eastAsia="宋体"/>
      <w:kern w:val="2"/>
      <w:sz w:val="21"/>
      <w:lang w:val="en-US" w:eastAsia="zh-CN" w:bidi="ar-SA"/>
    </w:rPr>
  </w:style>
  <w:style w:type="character" w:customStyle="1" w:styleId="323">
    <w:name w:val="正文首行缩进 2 Char1"/>
    <w:semiHidden/>
    <w:qFormat/>
    <w:uiPriority w:val="0"/>
  </w:style>
  <w:style w:type="character" w:customStyle="1" w:styleId="324">
    <w:name w:val="表头1 Char"/>
    <w:link w:val="325"/>
    <w:qFormat/>
    <w:uiPriority w:val="0"/>
    <w:rPr>
      <w:rFonts w:ascii="黑体" w:hAnsi="宋体" w:eastAsia="黑体"/>
      <w:kern w:val="2"/>
      <w:sz w:val="24"/>
      <w:szCs w:val="24"/>
    </w:rPr>
  </w:style>
  <w:style w:type="paragraph" w:customStyle="1" w:styleId="325">
    <w:name w:val="表头1"/>
    <w:basedOn w:val="1"/>
    <w:link w:val="324"/>
    <w:qFormat/>
    <w:uiPriority w:val="0"/>
    <w:pPr>
      <w:ind w:firstLine="480" w:firstLineChars="200"/>
    </w:pPr>
    <w:rPr>
      <w:rFonts w:ascii="黑体" w:hAnsi="宋体" w:eastAsia="黑体"/>
    </w:rPr>
  </w:style>
  <w:style w:type="character" w:customStyle="1" w:styleId="326">
    <w:name w:val="普通文字 Char1 Char"/>
    <w:qFormat/>
    <w:uiPriority w:val="0"/>
    <w:rPr>
      <w:kern w:val="2"/>
      <w:sz w:val="21"/>
      <w:szCs w:val="24"/>
    </w:rPr>
  </w:style>
  <w:style w:type="character" w:customStyle="1" w:styleId="327">
    <w:name w:val="表格名称 Char Char"/>
    <w:link w:val="328"/>
    <w:qFormat/>
    <w:uiPriority w:val="0"/>
    <w:rPr>
      <w:rFonts w:eastAsia="黑体"/>
      <w:kern w:val="2"/>
      <w:sz w:val="24"/>
    </w:rPr>
  </w:style>
  <w:style w:type="paragraph" w:customStyle="1" w:styleId="328">
    <w:name w:val="表格名称"/>
    <w:basedOn w:val="1"/>
    <w:link w:val="327"/>
    <w:qFormat/>
    <w:uiPriority w:val="0"/>
    <w:pPr>
      <w:jc w:val="center"/>
    </w:pPr>
    <w:rPr>
      <w:rFonts w:eastAsia="黑体"/>
      <w:szCs w:val="20"/>
    </w:rPr>
  </w:style>
  <w:style w:type="character" w:customStyle="1" w:styleId="329">
    <w:name w:val="HZZH表头 Char"/>
    <w:link w:val="330"/>
    <w:qFormat/>
    <w:uiPriority w:val="0"/>
    <w:rPr>
      <w:b/>
      <w:bCs/>
      <w:kern w:val="2"/>
      <w:sz w:val="24"/>
      <w:szCs w:val="24"/>
    </w:rPr>
  </w:style>
  <w:style w:type="paragraph" w:customStyle="1" w:styleId="330">
    <w:name w:val="HZZH表头"/>
    <w:basedOn w:val="1"/>
    <w:link w:val="329"/>
    <w:qFormat/>
    <w:uiPriority w:val="0"/>
    <w:pPr>
      <w:jc w:val="center"/>
    </w:pPr>
    <w:rPr>
      <w:b/>
      <w:bCs/>
    </w:rPr>
  </w:style>
  <w:style w:type="character" w:customStyle="1" w:styleId="331">
    <w:name w:val="正文文本缩进 21"/>
    <w:qFormat/>
    <w:uiPriority w:val="0"/>
    <w:rPr>
      <w:rFonts w:eastAsia="宋体"/>
      <w:kern w:val="2"/>
      <w:sz w:val="24"/>
      <w:szCs w:val="24"/>
      <w:lang w:val="en-US" w:eastAsia="zh-CN" w:bidi="ar-SA"/>
    </w:rPr>
  </w:style>
  <w:style w:type="character" w:customStyle="1" w:styleId="332">
    <w:name w:val="Char Char"/>
    <w:qFormat/>
    <w:uiPriority w:val="0"/>
    <w:rPr>
      <w:rFonts w:eastAsia="宋体"/>
      <w:kern w:val="2"/>
      <w:sz w:val="21"/>
      <w:lang w:val="en-US" w:eastAsia="zh-CN" w:bidi="ar-SA"/>
    </w:rPr>
  </w:style>
  <w:style w:type="character" w:customStyle="1" w:styleId="333">
    <w:name w:val="图表名 Char"/>
    <w:link w:val="334"/>
    <w:qFormat/>
    <w:uiPriority w:val="0"/>
    <w:rPr>
      <w:rFonts w:ascii="黑体" w:eastAsia="黑体" w:cs="黑体"/>
      <w:kern w:val="2"/>
      <w:sz w:val="28"/>
      <w:szCs w:val="28"/>
    </w:rPr>
  </w:style>
  <w:style w:type="paragraph" w:customStyle="1" w:styleId="334">
    <w:name w:val="图表名"/>
    <w:basedOn w:val="1"/>
    <w:link w:val="333"/>
    <w:qFormat/>
    <w:uiPriority w:val="0"/>
    <w:pPr>
      <w:adjustRightInd w:val="0"/>
      <w:snapToGrid w:val="0"/>
      <w:spacing w:line="240" w:lineRule="atLeast"/>
    </w:pPr>
    <w:rPr>
      <w:rFonts w:ascii="黑体" w:eastAsia="黑体"/>
      <w:sz w:val="28"/>
      <w:szCs w:val="28"/>
    </w:rPr>
  </w:style>
  <w:style w:type="character" w:customStyle="1" w:styleId="335">
    <w:name w:val="Char Char Char Char Char Char Char Char Char"/>
    <w:link w:val="336"/>
    <w:qFormat/>
    <w:uiPriority w:val="0"/>
    <w:rPr>
      <w:rFonts w:ascii="宋体" w:hAnsi="宋体" w:cs="宋体"/>
      <w:kern w:val="2"/>
      <w:sz w:val="24"/>
      <w:szCs w:val="24"/>
    </w:rPr>
  </w:style>
  <w:style w:type="paragraph" w:customStyle="1" w:styleId="336">
    <w:name w:val="Char"/>
    <w:basedOn w:val="1"/>
    <w:link w:val="335"/>
    <w:qFormat/>
    <w:uiPriority w:val="0"/>
    <w:pPr>
      <w:spacing w:line="360" w:lineRule="auto"/>
      <w:ind w:firstLine="200" w:firstLineChars="200"/>
    </w:pPr>
    <w:rPr>
      <w:rFonts w:ascii="宋体" w:hAnsi="宋体" w:cs="宋体"/>
    </w:rPr>
  </w:style>
  <w:style w:type="character" w:customStyle="1" w:styleId="337">
    <w:name w:val="样式 HZZH正文 + 红色 Char"/>
    <w:link w:val="338"/>
    <w:qFormat/>
    <w:uiPriority w:val="0"/>
    <w:rPr>
      <w:rFonts w:cs="宋体"/>
      <w:color w:val="000000"/>
      <w:sz w:val="24"/>
      <w:szCs w:val="24"/>
    </w:rPr>
  </w:style>
  <w:style w:type="paragraph" w:customStyle="1" w:styleId="338">
    <w:name w:val="样式 HZZH正文 + 红色"/>
    <w:basedOn w:val="278"/>
    <w:link w:val="337"/>
    <w:qFormat/>
    <w:uiPriority w:val="0"/>
    <w:pPr>
      <w:overflowPunct w:val="0"/>
      <w:ind w:left="420" w:leftChars="100" w:right="100" w:rightChars="100"/>
    </w:pPr>
    <w:rPr>
      <w:color w:val="000000"/>
      <w:kern w:val="0"/>
      <w:szCs w:val="24"/>
    </w:rPr>
  </w:style>
  <w:style w:type="character" w:customStyle="1" w:styleId="339">
    <w:name w:val="特点标题 Char Char"/>
    <w:semiHidden/>
    <w:qFormat/>
    <w:uiPriority w:val="0"/>
    <w:rPr>
      <w:rFonts w:eastAsia="宋体"/>
      <w:kern w:val="2"/>
      <w:sz w:val="24"/>
      <w:szCs w:val="24"/>
      <w:lang w:val="en-US" w:eastAsia="zh-CN" w:bidi="ar-SA"/>
    </w:rPr>
  </w:style>
  <w:style w:type="character" w:customStyle="1" w:styleId="340">
    <w:name w:val="Char Char Char Char1 Char1 Char1"/>
    <w:qFormat/>
    <w:uiPriority w:val="0"/>
    <w:rPr>
      <w:rFonts w:eastAsia="宋体"/>
      <w:kern w:val="2"/>
      <w:sz w:val="24"/>
      <w:szCs w:val="24"/>
      <w:lang w:val="en-US" w:eastAsia="zh-CN" w:bidi="ar-SA"/>
    </w:rPr>
  </w:style>
  <w:style w:type="character" w:customStyle="1" w:styleId="341">
    <w:name w:val="content-text1"/>
    <w:qFormat/>
    <w:uiPriority w:val="0"/>
    <w:rPr>
      <w:rFonts w:hint="default" w:ascii="Verdana" w:hAnsi="Verdana" w:eastAsia="宋体" w:cs="宋体"/>
      <w:kern w:val="2"/>
      <w:sz w:val="20"/>
      <w:szCs w:val="20"/>
      <w:lang w:val="en-US" w:eastAsia="zh-CN" w:bidi="ar-SA"/>
    </w:rPr>
  </w:style>
  <w:style w:type="character" w:customStyle="1" w:styleId="342">
    <w:name w:val="WW8Num10z0"/>
    <w:qFormat/>
    <w:uiPriority w:val="0"/>
    <w:rPr>
      <w:rFonts w:ascii="Wingdings" w:hAnsi="Wingdings"/>
    </w:rPr>
  </w:style>
  <w:style w:type="character" w:customStyle="1" w:styleId="343">
    <w:name w:val=" Char Char Char"/>
    <w:qFormat/>
    <w:uiPriority w:val="0"/>
    <w:rPr>
      <w:rFonts w:eastAsia="宋体"/>
      <w:kern w:val="2"/>
      <w:sz w:val="18"/>
      <w:szCs w:val="18"/>
      <w:lang w:val="en-US" w:eastAsia="zh-CN" w:bidi="ar-SA"/>
    </w:rPr>
  </w:style>
  <w:style w:type="character" w:customStyle="1" w:styleId="344">
    <w:name w:val="HZZH标题—4 Char"/>
    <w:link w:val="345"/>
    <w:qFormat/>
    <w:uiPriority w:val="0"/>
    <w:rPr>
      <w:rFonts w:ascii="宋体" w:hAnsi="宋体"/>
      <w:kern w:val="2"/>
      <w:sz w:val="24"/>
      <w:szCs w:val="28"/>
    </w:rPr>
  </w:style>
  <w:style w:type="paragraph" w:customStyle="1" w:styleId="345">
    <w:name w:val="HZZH标题—4"/>
    <w:basedOn w:val="6"/>
    <w:link w:val="344"/>
    <w:qFormat/>
    <w:uiPriority w:val="0"/>
    <w:pPr>
      <w:numPr>
        <w:ilvl w:val="0"/>
        <w:numId w:val="0"/>
      </w:numPr>
      <w:tabs>
        <w:tab w:val="left" w:pos="1080"/>
      </w:tabs>
      <w:jc w:val="left"/>
    </w:pPr>
    <w:rPr>
      <w:rFonts w:ascii="宋体" w:hAnsi="宋体" w:eastAsia="宋体"/>
      <w:bCs w:val="0"/>
    </w:rPr>
  </w:style>
  <w:style w:type="character" w:customStyle="1" w:styleId="346">
    <w:name w:val="样式 标题 3 + 四号 Char"/>
    <w:link w:val="347"/>
    <w:qFormat/>
    <w:uiPriority w:val="0"/>
    <w:rPr>
      <w:rFonts w:ascii="宋体" w:hAnsi="宋体" w:eastAsia="仿宋_GB2312"/>
      <w:bCs/>
      <w:color w:val="000000"/>
      <w:kern w:val="2"/>
      <w:sz w:val="28"/>
      <w:szCs w:val="32"/>
    </w:rPr>
  </w:style>
  <w:style w:type="paragraph" w:customStyle="1" w:styleId="347">
    <w:name w:val="样式 标题 3 + 四号"/>
    <w:basedOn w:val="5"/>
    <w:link w:val="346"/>
    <w:qFormat/>
    <w:uiPriority w:val="0"/>
    <w:pPr>
      <w:numPr>
        <w:ilvl w:val="0"/>
        <w:numId w:val="0"/>
      </w:numPr>
      <w:spacing w:before="260" w:after="260" w:line="360" w:lineRule="auto"/>
      <w:jc w:val="left"/>
    </w:pPr>
    <w:rPr>
      <w:rFonts w:ascii="宋体" w:hAnsi="宋体" w:eastAsia="仿宋_GB2312"/>
      <w:b w:val="0"/>
      <w:color w:val="000000"/>
    </w:rPr>
  </w:style>
  <w:style w:type="character" w:customStyle="1" w:styleId="348">
    <w:name w:val="black121"/>
    <w:qFormat/>
    <w:uiPriority w:val="0"/>
    <w:rPr>
      <w:rFonts w:ascii="宋体" w:hAnsi="宋体" w:eastAsia="宋体" w:cs="宋体"/>
      <w:color w:val="062158"/>
      <w:kern w:val="2"/>
      <w:sz w:val="18"/>
      <w:szCs w:val="18"/>
      <w:lang w:val="en-US" w:eastAsia="zh-CN" w:bidi="ar-SA"/>
    </w:rPr>
  </w:style>
  <w:style w:type="character" w:customStyle="1" w:styleId="349">
    <w:name w:val="style3 Char"/>
    <w:qFormat/>
    <w:uiPriority w:val="0"/>
    <w:rPr>
      <w:rFonts w:ascii="Arial" w:hAnsi="Arial" w:eastAsia="黑体"/>
      <w:kern w:val="2"/>
      <w:sz w:val="28"/>
      <w:lang w:val="en-US" w:eastAsia="zh-CN" w:bidi="ar-SA"/>
    </w:rPr>
  </w:style>
  <w:style w:type="character" w:customStyle="1" w:styleId="350">
    <w:name w:val="2 字符 Char1"/>
    <w:link w:val="351"/>
    <w:qFormat/>
    <w:uiPriority w:val="0"/>
    <w:rPr>
      <w:rFonts w:ascii="仿宋_GB2312" w:hAnsi="宋体" w:eastAsia="仿宋_GB2312"/>
      <w:bCs/>
      <w:kern w:val="2"/>
      <w:sz w:val="28"/>
      <w:szCs w:val="28"/>
    </w:rPr>
  </w:style>
  <w:style w:type="paragraph" w:customStyle="1" w:styleId="351">
    <w:name w:val="2 字符"/>
    <w:basedOn w:val="6"/>
    <w:link w:val="350"/>
    <w:qFormat/>
    <w:uiPriority w:val="0"/>
    <w:pPr>
      <w:keepNext w:val="0"/>
      <w:keepLines w:val="0"/>
      <w:numPr>
        <w:ilvl w:val="0"/>
        <w:numId w:val="0"/>
      </w:numPr>
      <w:autoSpaceDE w:val="0"/>
      <w:autoSpaceDN w:val="0"/>
      <w:adjustRightInd w:val="0"/>
      <w:spacing w:line="240" w:lineRule="auto"/>
      <w:ind w:firstLine="560" w:firstLineChars="200"/>
      <w:jc w:val="left"/>
      <w:textAlignment w:val="baseline"/>
    </w:pPr>
    <w:rPr>
      <w:rFonts w:ascii="仿宋_GB2312" w:hAnsi="宋体" w:eastAsia="仿宋_GB2312"/>
      <w:sz w:val="28"/>
    </w:rPr>
  </w:style>
  <w:style w:type="character" w:customStyle="1" w:styleId="352">
    <w:name w:val="样式 样式 样式 样式 标题 3 + 宋体 四号 段前: 6 磅 段后: 0 磅 行距: 1.5 倍行距 + Times New... Char Char Char Char Char Char Char Char Char Char Char Char Char Char Char Char Char Char Char Char Char Char Char Char Char Char Char Char Char Char Char Char Char Char Char Char Char "/>
    <w:qFormat/>
    <w:uiPriority w:val="0"/>
    <w:rPr>
      <w:rFonts w:eastAsia="仿宋_GB2312" w:cs="宋体"/>
      <w:b/>
      <w:bCs/>
      <w:kern w:val="2"/>
      <w:sz w:val="28"/>
      <w:szCs w:val="28"/>
      <w:lang w:val="en-US" w:eastAsia="zh-CN" w:bidi="ar-SA"/>
    </w:rPr>
  </w:style>
  <w:style w:type="character" w:customStyle="1" w:styleId="353">
    <w:name w:val="标题 1 Char2"/>
    <w:qFormat/>
    <w:uiPriority w:val="0"/>
    <w:rPr>
      <w:rFonts w:ascii="黑体" w:hAnsi="黑体" w:eastAsia="黑体" w:cs="黑体"/>
      <w:bCs/>
      <w:kern w:val="44"/>
      <w:sz w:val="32"/>
      <w:szCs w:val="32"/>
      <w:lang w:val="en-US" w:eastAsia="zh-CN" w:bidi="ar-SA"/>
    </w:rPr>
  </w:style>
  <w:style w:type="character" w:customStyle="1" w:styleId="354">
    <w:name w:val="样式 标题 2 + 字距调整二号 Char"/>
    <w:link w:val="355"/>
    <w:qFormat/>
    <w:uiPriority w:val="0"/>
    <w:rPr>
      <w:rFonts w:eastAsia="黑体"/>
      <w:b/>
      <w:bCs/>
      <w:kern w:val="44"/>
      <w:sz w:val="30"/>
      <w:szCs w:val="30"/>
    </w:rPr>
  </w:style>
  <w:style w:type="paragraph" w:customStyle="1" w:styleId="355">
    <w:name w:val="样式 标题 2 + 字距调整二号"/>
    <w:basedOn w:val="4"/>
    <w:link w:val="354"/>
    <w:qFormat/>
    <w:uiPriority w:val="0"/>
    <w:pPr>
      <w:numPr>
        <w:ilvl w:val="0"/>
        <w:numId w:val="0"/>
      </w:numPr>
      <w:tabs>
        <w:tab w:val="left" w:pos="482"/>
        <w:tab w:val="clear" w:pos="567"/>
        <w:tab w:val="clear" w:pos="993"/>
      </w:tabs>
      <w:adjustRightInd/>
      <w:spacing w:before="0" w:after="0" w:line="360" w:lineRule="auto"/>
    </w:pPr>
    <w:rPr>
      <w:rFonts w:ascii="Times New Roman" w:hAnsi="Times New Roman"/>
      <w:kern w:val="44"/>
      <w:szCs w:val="30"/>
    </w:rPr>
  </w:style>
  <w:style w:type="character" w:customStyle="1" w:styleId="356">
    <w:name w:val="4级标题 Char"/>
    <w:link w:val="357"/>
    <w:qFormat/>
    <w:uiPriority w:val="0"/>
    <w:rPr>
      <w:rFonts w:eastAsia="Times New Roman" w:cs="楷体_GB2312"/>
      <w:b/>
      <w:kern w:val="44"/>
      <w:sz w:val="28"/>
      <w:szCs w:val="28"/>
    </w:rPr>
  </w:style>
  <w:style w:type="paragraph" w:customStyle="1" w:styleId="357">
    <w:name w:val="4级标题"/>
    <w:basedOn w:val="73"/>
    <w:link w:val="356"/>
    <w:qFormat/>
    <w:uiPriority w:val="0"/>
    <w:pPr>
      <w:tabs>
        <w:tab w:val="right" w:leader="dot" w:pos="8302"/>
      </w:tabs>
      <w:spacing w:line="300" w:lineRule="auto"/>
      <w:ind w:left="0" w:leftChars="0"/>
      <w:jc w:val="left"/>
      <w:outlineLvl w:val="3"/>
    </w:pPr>
    <w:rPr>
      <w:rFonts w:eastAsia="Times New Roman" w:cs="楷体_GB2312"/>
      <w:b/>
      <w:kern w:val="44"/>
      <w:sz w:val="28"/>
      <w:szCs w:val="28"/>
    </w:rPr>
  </w:style>
  <w:style w:type="character" w:customStyle="1" w:styleId="358">
    <w:name w:val="无间隔 字符"/>
    <w:link w:val="359"/>
    <w:qFormat/>
    <w:uiPriority w:val="0"/>
    <w:rPr>
      <w:sz w:val="22"/>
      <w:szCs w:val="22"/>
      <w:lang w:eastAsia="en-US" w:bidi="en-US"/>
    </w:rPr>
  </w:style>
  <w:style w:type="paragraph" w:styleId="359">
    <w:name w:val="No Spacing"/>
    <w:link w:val="358"/>
    <w:qFormat/>
    <w:uiPriority w:val="0"/>
    <w:rPr>
      <w:rFonts w:ascii="Times New Roman" w:hAnsi="Times New Roman" w:eastAsia="宋体" w:cs="Times New Roman"/>
      <w:sz w:val="22"/>
      <w:szCs w:val="22"/>
      <w:lang w:val="en-US" w:eastAsia="en-US" w:bidi="en-US"/>
    </w:rPr>
  </w:style>
  <w:style w:type="character" w:customStyle="1" w:styleId="360">
    <w:name w:val="正文报告 Char Char Char"/>
    <w:qFormat/>
    <w:uiPriority w:val="0"/>
    <w:rPr>
      <w:rFonts w:ascii="Times New Roman" w:hAnsi="Times New Roman" w:eastAsia="宋体" w:cs="Times New Roman"/>
      <w:color w:val="000000"/>
      <w:sz w:val="28"/>
      <w:szCs w:val="28"/>
    </w:rPr>
  </w:style>
  <w:style w:type="character" w:customStyle="1" w:styleId="361">
    <w:name w:val="正文8 Char"/>
    <w:link w:val="362"/>
    <w:qFormat/>
    <w:uiPriority w:val="0"/>
    <w:rPr>
      <w:kern w:val="2"/>
      <w:sz w:val="24"/>
      <w:szCs w:val="24"/>
    </w:rPr>
  </w:style>
  <w:style w:type="paragraph" w:customStyle="1" w:styleId="362">
    <w:name w:val="正文8"/>
    <w:basedOn w:val="1"/>
    <w:link w:val="361"/>
    <w:qFormat/>
    <w:uiPriority w:val="0"/>
    <w:pPr>
      <w:ind w:firstLine="462" w:firstLineChars="200"/>
    </w:pPr>
  </w:style>
  <w:style w:type="character" w:customStyle="1" w:styleId="363">
    <w:name w:val="bodyfont1"/>
    <w:semiHidden/>
    <w:qFormat/>
    <w:uiPriority w:val="0"/>
    <w:rPr>
      <w:rFonts w:eastAsia="黑体" w:cs="宋体"/>
      <w:kern w:val="2"/>
      <w:sz w:val="21"/>
      <w:szCs w:val="21"/>
      <w:lang w:val="en-US" w:eastAsia="zh-CN" w:bidi="ar-SA"/>
    </w:rPr>
  </w:style>
  <w:style w:type="character" w:customStyle="1" w:styleId="364">
    <w:name w:val="Char Char Char Char11"/>
    <w:qFormat/>
    <w:uiPriority w:val="0"/>
    <w:rPr>
      <w:rFonts w:hint="eastAsia" w:ascii="宋体" w:hAnsi="宋体" w:eastAsia="宋体"/>
      <w:color w:val="000000"/>
      <w:kern w:val="2"/>
      <w:sz w:val="24"/>
      <w:szCs w:val="24"/>
      <w:lang w:val="en-US" w:eastAsia="zh-CN" w:bidi="ar-SA"/>
    </w:rPr>
  </w:style>
  <w:style w:type="character" w:customStyle="1" w:styleId="365">
    <w:name w:val="注释标题 Char1"/>
    <w:semiHidden/>
    <w:qFormat/>
    <w:uiPriority w:val="0"/>
    <w:rPr>
      <w:rFonts w:ascii="宋体" w:hAnsi="宋体" w:cs="宋体"/>
      <w:sz w:val="24"/>
      <w:szCs w:val="24"/>
    </w:rPr>
  </w:style>
  <w:style w:type="character" w:customStyle="1" w:styleId="366">
    <w:name w:val="1我的表格 Char"/>
    <w:link w:val="367"/>
    <w:qFormat/>
    <w:uiPriority w:val="0"/>
    <w:rPr>
      <w:color w:val="FF0000"/>
      <w:sz w:val="21"/>
      <w:szCs w:val="24"/>
    </w:rPr>
  </w:style>
  <w:style w:type="paragraph" w:customStyle="1" w:styleId="367">
    <w:name w:val="1我的表格"/>
    <w:basedOn w:val="1"/>
    <w:link w:val="366"/>
    <w:qFormat/>
    <w:uiPriority w:val="0"/>
    <w:pPr>
      <w:spacing w:line="320" w:lineRule="exact"/>
      <w:jc w:val="center"/>
    </w:pPr>
    <w:rPr>
      <w:color w:val="FF0000"/>
      <w:kern w:val="0"/>
      <w:sz w:val="21"/>
    </w:rPr>
  </w:style>
  <w:style w:type="character" w:customStyle="1" w:styleId="368">
    <w:name w:val="日期 Char1"/>
    <w:semiHidden/>
    <w:qFormat/>
    <w:uiPriority w:val="0"/>
    <w:rPr>
      <w:rFonts w:ascii="宋体" w:hAnsi="宋体" w:cs="宋体"/>
      <w:sz w:val="24"/>
      <w:szCs w:val="24"/>
    </w:rPr>
  </w:style>
  <w:style w:type="character" w:customStyle="1" w:styleId="369">
    <w:name w:val="正文文本 2 Char1"/>
    <w:semiHidden/>
    <w:qFormat/>
    <w:uiPriority w:val="0"/>
    <w:rPr>
      <w:rFonts w:ascii="宋体" w:hAnsi="宋体" w:cs="宋体"/>
      <w:sz w:val="24"/>
      <w:szCs w:val="24"/>
    </w:rPr>
  </w:style>
  <w:style w:type="character" w:customStyle="1" w:styleId="370">
    <w:name w:val="页脚 Char1"/>
    <w:qFormat/>
    <w:uiPriority w:val="0"/>
    <w:rPr>
      <w:rFonts w:ascii="宋体" w:hAnsi="宋体" w:cs="宋体"/>
      <w:sz w:val="18"/>
      <w:szCs w:val="18"/>
    </w:rPr>
  </w:style>
  <w:style w:type="character" w:customStyle="1" w:styleId="371">
    <w:name w:val="blank"/>
    <w:semiHidden/>
    <w:qFormat/>
    <w:uiPriority w:val="0"/>
  </w:style>
  <w:style w:type="character" w:customStyle="1" w:styleId="372">
    <w:name w:val="标题 11 Char1"/>
    <w:qFormat/>
    <w:uiPriority w:val="0"/>
    <w:rPr>
      <w:rFonts w:ascii="宋体" w:hAnsi="宋体" w:cs="宋体"/>
      <w:b/>
      <w:bCs/>
      <w:kern w:val="44"/>
      <w:sz w:val="44"/>
      <w:szCs w:val="44"/>
    </w:rPr>
  </w:style>
  <w:style w:type="character" w:customStyle="1" w:styleId="373">
    <w:name w:val="正文文本 Char3"/>
    <w:qFormat/>
    <w:uiPriority w:val="99"/>
    <w:rPr>
      <w:rFonts w:eastAsia="宋体"/>
      <w:kern w:val="2"/>
      <w:sz w:val="28"/>
      <w:szCs w:val="28"/>
      <w:lang w:val="en-US" w:eastAsia="zh-CN" w:bidi="ar-SA"/>
    </w:rPr>
  </w:style>
  <w:style w:type="character" w:customStyle="1" w:styleId="374">
    <w:name w:val="正文文本缩进 3 Char1"/>
    <w:semiHidden/>
    <w:qFormat/>
    <w:uiPriority w:val="0"/>
    <w:rPr>
      <w:rFonts w:ascii="宋体" w:hAnsi="宋体" w:cs="宋体"/>
      <w:sz w:val="16"/>
      <w:szCs w:val="16"/>
    </w:rPr>
  </w:style>
  <w:style w:type="character" w:customStyle="1" w:styleId="375">
    <w:name w:val="表格内容 Char Char Char Char"/>
    <w:qFormat/>
    <w:uiPriority w:val="0"/>
    <w:rPr>
      <w:rFonts w:eastAsia="宋体"/>
      <w:color w:val="000000"/>
      <w:kern w:val="2"/>
      <w:sz w:val="21"/>
      <w:szCs w:val="16"/>
      <w:lang w:val="en-US" w:eastAsia="zh-CN" w:bidi="ar-SA"/>
    </w:rPr>
  </w:style>
  <w:style w:type="character" w:customStyle="1" w:styleId="376">
    <w:name w:val="表格名称 Char"/>
    <w:qFormat/>
    <w:uiPriority w:val="0"/>
    <w:rPr>
      <w:b/>
      <w:kern w:val="2"/>
      <w:sz w:val="24"/>
    </w:rPr>
  </w:style>
  <w:style w:type="character" w:customStyle="1" w:styleId="377">
    <w:name w:val="样式 (西文) 黑体 (中文) 黑体 二号"/>
    <w:qFormat/>
    <w:uiPriority w:val="0"/>
    <w:rPr>
      <w:rFonts w:ascii="黑体" w:hAnsi="黑体" w:eastAsia="黑体" w:cs="宋体"/>
      <w:b/>
      <w:bCs/>
      <w:color w:val="000000"/>
      <w:kern w:val="2"/>
      <w:sz w:val="44"/>
      <w:szCs w:val="32"/>
      <w:lang w:val="en-US" w:eastAsia="zh-CN" w:bidi="ar-SA"/>
    </w:rPr>
  </w:style>
  <w:style w:type="character" w:customStyle="1" w:styleId="378">
    <w:name w:val="纯文本 Ch Char"/>
    <w:qFormat/>
    <w:uiPriority w:val="0"/>
    <w:rPr>
      <w:rFonts w:ascii="宋体" w:hAnsi="Courier New" w:eastAsia="宋体" w:cs="Courier New"/>
      <w:kern w:val="0"/>
      <w:szCs w:val="21"/>
    </w:rPr>
  </w:style>
  <w:style w:type="character" w:customStyle="1" w:styleId="379">
    <w:name w:val="正文缩进 Char Char"/>
    <w:qFormat/>
    <w:uiPriority w:val="0"/>
    <w:rPr>
      <w:rFonts w:eastAsia="宋体"/>
      <w:kern w:val="2"/>
      <w:sz w:val="24"/>
      <w:szCs w:val="24"/>
      <w:lang w:val="en-US" w:eastAsia="zh-CN" w:bidi="ar-SA"/>
    </w:rPr>
  </w:style>
  <w:style w:type="character" w:customStyle="1" w:styleId="380">
    <w:name w:val="Char Char6"/>
    <w:qFormat/>
    <w:uiPriority w:val="0"/>
    <w:rPr>
      <w:rFonts w:ascii="楷体_GB2312" w:eastAsia="楷体_GB2312"/>
      <w:b/>
      <w:iCs/>
      <w:kern w:val="2"/>
      <w:sz w:val="18"/>
      <w:szCs w:val="18"/>
      <w:lang w:val="en-US" w:eastAsia="zh-CN"/>
    </w:rPr>
  </w:style>
  <w:style w:type="character" w:customStyle="1" w:styleId="381">
    <w:name w:val="普通文字 + 行距: 1.5 倍行距 Char"/>
    <w:qFormat/>
    <w:uiPriority w:val="0"/>
    <w:rPr>
      <w:rFonts w:ascii="ˎ̥" w:hAnsi="ˎ̥" w:eastAsia="宋体" w:cs="Times New Roman"/>
      <w:kern w:val="0"/>
      <w:sz w:val="18"/>
      <w:szCs w:val="18"/>
    </w:rPr>
  </w:style>
  <w:style w:type="character" w:customStyle="1" w:styleId="382">
    <w:name w:val="textcontents"/>
    <w:qFormat/>
    <w:uiPriority w:val="0"/>
  </w:style>
  <w:style w:type="character" w:customStyle="1" w:styleId="383">
    <w:name w:val="Char Char31"/>
    <w:semiHidden/>
    <w:qFormat/>
    <w:uiPriority w:val="0"/>
    <w:rPr>
      <w:rFonts w:hint="eastAsia" w:ascii="宋体" w:hAnsi="宋体" w:eastAsia="宋体"/>
      <w:kern w:val="2"/>
      <w:sz w:val="21"/>
      <w:lang w:val="en-US" w:eastAsia="zh-CN" w:bidi="ar-SA"/>
    </w:rPr>
  </w:style>
  <w:style w:type="character" w:customStyle="1" w:styleId="384">
    <w:name w:val="（1） Char Char"/>
    <w:link w:val="385"/>
    <w:qFormat/>
    <w:uiPriority w:val="0"/>
    <w:rPr>
      <w:rFonts w:ascii="宋体" w:hAnsi="宋体"/>
      <w:color w:val="000000"/>
      <w:kern w:val="2"/>
      <w:sz w:val="24"/>
      <w:szCs w:val="24"/>
    </w:rPr>
  </w:style>
  <w:style w:type="paragraph" w:customStyle="1" w:styleId="385">
    <w:name w:val="（1） Char"/>
    <w:basedOn w:val="1"/>
    <w:link w:val="384"/>
    <w:qFormat/>
    <w:uiPriority w:val="0"/>
    <w:pPr>
      <w:spacing w:line="500" w:lineRule="exact"/>
      <w:ind w:firstLine="453" w:firstLineChars="200"/>
      <w:jc w:val="center"/>
    </w:pPr>
    <w:rPr>
      <w:rFonts w:ascii="宋体" w:hAnsi="宋体"/>
      <w:color w:val="000000"/>
    </w:rPr>
  </w:style>
  <w:style w:type="character" w:customStyle="1" w:styleId="386">
    <w:name w:val="style2"/>
    <w:qFormat/>
    <w:uiPriority w:val="0"/>
  </w:style>
  <w:style w:type="character" w:customStyle="1" w:styleId="387">
    <w:name w:val="apple-style-span"/>
    <w:qFormat/>
    <w:uiPriority w:val="0"/>
    <w:rPr>
      <w:rFonts w:eastAsia="宋体"/>
      <w:kern w:val="2"/>
      <w:sz w:val="28"/>
      <w:lang w:val="en-US" w:eastAsia="zh-CN" w:bidi="ar-SA"/>
    </w:rPr>
  </w:style>
  <w:style w:type="character" w:customStyle="1" w:styleId="388">
    <w:name w:val="表格小四 Char"/>
    <w:qFormat/>
    <w:uiPriority w:val="0"/>
    <w:rPr>
      <w:rFonts w:ascii="宋体" w:hAnsi="宋体" w:eastAsia="宋体" w:cs="宋体"/>
      <w:b/>
      <w:bCs/>
      <w:color w:val="000000"/>
      <w:kern w:val="2"/>
      <w:sz w:val="24"/>
      <w:szCs w:val="24"/>
      <w:lang w:val="en-US" w:eastAsia="zh-CN" w:bidi="ar-SA"/>
    </w:rPr>
  </w:style>
  <w:style w:type="character" w:customStyle="1" w:styleId="389">
    <w:name w:val="正文缩 Char"/>
    <w:link w:val="390"/>
    <w:qFormat/>
    <w:uiPriority w:val="0"/>
    <w:rPr>
      <w:rFonts w:ascii="宋体" w:hAnsi="宋体" w:cs="宋体"/>
      <w:kern w:val="2"/>
      <w:sz w:val="24"/>
      <w:szCs w:val="24"/>
    </w:rPr>
  </w:style>
  <w:style w:type="paragraph" w:customStyle="1" w:styleId="390">
    <w:name w:val="正文缩"/>
    <w:basedOn w:val="1"/>
    <w:link w:val="389"/>
    <w:qFormat/>
    <w:uiPriority w:val="0"/>
    <w:pPr>
      <w:ind w:firstLine="200" w:firstLineChars="200"/>
    </w:pPr>
    <w:rPr>
      <w:rFonts w:ascii="宋体" w:hAnsi="宋体"/>
    </w:rPr>
  </w:style>
  <w:style w:type="character" w:customStyle="1" w:styleId="391">
    <w:name w:val="Char Char Char Char12"/>
    <w:qFormat/>
    <w:uiPriority w:val="0"/>
    <w:rPr>
      <w:rFonts w:eastAsia="宋体"/>
      <w:color w:val="000000"/>
      <w:kern w:val="2"/>
      <w:sz w:val="24"/>
      <w:szCs w:val="24"/>
      <w:lang w:val="en-US" w:eastAsia="zh-CN" w:bidi="ar-SA"/>
    </w:rPr>
  </w:style>
  <w:style w:type="character" w:customStyle="1" w:styleId="392">
    <w:name w:val="Char Char17"/>
    <w:semiHidden/>
    <w:qFormat/>
    <w:uiPriority w:val="0"/>
    <w:rPr>
      <w:rFonts w:ascii="宋体" w:eastAsia="宋体" w:cs="宋体"/>
      <w:b/>
      <w:bCs/>
      <w:kern w:val="2"/>
      <w:sz w:val="28"/>
      <w:szCs w:val="28"/>
      <w:lang w:val="en-US" w:eastAsia="zh-CN" w:bidi="ar-SA"/>
    </w:rPr>
  </w:style>
  <w:style w:type="character" w:customStyle="1" w:styleId="393">
    <w:name w:val="样式 样式 黑体 三号 加粗 + (中文) 黑体"/>
    <w:qFormat/>
    <w:uiPriority w:val="0"/>
    <w:rPr>
      <w:rFonts w:ascii="Times New Roman" w:hAnsi="Times New Roman" w:eastAsia="宋体"/>
      <w:b/>
      <w:bCs/>
      <w:kern w:val="44"/>
      <w:sz w:val="24"/>
      <w:szCs w:val="24"/>
    </w:rPr>
  </w:style>
  <w:style w:type="character" w:customStyle="1" w:styleId="394">
    <w:name w:val="正文文字 Char1"/>
    <w:link w:val="395"/>
    <w:qFormat/>
    <w:uiPriority w:val="0"/>
    <w:rPr>
      <w:kern w:val="2"/>
      <w:sz w:val="24"/>
      <w:szCs w:val="24"/>
    </w:rPr>
  </w:style>
  <w:style w:type="paragraph" w:customStyle="1" w:styleId="395">
    <w:name w:val="正文文字"/>
    <w:basedOn w:val="1"/>
    <w:link w:val="394"/>
    <w:qFormat/>
    <w:uiPriority w:val="0"/>
    <w:pPr>
      <w:ind w:firstLine="473" w:firstLineChars="197"/>
    </w:pPr>
  </w:style>
  <w:style w:type="character" w:customStyle="1" w:styleId="396">
    <w:name w:val="4级 Char"/>
    <w:link w:val="397"/>
    <w:qFormat/>
    <w:uiPriority w:val="0"/>
    <w:rPr>
      <w:b/>
      <w:kern w:val="2"/>
      <w:sz w:val="24"/>
      <w:szCs w:val="24"/>
    </w:rPr>
  </w:style>
  <w:style w:type="paragraph" w:customStyle="1" w:styleId="397">
    <w:name w:val="4级"/>
    <w:basedOn w:val="1"/>
    <w:link w:val="396"/>
    <w:qFormat/>
    <w:uiPriority w:val="0"/>
    <w:pPr>
      <w:spacing w:line="360" w:lineRule="auto"/>
      <w:outlineLvl w:val="3"/>
    </w:pPr>
    <w:rPr>
      <w:b/>
    </w:rPr>
  </w:style>
  <w:style w:type="character" w:customStyle="1" w:styleId="398">
    <w:name w:val="表格-五号 Char"/>
    <w:link w:val="399"/>
    <w:qFormat/>
    <w:uiPriority w:val="0"/>
    <w:rPr>
      <w:rFonts w:ascii="仿宋_GB2312" w:hAnsi="宋体" w:eastAsia="仿宋_GB2312"/>
      <w:snapToGrid/>
      <w:sz w:val="21"/>
      <w:szCs w:val="21"/>
    </w:rPr>
  </w:style>
  <w:style w:type="paragraph" w:customStyle="1" w:styleId="399">
    <w:name w:val="表格-五号"/>
    <w:basedOn w:val="306"/>
    <w:link w:val="398"/>
    <w:qFormat/>
    <w:uiPriority w:val="0"/>
    <w:pPr>
      <w:wordWrap w:val="0"/>
      <w:spacing w:line="400" w:lineRule="exact"/>
    </w:pPr>
    <w:rPr>
      <w:rFonts w:ascii="仿宋_GB2312" w:hAnsi="宋体" w:eastAsia="仿宋_GB2312"/>
      <w:sz w:val="21"/>
      <w:szCs w:val="21"/>
      <w:lang w:val="en-US" w:eastAsia="zh-CN"/>
    </w:rPr>
  </w:style>
  <w:style w:type="character" w:customStyle="1" w:styleId="400">
    <w:name w:val="A8"/>
    <w:qFormat/>
    <w:uiPriority w:val="0"/>
    <w:rPr>
      <w:rFonts w:cs="宋体"/>
      <w:color w:val="000000"/>
      <w:sz w:val="16"/>
      <w:szCs w:val="16"/>
    </w:rPr>
  </w:style>
  <w:style w:type="character" w:customStyle="1" w:styleId="401">
    <w:name w:val="123YJ Char Char"/>
    <w:qFormat/>
    <w:uiPriority w:val="0"/>
    <w:rPr>
      <w:rFonts w:eastAsia="宋体"/>
      <w:color w:val="000000"/>
      <w:kern w:val="2"/>
      <w:sz w:val="18"/>
      <w:szCs w:val="18"/>
      <w:lang w:val="en-US" w:eastAsia="zh-CN" w:bidi="ar-SA"/>
    </w:rPr>
  </w:style>
  <w:style w:type="character" w:customStyle="1" w:styleId="402">
    <w:name w:val="正文文字 Char"/>
    <w:qFormat/>
    <w:uiPriority w:val="0"/>
    <w:rPr>
      <w:rFonts w:ascii="宋体" w:hAnsi="宋体" w:eastAsia="宋体" w:cs="Courier New"/>
      <w:kern w:val="2"/>
      <w:sz w:val="24"/>
      <w:szCs w:val="24"/>
      <w:lang w:val="en-US" w:eastAsia="zh-CN" w:bidi="ar-SA"/>
    </w:rPr>
  </w:style>
  <w:style w:type="character" w:customStyle="1" w:styleId="403">
    <w:name w:val="样式2 Char Char Char Char Char Char Char Char"/>
    <w:link w:val="404"/>
    <w:qFormat/>
    <w:uiPriority w:val="0"/>
    <w:rPr>
      <w:kern w:val="2"/>
      <w:sz w:val="24"/>
      <w:szCs w:val="24"/>
    </w:rPr>
  </w:style>
  <w:style w:type="paragraph" w:customStyle="1" w:styleId="404">
    <w:name w:val="样式2 Char Char Char Char Char Char Char"/>
    <w:basedOn w:val="1"/>
    <w:link w:val="403"/>
    <w:qFormat/>
    <w:uiPriority w:val="0"/>
  </w:style>
  <w:style w:type="character" w:customStyle="1" w:styleId="405">
    <w:name w:val="页眉 Char2"/>
    <w:qFormat/>
    <w:uiPriority w:val="0"/>
    <w:rPr>
      <w:rFonts w:eastAsia="宋体"/>
      <w:kern w:val="2"/>
      <w:sz w:val="18"/>
      <w:szCs w:val="18"/>
      <w:lang w:val="en-US" w:eastAsia="zh-CN" w:bidi="ar-SA"/>
    </w:rPr>
  </w:style>
  <w:style w:type="character" w:customStyle="1" w:styleId="406">
    <w:name w:val="报告书正文 Char Char"/>
    <w:link w:val="407"/>
    <w:qFormat/>
    <w:uiPriority w:val="0"/>
    <w:rPr>
      <w:kern w:val="2"/>
      <w:sz w:val="24"/>
    </w:rPr>
  </w:style>
  <w:style w:type="paragraph" w:customStyle="1" w:styleId="407">
    <w:name w:val="报告书正文 Char"/>
    <w:basedOn w:val="1"/>
    <w:link w:val="406"/>
    <w:qFormat/>
    <w:uiPriority w:val="0"/>
    <w:pPr>
      <w:adjustRightInd w:val="0"/>
      <w:snapToGrid w:val="0"/>
      <w:spacing w:line="400" w:lineRule="atLeast"/>
      <w:ind w:firstLine="567"/>
    </w:pPr>
    <w:rPr>
      <w:szCs w:val="20"/>
    </w:rPr>
  </w:style>
  <w:style w:type="character" w:customStyle="1" w:styleId="408">
    <w:name w:val="超级链接"/>
    <w:qFormat/>
    <w:uiPriority w:val="0"/>
    <w:rPr>
      <w:rFonts w:ascii="宋体" w:hAnsi="宋体" w:eastAsia="宋体" w:cs="宋体"/>
      <w:color w:val="0000FF"/>
      <w:kern w:val="2"/>
      <w:sz w:val="24"/>
      <w:szCs w:val="24"/>
      <w:u w:val="single"/>
      <w:lang w:val="en-US" w:eastAsia="zh-CN" w:bidi="ar-SA"/>
    </w:rPr>
  </w:style>
  <w:style w:type="character" w:customStyle="1" w:styleId="409">
    <w:name w:val="正文文本首行缩进 字符"/>
    <w:link w:val="410"/>
    <w:qFormat/>
    <w:uiPriority w:val="0"/>
    <w:rPr>
      <w:kern w:val="2"/>
      <w:sz w:val="24"/>
      <w:szCs w:val="24"/>
    </w:rPr>
  </w:style>
  <w:style w:type="paragraph" w:customStyle="1" w:styleId="410">
    <w:name w:val="正文首行缩进11"/>
    <w:basedOn w:val="1"/>
    <w:link w:val="409"/>
    <w:qFormat/>
    <w:uiPriority w:val="0"/>
    <w:pPr>
      <w:ind w:firstLine="454"/>
    </w:pPr>
  </w:style>
  <w:style w:type="character" w:customStyle="1" w:styleId="411">
    <w:name w:val="样式 正文缩进正文（首行缩进两字）正文缩进 Char正文缩进 Char1 Char正文缩进 Char Char Char... Char"/>
    <w:link w:val="412"/>
    <w:qFormat/>
    <w:uiPriority w:val="0"/>
    <w:rPr>
      <w:rFonts w:ascii="宋体" w:hAnsi="宋体"/>
      <w:spacing w:val="10"/>
      <w:kern w:val="2"/>
      <w:sz w:val="24"/>
      <w:szCs w:val="24"/>
    </w:rPr>
  </w:style>
  <w:style w:type="paragraph" w:customStyle="1" w:styleId="412">
    <w:name w:val="样式 正文缩进正文（首行缩进两字）正文缩进 Char正文缩进 Char1 Char正文缩进 Char Char Char..."/>
    <w:basedOn w:val="20"/>
    <w:link w:val="411"/>
    <w:qFormat/>
    <w:uiPriority w:val="0"/>
    <w:pPr>
      <w:ind w:firstLine="200" w:firstLineChars="200"/>
    </w:pPr>
    <w:rPr>
      <w:rFonts w:ascii="宋体" w:hAnsi="宋体"/>
      <w:spacing w:val="10"/>
      <w:szCs w:val="24"/>
    </w:rPr>
  </w:style>
  <w:style w:type="character" w:customStyle="1" w:styleId="413">
    <w:name w:val="ourfont2"/>
    <w:qFormat/>
    <w:uiPriority w:val="0"/>
  </w:style>
  <w:style w:type="character" w:customStyle="1" w:styleId="414">
    <w:name w:val="文档结构图 Char1"/>
    <w:qFormat/>
    <w:uiPriority w:val="0"/>
    <w:rPr>
      <w:rFonts w:ascii="宋体" w:hAnsi="宋体" w:cs="宋体"/>
      <w:sz w:val="18"/>
      <w:szCs w:val="18"/>
    </w:rPr>
  </w:style>
  <w:style w:type="character" w:customStyle="1" w:styleId="415">
    <w:name w:val="WW8Num47z0"/>
    <w:qFormat/>
    <w:uiPriority w:val="0"/>
    <w:rPr>
      <w:rFonts w:ascii="Wingdings" w:hAnsi="Wingdings"/>
    </w:rPr>
  </w:style>
  <w:style w:type="character" w:customStyle="1" w:styleId="416">
    <w:name w:val="标题4 Ch"/>
    <w:qFormat/>
    <w:uiPriority w:val="0"/>
    <w:rPr>
      <w:rFonts w:eastAsia="宋体"/>
      <w:kern w:val="2"/>
      <w:sz w:val="21"/>
      <w:lang w:val="en-US" w:eastAsia="zh-CN" w:bidi="ar-SA"/>
    </w:rPr>
  </w:style>
  <w:style w:type="character" w:customStyle="1" w:styleId="417">
    <w:name w:val="Char Char3"/>
    <w:semiHidden/>
    <w:qFormat/>
    <w:uiPriority w:val="0"/>
    <w:rPr>
      <w:rFonts w:eastAsia="宋体"/>
      <w:kern w:val="2"/>
      <w:sz w:val="21"/>
      <w:lang w:val="en-US" w:eastAsia="zh-CN" w:bidi="ar-SA"/>
    </w:rPr>
  </w:style>
  <w:style w:type="character" w:customStyle="1" w:styleId="418">
    <w:name w:val="文字 Char Char"/>
    <w:link w:val="419"/>
    <w:qFormat/>
    <w:uiPriority w:val="0"/>
    <w:rPr>
      <w:sz w:val="24"/>
      <w:szCs w:val="24"/>
    </w:rPr>
  </w:style>
  <w:style w:type="paragraph" w:customStyle="1" w:styleId="419">
    <w:name w:val="文字"/>
    <w:basedOn w:val="1"/>
    <w:link w:val="418"/>
    <w:qFormat/>
    <w:uiPriority w:val="0"/>
    <w:pPr>
      <w:widowControl/>
      <w:spacing w:after="156" w:afterLines="50" w:line="360" w:lineRule="auto"/>
      <w:ind w:firstLine="420"/>
    </w:pPr>
    <w:rPr>
      <w:kern w:val="0"/>
    </w:rPr>
  </w:style>
  <w:style w:type="character" w:customStyle="1" w:styleId="420">
    <w:name w:val="样式 样式 样式 样式 标题 3 + 宋体 四号 段前: 6 磅 段后: 0 磅 行距: 1.5 倍行距 + Times New... Char Char Char Char Char Char Char Char Char Char Char Char Char Char Char Char Char Char Char Char Char Char Char Char Char Char Char Char Char Char Char Char Char Char Char Char Char"/>
    <w:qFormat/>
    <w:uiPriority w:val="0"/>
    <w:rPr>
      <w:rFonts w:eastAsia="仿宋_GB2312" w:cs="宋体"/>
      <w:b/>
      <w:bCs/>
      <w:kern w:val="2"/>
      <w:sz w:val="28"/>
      <w:szCs w:val="28"/>
      <w:lang w:val="en-US" w:eastAsia="zh-CN" w:bidi="ar-SA"/>
    </w:rPr>
  </w:style>
  <w:style w:type="character" w:customStyle="1" w:styleId="421">
    <w:name w:val="物探标题 1 Char1"/>
    <w:qFormat/>
    <w:uiPriority w:val="0"/>
    <w:rPr>
      <w:rFonts w:eastAsia="宋体"/>
      <w:b/>
      <w:bCs/>
      <w:kern w:val="44"/>
      <w:sz w:val="28"/>
      <w:szCs w:val="44"/>
      <w:lang w:val="en-US" w:eastAsia="zh-CN" w:bidi="ar-SA"/>
    </w:rPr>
  </w:style>
  <w:style w:type="character" w:customStyle="1" w:styleId="422">
    <w:name w:val="批注框文本 Char1"/>
    <w:semiHidden/>
    <w:qFormat/>
    <w:uiPriority w:val="0"/>
    <w:rPr>
      <w:rFonts w:ascii="宋体" w:hAnsi="宋体" w:cs="宋体"/>
      <w:sz w:val="18"/>
      <w:szCs w:val="18"/>
    </w:rPr>
  </w:style>
  <w:style w:type="character" w:customStyle="1" w:styleId="423">
    <w:name w:val="wz12"/>
    <w:qFormat/>
    <w:uiPriority w:val="0"/>
    <w:rPr>
      <w:color w:val="0033FF"/>
      <w:sz w:val="16"/>
      <w:szCs w:val="16"/>
    </w:rPr>
  </w:style>
  <w:style w:type="character" w:customStyle="1" w:styleId="424">
    <w:name w:val="样式 宋体 13.5 磅1"/>
    <w:qFormat/>
    <w:uiPriority w:val="0"/>
    <w:rPr>
      <w:rFonts w:ascii="宋体" w:hAnsi="宋体"/>
      <w:sz w:val="28"/>
    </w:rPr>
  </w:style>
  <w:style w:type="character" w:customStyle="1" w:styleId="425">
    <w:name w:val="HTML 预设格式 字符"/>
    <w:qFormat/>
    <w:uiPriority w:val="0"/>
    <w:rPr>
      <w:rFonts w:ascii="宋体" w:hAnsi="宋体" w:eastAsia="宋体" w:cs="宋体"/>
      <w:color w:val="0000FF"/>
      <w:kern w:val="0"/>
      <w:sz w:val="24"/>
      <w:szCs w:val="24"/>
    </w:rPr>
  </w:style>
  <w:style w:type="character" w:customStyle="1" w:styleId="426">
    <w:name w:val="段落 Char"/>
    <w:semiHidden/>
    <w:qFormat/>
    <w:uiPriority w:val="0"/>
    <w:rPr>
      <w:rFonts w:eastAsia="宋体"/>
      <w:kern w:val="2"/>
      <w:sz w:val="24"/>
      <w:lang w:val="en-US" w:eastAsia="zh-CN" w:bidi="ar-SA"/>
    </w:rPr>
  </w:style>
  <w:style w:type="character" w:customStyle="1" w:styleId="427">
    <w:name w:val="tabletext1"/>
    <w:qFormat/>
    <w:uiPriority w:val="0"/>
    <w:rPr>
      <w:sz w:val="21"/>
    </w:rPr>
  </w:style>
  <w:style w:type="character" w:customStyle="1" w:styleId="428">
    <w:name w:val="表头 Char"/>
    <w:link w:val="429"/>
    <w:qFormat/>
    <w:uiPriority w:val="0"/>
    <w:rPr>
      <w:rFonts w:ascii="宋体"/>
      <w:spacing w:val="10"/>
      <w:sz w:val="24"/>
      <w:lang w:bidi="ar-SA"/>
    </w:rPr>
  </w:style>
  <w:style w:type="paragraph" w:customStyle="1" w:styleId="429">
    <w:name w:val="表头"/>
    <w:link w:val="428"/>
    <w:qFormat/>
    <w:uiPriority w:val="0"/>
    <w:pPr>
      <w:adjustRightInd w:val="0"/>
      <w:snapToGrid w:val="0"/>
      <w:spacing w:beforeLines="100" w:afterLines="100"/>
      <w:jc w:val="center"/>
    </w:pPr>
    <w:rPr>
      <w:rFonts w:ascii="宋体" w:hAnsi="Times New Roman" w:eastAsia="宋体" w:cs="Times New Roman"/>
      <w:spacing w:val="10"/>
      <w:sz w:val="24"/>
      <w:lang w:val="en-US" w:eastAsia="zh-CN" w:bidi="ar-SA"/>
    </w:rPr>
  </w:style>
  <w:style w:type="character" w:customStyle="1" w:styleId="430">
    <w:name w:val="标题4 Char2"/>
    <w:qFormat/>
    <w:uiPriority w:val="0"/>
    <w:rPr>
      <w:rFonts w:ascii="宋体" w:hAnsi="宋体" w:eastAsia="宋体" w:cs="宋体"/>
      <w:sz w:val="21"/>
      <w:lang w:val="en-US" w:eastAsia="zh-CN" w:bidi="ar-SA"/>
    </w:rPr>
  </w:style>
  <w:style w:type="character" w:customStyle="1" w:styleId="431">
    <w:name w:val="正文文本缩进 23"/>
    <w:qFormat/>
    <w:uiPriority w:val="0"/>
    <w:rPr>
      <w:rFonts w:eastAsia="宋体"/>
      <w:kern w:val="2"/>
      <w:sz w:val="24"/>
      <w:szCs w:val="24"/>
      <w:lang w:val="en-US" w:eastAsia="zh-CN" w:bidi="ar-SA"/>
    </w:rPr>
  </w:style>
  <w:style w:type="character" w:customStyle="1" w:styleId="432">
    <w:name w:val="样式 正文首行缩进 2 Char Char"/>
    <w:link w:val="433"/>
    <w:qFormat/>
    <w:uiPriority w:val="0"/>
    <w:rPr>
      <w:bCs/>
      <w:kern w:val="2"/>
      <w:sz w:val="28"/>
      <w:szCs w:val="28"/>
    </w:rPr>
  </w:style>
  <w:style w:type="paragraph" w:customStyle="1" w:styleId="433">
    <w:name w:val="样式 正文首行缩进 2"/>
    <w:basedOn w:val="257"/>
    <w:link w:val="432"/>
    <w:qFormat/>
    <w:uiPriority w:val="0"/>
    <w:pPr>
      <w:widowControl/>
      <w:spacing w:afterLines="50" w:line="500" w:lineRule="exact"/>
      <w:ind w:firstLine="605" w:firstLineChars="216"/>
    </w:pPr>
    <w:rPr>
      <w:bCs/>
      <w:sz w:val="28"/>
      <w:szCs w:val="28"/>
    </w:rPr>
  </w:style>
  <w:style w:type="character" w:customStyle="1" w:styleId="434">
    <w:name w:val=" Char Char17"/>
    <w:semiHidden/>
    <w:qFormat/>
    <w:uiPriority w:val="0"/>
    <w:rPr>
      <w:rFonts w:ascii="宋体" w:eastAsia="宋体" w:cs="宋体"/>
      <w:b/>
      <w:bCs/>
      <w:kern w:val="2"/>
      <w:sz w:val="28"/>
      <w:szCs w:val="28"/>
      <w:lang w:val="en-US" w:eastAsia="zh-CN" w:bidi="ar-SA"/>
    </w:rPr>
  </w:style>
  <w:style w:type="character" w:customStyle="1" w:styleId="435">
    <w:name w:val=" Char Char"/>
    <w:semiHidden/>
    <w:qFormat/>
    <w:uiPriority w:val="0"/>
    <w:rPr>
      <w:rFonts w:ascii="宋体" w:hAnsi="宋体" w:eastAsia="宋体"/>
      <w:kern w:val="2"/>
      <w:sz w:val="28"/>
      <w:szCs w:val="28"/>
      <w:lang w:val="en-US" w:eastAsia="zh-CN" w:bidi="ar-SA"/>
    </w:rPr>
  </w:style>
  <w:style w:type="character" w:customStyle="1" w:styleId="436">
    <w:name w:val="tit2"/>
    <w:qFormat/>
    <w:uiPriority w:val="0"/>
    <w:rPr>
      <w:rFonts w:ascii="宋体" w:hAnsi="宋体" w:eastAsia="宋体" w:cs="宋体"/>
      <w:b/>
      <w:bCs/>
      <w:kern w:val="2"/>
      <w:sz w:val="48"/>
      <w:szCs w:val="48"/>
      <w:lang w:val="en-US" w:eastAsia="zh-CN" w:bidi="ar-SA"/>
    </w:rPr>
  </w:style>
  <w:style w:type="character" w:customStyle="1" w:styleId="437">
    <w:name w:val="正文首行缩进 Char"/>
    <w:qFormat/>
    <w:uiPriority w:val="0"/>
    <w:rPr>
      <w:rFonts w:eastAsia="宋体"/>
      <w:kern w:val="2"/>
      <w:sz w:val="21"/>
      <w:szCs w:val="24"/>
      <w:lang w:val="en-US" w:eastAsia="zh-CN" w:bidi="ar-SA"/>
    </w:rPr>
  </w:style>
  <w:style w:type="character" w:customStyle="1" w:styleId="438">
    <w:name w:val="Char Char12"/>
    <w:qFormat/>
    <w:uiPriority w:val="0"/>
    <w:rPr>
      <w:rFonts w:ascii="宋体" w:hAnsi="Courier New" w:eastAsia="宋体" w:cs="Courier New"/>
      <w:kern w:val="2"/>
      <w:sz w:val="21"/>
      <w:szCs w:val="21"/>
      <w:lang w:val="en-US" w:eastAsia="zh-CN" w:bidi="ar-SA"/>
    </w:rPr>
  </w:style>
  <w:style w:type="character" w:customStyle="1" w:styleId="439">
    <w:name w:val="font51"/>
    <w:qFormat/>
    <w:uiPriority w:val="0"/>
    <w:rPr>
      <w:rFonts w:hint="default" w:ascii="Times New Roman" w:hAnsi="Times New Roman" w:cs="Times New Roman"/>
      <w:color w:val="FF0000"/>
      <w:sz w:val="20"/>
      <w:szCs w:val="20"/>
      <w:u w:val="none"/>
      <w:vertAlign w:val="superscript"/>
    </w:rPr>
  </w:style>
  <w:style w:type="character" w:customStyle="1" w:styleId="440">
    <w:name w:val="图表标题 Char"/>
    <w:link w:val="441"/>
    <w:qFormat/>
    <w:uiPriority w:val="0"/>
    <w:rPr>
      <w:rFonts w:ascii="宋体" w:hAnsi="宋体"/>
      <w:b/>
      <w:kern w:val="2"/>
      <w:sz w:val="24"/>
      <w:szCs w:val="24"/>
    </w:rPr>
  </w:style>
  <w:style w:type="paragraph" w:customStyle="1" w:styleId="441">
    <w:name w:val="图表标题"/>
    <w:basedOn w:val="1"/>
    <w:next w:val="442"/>
    <w:link w:val="440"/>
    <w:qFormat/>
    <w:uiPriority w:val="0"/>
    <w:pPr>
      <w:topLinePunct/>
      <w:spacing w:line="360" w:lineRule="auto"/>
      <w:jc w:val="center"/>
    </w:pPr>
    <w:rPr>
      <w:rFonts w:ascii="宋体" w:hAnsi="宋体"/>
      <w:b/>
    </w:rPr>
  </w:style>
  <w:style w:type="paragraph" w:customStyle="1" w:styleId="442">
    <w:name w:val="图表1"/>
    <w:next w:val="1"/>
    <w:qFormat/>
    <w:uiPriority w:val="0"/>
    <w:pPr>
      <w:spacing w:line="240" w:lineRule="atLeast"/>
      <w:jc w:val="center"/>
    </w:pPr>
    <w:rPr>
      <w:rFonts w:ascii="楷体_GB2312" w:hAnsi="Times New Roman" w:eastAsia="楷体_GB2312" w:cs="Times New Roman"/>
      <w:sz w:val="21"/>
      <w:lang w:val="en-US" w:eastAsia="zh-CN" w:bidi="ar-SA"/>
    </w:rPr>
  </w:style>
  <w:style w:type="character" w:customStyle="1" w:styleId="443">
    <w:name w:val="info"/>
    <w:qFormat/>
    <w:uiPriority w:val="0"/>
  </w:style>
  <w:style w:type="character" w:customStyle="1" w:styleId="444">
    <w:name w:val="Char Char4"/>
    <w:qFormat/>
    <w:uiPriority w:val="0"/>
    <w:rPr>
      <w:rFonts w:eastAsia="宋体"/>
      <w:kern w:val="2"/>
      <w:sz w:val="21"/>
      <w:lang w:val="en-US" w:eastAsia="zh-CN"/>
    </w:rPr>
  </w:style>
  <w:style w:type="character" w:customStyle="1" w:styleId="445">
    <w:name w:val="样式4 Char"/>
    <w:link w:val="446"/>
    <w:qFormat/>
    <w:uiPriority w:val="0"/>
    <w:rPr>
      <w:b/>
      <w:kern w:val="2"/>
      <w:sz w:val="21"/>
      <w:szCs w:val="21"/>
    </w:rPr>
  </w:style>
  <w:style w:type="paragraph" w:customStyle="1" w:styleId="446">
    <w:name w:val="样式4"/>
    <w:basedOn w:val="56"/>
    <w:link w:val="445"/>
    <w:qFormat/>
    <w:uiPriority w:val="0"/>
    <w:pPr>
      <w:pBdr>
        <w:bottom w:val="thinThickSmallGap" w:color="auto" w:sz="18" w:space="1"/>
      </w:pBdr>
      <w:snapToGrid/>
      <w:jc w:val="both"/>
    </w:pPr>
    <w:rPr>
      <w:b/>
      <w:sz w:val="21"/>
      <w:szCs w:val="21"/>
    </w:rPr>
  </w:style>
  <w:style w:type="character" w:customStyle="1" w:styleId="447">
    <w:name w:val="样式2 Char Char Char Char Char1 Char Char"/>
    <w:link w:val="448"/>
    <w:qFormat/>
    <w:uiPriority w:val="0"/>
    <w:rPr>
      <w:color w:val="000000"/>
      <w:kern w:val="2"/>
      <w:sz w:val="24"/>
      <w:szCs w:val="24"/>
    </w:rPr>
  </w:style>
  <w:style w:type="paragraph" w:customStyle="1" w:styleId="448">
    <w:name w:val="样式2 Char Char Char Char Char1 Char"/>
    <w:basedOn w:val="1"/>
    <w:link w:val="447"/>
    <w:qFormat/>
    <w:uiPriority w:val="0"/>
    <w:rPr>
      <w:color w:val="000000"/>
    </w:rPr>
  </w:style>
  <w:style w:type="character" w:customStyle="1" w:styleId="449">
    <w:name w:val="Char1 Char Char"/>
    <w:qFormat/>
    <w:uiPriority w:val="0"/>
    <w:rPr>
      <w:rFonts w:ascii="宋体" w:eastAsia="宋体"/>
      <w:b/>
      <w:bCs/>
      <w:kern w:val="2"/>
      <w:sz w:val="28"/>
      <w:szCs w:val="28"/>
      <w:lang w:val="en-US" w:eastAsia="zh-CN" w:bidi="ar-SA"/>
    </w:rPr>
  </w:style>
  <w:style w:type="character" w:customStyle="1" w:styleId="450">
    <w:name w:val="正文文本 Char2"/>
    <w:qFormat/>
    <w:uiPriority w:val="0"/>
    <w:rPr>
      <w:rFonts w:eastAsia="宋体"/>
      <w:sz w:val="28"/>
      <w:szCs w:val="28"/>
      <w:lang w:bidi="ar-SA"/>
    </w:rPr>
  </w:style>
  <w:style w:type="character" w:customStyle="1" w:styleId="451">
    <w:name w:val="标题 7 Char Char Char Char Char Char Char Char"/>
    <w:qFormat/>
    <w:uiPriority w:val="0"/>
    <w:rPr>
      <w:rFonts w:ascii="华文细黑" w:eastAsia="华文细黑"/>
      <w:i/>
      <w:snapToGrid w:val="0"/>
      <w:spacing w:val="10"/>
      <w:kern w:val="28"/>
      <w:sz w:val="28"/>
      <w:lang w:val="en-US" w:eastAsia="zh-CN" w:bidi="ar-SA"/>
    </w:rPr>
  </w:style>
  <w:style w:type="character" w:customStyle="1" w:styleId="452">
    <w:name w:val="3级标题 Char"/>
    <w:link w:val="453"/>
    <w:qFormat/>
    <w:uiPriority w:val="0"/>
    <w:rPr>
      <w:b/>
      <w:kern w:val="2"/>
      <w:sz w:val="28"/>
      <w:szCs w:val="24"/>
    </w:rPr>
  </w:style>
  <w:style w:type="paragraph" w:customStyle="1" w:styleId="453">
    <w:name w:val="3级标题"/>
    <w:basedOn w:val="1"/>
    <w:link w:val="452"/>
    <w:qFormat/>
    <w:uiPriority w:val="0"/>
    <w:pPr>
      <w:outlineLvl w:val="2"/>
    </w:pPr>
    <w:rPr>
      <w:b/>
      <w:sz w:val="28"/>
    </w:rPr>
  </w:style>
  <w:style w:type="character" w:customStyle="1" w:styleId="454">
    <w:name w:val="splatinname1"/>
    <w:qFormat/>
    <w:uiPriority w:val="0"/>
    <w:rPr>
      <w:b/>
      <w:bCs/>
      <w:color w:val="006600"/>
    </w:rPr>
  </w:style>
  <w:style w:type="character" w:customStyle="1" w:styleId="455">
    <w:name w:val="8 Char Char Char"/>
    <w:link w:val="456"/>
    <w:qFormat/>
    <w:uiPriority w:val="0"/>
    <w:rPr>
      <w:kern w:val="10"/>
      <w:sz w:val="24"/>
      <w:szCs w:val="24"/>
    </w:rPr>
  </w:style>
  <w:style w:type="paragraph" w:customStyle="1" w:styleId="456">
    <w:name w:val="8 Char Char"/>
    <w:basedOn w:val="1"/>
    <w:link w:val="455"/>
    <w:qFormat/>
    <w:uiPriority w:val="0"/>
    <w:pPr>
      <w:spacing w:line="360" w:lineRule="auto"/>
      <w:ind w:firstLine="480" w:firstLineChars="200"/>
    </w:pPr>
    <w:rPr>
      <w:kern w:val="10"/>
    </w:rPr>
  </w:style>
  <w:style w:type="character" w:customStyle="1" w:styleId="457">
    <w:name w:val="WW8Num15z1"/>
    <w:qFormat/>
    <w:uiPriority w:val="0"/>
    <w:rPr>
      <w:rFonts w:ascii="Century Gothic" w:hAnsi="Century Gothic" w:eastAsia="黑体"/>
      <w:sz w:val="26"/>
      <w:szCs w:val="26"/>
    </w:rPr>
  </w:style>
  <w:style w:type="character" w:customStyle="1" w:styleId="458">
    <w:name w:val="apple-converted-space"/>
    <w:qFormat/>
    <w:uiPriority w:val="0"/>
    <w:rPr>
      <w:rFonts w:eastAsia="宋体"/>
      <w:kern w:val="2"/>
      <w:sz w:val="28"/>
      <w:lang w:val="en-US" w:eastAsia="zh-CN" w:bidi="ar-SA"/>
    </w:rPr>
  </w:style>
  <w:style w:type="character" w:customStyle="1" w:styleId="459">
    <w:name w:val="样式8 Char Char Char"/>
    <w:qFormat/>
    <w:uiPriority w:val="0"/>
    <w:rPr>
      <w:rFonts w:eastAsia="宋体"/>
      <w:kern w:val="2"/>
      <w:sz w:val="24"/>
      <w:szCs w:val="24"/>
      <w:lang w:val="en-US" w:eastAsia="zh-CN" w:bidi="ar-SA"/>
    </w:rPr>
  </w:style>
  <w:style w:type="character" w:customStyle="1" w:styleId="460">
    <w:name w:val="样式 HZZH正文 + 黑体 四号 加粗1 Char"/>
    <w:link w:val="461"/>
    <w:qFormat/>
    <w:uiPriority w:val="0"/>
    <w:rPr>
      <w:rFonts w:ascii="黑体" w:hAnsi="黑体" w:cs="宋体"/>
      <w:b/>
      <w:bCs/>
      <w:sz w:val="28"/>
      <w:szCs w:val="24"/>
    </w:rPr>
  </w:style>
  <w:style w:type="paragraph" w:customStyle="1" w:styleId="461">
    <w:name w:val="样式 HZZH正文 + 黑体 四号 加粗1"/>
    <w:basedOn w:val="278"/>
    <w:link w:val="460"/>
    <w:qFormat/>
    <w:uiPriority w:val="0"/>
    <w:pPr>
      <w:overflowPunct w:val="0"/>
      <w:ind w:left="420" w:leftChars="100" w:right="100" w:rightChars="100"/>
    </w:pPr>
    <w:rPr>
      <w:rFonts w:ascii="黑体" w:hAnsi="黑体"/>
      <w:b/>
      <w:bCs/>
      <w:kern w:val="0"/>
      <w:sz w:val="28"/>
      <w:szCs w:val="24"/>
    </w:rPr>
  </w:style>
  <w:style w:type="character" w:customStyle="1" w:styleId="462">
    <w:name w:val="标题 Char1"/>
    <w:qFormat/>
    <w:uiPriority w:val="0"/>
    <w:rPr>
      <w:rFonts w:ascii="Cambria" w:hAnsi="Cambria" w:cs="Times New Roman"/>
      <w:b/>
      <w:bCs/>
      <w:sz w:val="32"/>
      <w:szCs w:val="32"/>
    </w:rPr>
  </w:style>
  <w:style w:type="character" w:customStyle="1" w:styleId="463">
    <w:name w:val="blue161"/>
    <w:qFormat/>
    <w:uiPriority w:val="0"/>
    <w:rPr>
      <w:rFonts w:hint="default" w:ascii="ˎ̥" w:hAnsi="ˎ̥"/>
      <w:color w:val="333333"/>
      <w:sz w:val="21"/>
      <w:szCs w:val="21"/>
    </w:rPr>
  </w:style>
  <w:style w:type="character" w:customStyle="1" w:styleId="464">
    <w:name w:val="repeat-item"/>
    <w:qFormat/>
    <w:uiPriority w:val="0"/>
  </w:style>
  <w:style w:type="character" w:customStyle="1" w:styleId="465">
    <w:name w:val="列出段落 Char Char Char Char"/>
    <w:link w:val="466"/>
    <w:qFormat/>
    <w:uiPriority w:val="0"/>
    <w:rPr>
      <w:rFonts w:cs="宋体"/>
      <w:b/>
      <w:bCs/>
      <w:color w:val="000000"/>
      <w:kern w:val="2"/>
      <w:sz w:val="21"/>
      <w:szCs w:val="24"/>
    </w:rPr>
  </w:style>
  <w:style w:type="paragraph" w:customStyle="1" w:styleId="466">
    <w:name w:val="列出段落 Char Char Char"/>
    <w:basedOn w:val="1"/>
    <w:link w:val="465"/>
    <w:qFormat/>
    <w:uiPriority w:val="0"/>
    <w:pPr>
      <w:ind w:firstLine="420" w:firstLineChars="200"/>
    </w:pPr>
    <w:rPr>
      <w:rFonts w:cs="宋体"/>
      <w:b/>
      <w:bCs/>
      <w:color w:val="000000"/>
      <w:sz w:val="21"/>
    </w:rPr>
  </w:style>
  <w:style w:type="character" w:customStyle="1" w:styleId="467">
    <w:name w:val="样式 HZZH正文 + 黑体 四号 加粗1 Char Char Char"/>
    <w:link w:val="468"/>
    <w:qFormat/>
    <w:uiPriority w:val="0"/>
    <w:rPr>
      <w:rFonts w:ascii="黑体" w:hAnsi="黑体" w:cs="宋体"/>
      <w:b/>
      <w:bCs/>
      <w:color w:val="000000"/>
      <w:sz w:val="28"/>
      <w:szCs w:val="24"/>
    </w:rPr>
  </w:style>
  <w:style w:type="paragraph" w:customStyle="1" w:styleId="468">
    <w:name w:val="样式 HZZH正文 + 黑体 四号 加粗1 Char Char"/>
    <w:basedOn w:val="278"/>
    <w:link w:val="467"/>
    <w:qFormat/>
    <w:uiPriority w:val="0"/>
    <w:pPr>
      <w:overflowPunct w:val="0"/>
      <w:ind w:left="420" w:leftChars="100" w:right="100" w:rightChars="100"/>
      <w:jc w:val="center"/>
    </w:pPr>
    <w:rPr>
      <w:rFonts w:ascii="黑体" w:hAnsi="黑体" w:cs="宋体"/>
      <w:b/>
      <w:bCs/>
      <w:color w:val="000000"/>
      <w:kern w:val="0"/>
      <w:sz w:val="28"/>
      <w:szCs w:val="24"/>
      <w:lang w:val="en-US" w:eastAsia="zh-CN"/>
    </w:rPr>
  </w:style>
  <w:style w:type="character" w:customStyle="1" w:styleId="469">
    <w:name w:val="标题5 Char Char"/>
    <w:qFormat/>
    <w:uiPriority w:val="0"/>
    <w:rPr>
      <w:rFonts w:ascii="黑体" w:hAnsi="宋体" w:eastAsia="黑体" w:cs="Times New Roman"/>
      <w:sz w:val="28"/>
      <w:szCs w:val="20"/>
    </w:rPr>
  </w:style>
  <w:style w:type="character" w:customStyle="1" w:styleId="470">
    <w:name w:val="WW8Num15z4"/>
    <w:qFormat/>
    <w:uiPriority w:val="0"/>
    <w:rPr>
      <w:rFonts w:ascii="Century Gothic" w:hAnsi="Century Gothic"/>
      <w:sz w:val="26"/>
      <w:szCs w:val="26"/>
    </w:rPr>
  </w:style>
  <w:style w:type="character" w:customStyle="1" w:styleId="471">
    <w:name w:val="font91"/>
    <w:qFormat/>
    <w:uiPriority w:val="0"/>
    <w:rPr>
      <w:rFonts w:hint="eastAsia" w:ascii="黑体" w:eastAsia="黑体"/>
      <w:color w:val="000000"/>
      <w:sz w:val="20"/>
      <w:szCs w:val="20"/>
      <w:u w:val="none"/>
      <w:vertAlign w:val="superscript"/>
    </w:rPr>
  </w:style>
  <w:style w:type="character" w:customStyle="1" w:styleId="472">
    <w:name w:val="正文报告 Char Char Char Char Char"/>
    <w:link w:val="473"/>
    <w:qFormat/>
    <w:uiPriority w:val="0"/>
    <w:rPr>
      <w:color w:val="000000"/>
      <w:kern w:val="2"/>
      <w:sz w:val="28"/>
      <w:szCs w:val="28"/>
    </w:rPr>
  </w:style>
  <w:style w:type="paragraph" w:customStyle="1" w:styleId="473">
    <w:name w:val="正文报告 Char Char Char Char"/>
    <w:basedOn w:val="1"/>
    <w:link w:val="472"/>
    <w:qFormat/>
    <w:uiPriority w:val="0"/>
    <w:pPr>
      <w:topLinePunct/>
      <w:snapToGrid w:val="0"/>
      <w:spacing w:line="480" w:lineRule="exact"/>
      <w:ind w:firstLine="567"/>
    </w:pPr>
    <w:rPr>
      <w:color w:val="000000"/>
      <w:sz w:val="28"/>
      <w:szCs w:val="28"/>
    </w:rPr>
  </w:style>
  <w:style w:type="character" w:customStyle="1" w:styleId="474">
    <w:name w:val="WW8Num8z0"/>
    <w:qFormat/>
    <w:uiPriority w:val="0"/>
    <w:rPr>
      <w:rFonts w:ascii="Wingdings" w:hAnsi="Wingdings"/>
    </w:rPr>
  </w:style>
  <w:style w:type="character" w:customStyle="1" w:styleId="475">
    <w:name w:val="表格正文 Char"/>
    <w:link w:val="476"/>
    <w:qFormat/>
    <w:uiPriority w:val="0"/>
    <w:rPr>
      <w:sz w:val="21"/>
    </w:rPr>
  </w:style>
  <w:style w:type="paragraph" w:customStyle="1" w:styleId="476">
    <w:name w:val="表格正文"/>
    <w:basedOn w:val="1"/>
    <w:link w:val="475"/>
    <w:qFormat/>
    <w:uiPriority w:val="0"/>
    <w:pPr>
      <w:adjustRightInd w:val="0"/>
      <w:spacing w:line="360" w:lineRule="exact"/>
      <w:jc w:val="center"/>
      <w:textAlignment w:val="baseline"/>
    </w:pPr>
    <w:rPr>
      <w:kern w:val="0"/>
      <w:sz w:val="21"/>
      <w:szCs w:val="20"/>
    </w:rPr>
  </w:style>
  <w:style w:type="character" w:customStyle="1" w:styleId="477">
    <w:name w:val="正文首行缩进 Char1"/>
    <w:link w:val="478"/>
    <w:qFormat/>
    <w:uiPriority w:val="0"/>
    <w:rPr>
      <w:kern w:val="2"/>
      <w:sz w:val="24"/>
      <w:szCs w:val="24"/>
    </w:rPr>
  </w:style>
  <w:style w:type="paragraph" w:customStyle="1" w:styleId="478">
    <w:name w:val="_Style 1424"/>
    <w:basedOn w:val="1"/>
    <w:next w:val="410"/>
    <w:link w:val="477"/>
    <w:qFormat/>
    <w:uiPriority w:val="0"/>
    <w:pPr>
      <w:ind w:firstLine="454"/>
    </w:pPr>
  </w:style>
  <w:style w:type="character" w:customStyle="1" w:styleId="479">
    <w:name w:val="图片名 字符"/>
    <w:qFormat/>
    <w:uiPriority w:val="0"/>
    <w:rPr>
      <w:b/>
      <w:kern w:val="2"/>
      <w:sz w:val="24"/>
      <w:szCs w:val="24"/>
    </w:rPr>
  </w:style>
  <w:style w:type="character" w:customStyle="1" w:styleId="480">
    <w:name w:val="样式 小4居中 + Char"/>
    <w:link w:val="481"/>
    <w:qFormat/>
    <w:uiPriority w:val="0"/>
    <w:rPr>
      <w:rFonts w:eastAsia="黑体" w:cs="宋体"/>
      <w:color w:val="000000"/>
      <w:kern w:val="2"/>
      <w:sz w:val="24"/>
      <w:szCs w:val="24"/>
    </w:rPr>
  </w:style>
  <w:style w:type="paragraph" w:customStyle="1" w:styleId="481">
    <w:name w:val="样式 小4居中 +"/>
    <w:basedOn w:val="1"/>
    <w:link w:val="480"/>
    <w:qFormat/>
    <w:uiPriority w:val="0"/>
    <w:pPr>
      <w:snapToGrid w:val="0"/>
      <w:spacing w:before="15" w:beforeLines="15" w:after="15" w:afterLines="15" w:line="320" w:lineRule="atLeast"/>
      <w:jc w:val="center"/>
    </w:pPr>
    <w:rPr>
      <w:rFonts w:eastAsia="黑体" w:cs="宋体"/>
      <w:color w:val="000000"/>
    </w:rPr>
  </w:style>
  <w:style w:type="character" w:customStyle="1" w:styleId="482">
    <w:name w:val="表格00 Char1"/>
    <w:link w:val="483"/>
    <w:qFormat/>
    <w:uiPriority w:val="0"/>
    <w:rPr>
      <w:kern w:val="2"/>
      <w:sz w:val="21"/>
      <w:szCs w:val="21"/>
    </w:rPr>
  </w:style>
  <w:style w:type="paragraph" w:customStyle="1" w:styleId="483">
    <w:name w:val="表格00"/>
    <w:link w:val="482"/>
    <w:qFormat/>
    <w:uiPriority w:val="0"/>
    <w:pPr>
      <w:widowControl w:val="0"/>
      <w:adjustRightInd w:val="0"/>
      <w:spacing w:line="140" w:lineRule="atLeast"/>
      <w:jc w:val="center"/>
      <w:outlineLvl w:val="8"/>
    </w:pPr>
    <w:rPr>
      <w:rFonts w:ascii="Times New Roman" w:hAnsi="Times New Roman" w:eastAsia="宋体" w:cs="Times New Roman"/>
      <w:kern w:val="2"/>
      <w:sz w:val="21"/>
      <w:szCs w:val="21"/>
      <w:lang w:val="en-US" w:eastAsia="zh-CN" w:bidi="ar-SA"/>
    </w:rPr>
  </w:style>
  <w:style w:type="character" w:customStyle="1" w:styleId="484">
    <w:name w:val="标题 4 Char"/>
    <w:qFormat/>
    <w:uiPriority w:val="0"/>
    <w:rPr>
      <w:rFonts w:ascii="Arial" w:hAnsi="Arial" w:eastAsia="黑体"/>
      <w:bCs/>
      <w:kern w:val="2"/>
      <w:sz w:val="24"/>
      <w:szCs w:val="28"/>
    </w:rPr>
  </w:style>
  <w:style w:type="character" w:customStyle="1" w:styleId="485">
    <w:name w:val="表头图名文字 Char"/>
    <w:link w:val="486"/>
    <w:qFormat/>
    <w:uiPriority w:val="0"/>
    <w:rPr>
      <w:b/>
      <w:sz w:val="28"/>
    </w:rPr>
  </w:style>
  <w:style w:type="paragraph" w:customStyle="1" w:styleId="486">
    <w:name w:val="表头图名文字"/>
    <w:basedOn w:val="1"/>
    <w:next w:val="1"/>
    <w:link w:val="485"/>
    <w:qFormat/>
    <w:uiPriority w:val="0"/>
    <w:pPr>
      <w:autoSpaceDE w:val="0"/>
      <w:autoSpaceDN w:val="0"/>
      <w:snapToGrid w:val="0"/>
      <w:spacing w:before="120" w:beforeLines="120" w:after="20" w:afterLines="20" w:line="312" w:lineRule="auto"/>
      <w:ind w:firstLineChars="200"/>
      <w:jc w:val="center"/>
      <w:textAlignment w:val="baseline"/>
    </w:pPr>
    <w:rPr>
      <w:b/>
      <w:kern w:val="0"/>
      <w:sz w:val="28"/>
      <w:szCs w:val="20"/>
    </w:rPr>
  </w:style>
  <w:style w:type="character" w:customStyle="1" w:styleId="487">
    <w:name w:val="aaa1"/>
    <w:qFormat/>
    <w:uiPriority w:val="0"/>
    <w:rPr>
      <w:sz w:val="22"/>
      <w:szCs w:val="22"/>
    </w:rPr>
  </w:style>
  <w:style w:type="character" w:customStyle="1" w:styleId="488">
    <w:name w:val="l_text Char Char Char1"/>
    <w:qFormat/>
    <w:uiPriority w:val="0"/>
    <w:rPr>
      <w:rFonts w:ascii="宋体" w:hAnsi="宋体" w:eastAsia="宋体" w:cs="Century"/>
      <w:b/>
      <w:bCs/>
      <w:color w:val="000000"/>
      <w:kern w:val="2"/>
      <w:sz w:val="28"/>
      <w:szCs w:val="28"/>
      <w:lang w:val="en-US" w:eastAsia="zh-CN" w:bidi="ar-SA"/>
    </w:rPr>
  </w:style>
  <w:style w:type="character" w:customStyle="1" w:styleId="489">
    <w:name w:val="正文悬挂缩进 Char"/>
    <w:qFormat/>
    <w:uiPriority w:val="0"/>
    <w:rPr>
      <w:rFonts w:eastAsia="楷体_GB2312" w:cs="宋体"/>
      <w:b/>
      <w:bCs/>
      <w:color w:val="000000"/>
      <w:kern w:val="2"/>
      <w:sz w:val="24"/>
      <w:szCs w:val="24"/>
      <w:lang w:val="en-US" w:eastAsia="zh-CN" w:bidi="ar-SA"/>
    </w:rPr>
  </w:style>
  <w:style w:type="character" w:customStyle="1" w:styleId="490">
    <w:name w:val="列表 Char"/>
    <w:qFormat/>
    <w:uiPriority w:val="0"/>
    <w:rPr>
      <w:rFonts w:ascii="宋体" w:hAnsi="宋体" w:eastAsia="宋体" w:cs="宋体"/>
      <w:b/>
      <w:bCs/>
      <w:color w:val="000000"/>
      <w:kern w:val="2"/>
      <w:sz w:val="28"/>
      <w:szCs w:val="28"/>
      <w:lang w:val="en-US" w:eastAsia="zh-CN" w:bidi="ar-SA"/>
    </w:rPr>
  </w:style>
  <w:style w:type="character" w:customStyle="1" w:styleId="491">
    <w:name w:val="表8 Char"/>
    <w:link w:val="492"/>
    <w:qFormat/>
    <w:uiPriority w:val="0"/>
    <w:rPr>
      <w:sz w:val="21"/>
      <w:szCs w:val="21"/>
    </w:rPr>
  </w:style>
  <w:style w:type="paragraph" w:customStyle="1" w:styleId="492">
    <w:name w:val="表8"/>
    <w:basedOn w:val="1"/>
    <w:link w:val="491"/>
    <w:qFormat/>
    <w:uiPriority w:val="0"/>
    <w:pPr>
      <w:overflowPunct w:val="0"/>
      <w:topLinePunct/>
      <w:adjustRightInd w:val="0"/>
      <w:snapToGrid w:val="0"/>
      <w:jc w:val="center"/>
      <w:textAlignment w:val="baseline"/>
    </w:pPr>
    <w:rPr>
      <w:kern w:val="0"/>
      <w:sz w:val="21"/>
      <w:szCs w:val="21"/>
    </w:rPr>
  </w:style>
  <w:style w:type="character" w:customStyle="1" w:styleId="493">
    <w:name w:val="表格内容居中 Char"/>
    <w:link w:val="494"/>
    <w:qFormat/>
    <w:uiPriority w:val="0"/>
    <w:rPr>
      <w:snapToGrid/>
      <w:sz w:val="21"/>
      <w:szCs w:val="21"/>
    </w:rPr>
  </w:style>
  <w:style w:type="paragraph" w:customStyle="1" w:styleId="494">
    <w:name w:val="表格内容居中"/>
    <w:link w:val="493"/>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character" w:customStyle="1" w:styleId="495">
    <w:name w:val="正文首行缩进:  2 字符 + 首行缩进:  2 字符 段前: 0.5 行 段后: 0.5 行 Char"/>
    <w:link w:val="496"/>
    <w:qFormat/>
    <w:uiPriority w:val="0"/>
    <w:rPr>
      <w:rFonts w:cs="宋体"/>
      <w:kern w:val="2"/>
      <w:sz w:val="24"/>
    </w:rPr>
  </w:style>
  <w:style w:type="paragraph" w:customStyle="1" w:styleId="496">
    <w:name w:val="正文首行缩进:  2 字符 + 首行缩进:  2 字符 段前: 0.5 行 段后: 0.5 行"/>
    <w:basedOn w:val="1"/>
    <w:link w:val="495"/>
    <w:qFormat/>
    <w:uiPriority w:val="0"/>
    <w:pPr>
      <w:wordWrap w:val="0"/>
      <w:spacing w:before="50" w:beforeLines="50" w:after="50" w:afterLines="50" w:line="500" w:lineRule="exact"/>
      <w:ind w:firstLine="200" w:firstLineChars="200"/>
      <w:jc w:val="left"/>
    </w:pPr>
    <w:rPr>
      <w:rFonts w:cs="宋体"/>
      <w:szCs w:val="20"/>
    </w:rPr>
  </w:style>
  <w:style w:type="character" w:customStyle="1" w:styleId="497">
    <w:name w:val="样式 标题 3 + 非加粗 自动设置 Char"/>
    <w:link w:val="498"/>
    <w:qFormat/>
    <w:uiPriority w:val="0"/>
    <w:rPr>
      <w:rFonts w:cs="宋体"/>
      <w:b/>
      <w:kern w:val="2"/>
      <w:sz w:val="28"/>
      <w:szCs w:val="28"/>
      <w:lang w:val="zh-CN"/>
    </w:rPr>
  </w:style>
  <w:style w:type="paragraph" w:customStyle="1" w:styleId="498">
    <w:name w:val="样式 标题 3 + 非加粗 自动设置"/>
    <w:basedOn w:val="5"/>
    <w:link w:val="497"/>
    <w:qFormat/>
    <w:uiPriority w:val="0"/>
    <w:pPr>
      <w:numPr>
        <w:ilvl w:val="0"/>
        <w:numId w:val="0"/>
      </w:numPr>
      <w:spacing w:before="0" w:after="0"/>
    </w:pPr>
    <w:rPr>
      <w:rFonts w:cs="宋体"/>
      <w:bCs w:val="0"/>
      <w:szCs w:val="28"/>
      <w:lang w:val="zh-CN"/>
    </w:rPr>
  </w:style>
  <w:style w:type="character" w:customStyle="1" w:styleId="499">
    <w:name w:val=" Char Char5"/>
    <w:qFormat/>
    <w:uiPriority w:val="0"/>
    <w:rPr>
      <w:kern w:val="2"/>
      <w:sz w:val="18"/>
    </w:rPr>
  </w:style>
  <w:style w:type="character" w:customStyle="1" w:styleId="500">
    <w:name w:val=" Char Char26"/>
    <w:qFormat/>
    <w:uiPriority w:val="0"/>
    <w:rPr>
      <w:rFonts w:ascii="黑体" w:eastAsia="黑体"/>
      <w:bCs/>
      <w:kern w:val="44"/>
      <w:sz w:val="28"/>
      <w:szCs w:val="28"/>
      <w:lang w:val="en-US" w:eastAsia="zh-CN" w:bidi="ar-SA"/>
    </w:rPr>
  </w:style>
  <w:style w:type="character" w:customStyle="1" w:styleId="501">
    <w:name w:val="篇 Char"/>
    <w:qFormat/>
    <w:uiPriority w:val="0"/>
    <w:rPr>
      <w:rFonts w:ascii="黑体" w:hAnsi="黑体" w:eastAsia="黑体" w:cs="黑体"/>
      <w:bCs/>
      <w:kern w:val="44"/>
      <w:sz w:val="32"/>
      <w:szCs w:val="32"/>
      <w:lang w:val="en-US" w:eastAsia="zh-CN" w:bidi="ar-SA"/>
    </w:rPr>
  </w:style>
  <w:style w:type="character" w:customStyle="1" w:styleId="502">
    <w:name w:val="font71"/>
    <w:qFormat/>
    <w:uiPriority w:val="0"/>
    <w:rPr>
      <w:rFonts w:hint="eastAsia" w:ascii="宋体" w:hAnsi="宋体" w:eastAsia="宋体"/>
      <w:color w:val="000000"/>
      <w:sz w:val="20"/>
      <w:szCs w:val="20"/>
      <w:u w:val="none"/>
      <w:vertAlign w:val="superscript"/>
    </w:rPr>
  </w:style>
  <w:style w:type="character" w:customStyle="1" w:styleId="503">
    <w:name w:val="Char Char18"/>
    <w:qFormat/>
    <w:uiPriority w:val="0"/>
    <w:rPr>
      <w:rFonts w:eastAsia="宋体"/>
      <w:kern w:val="2"/>
      <w:sz w:val="28"/>
      <w:szCs w:val="28"/>
      <w:lang w:val="en-US" w:eastAsia="zh-CN" w:bidi="ar-SA"/>
    </w:rPr>
  </w:style>
  <w:style w:type="character" w:customStyle="1" w:styleId="504">
    <w:name w:val="样式2 Char Char Char Char"/>
    <w:link w:val="505"/>
    <w:qFormat/>
    <w:uiPriority w:val="0"/>
    <w:rPr>
      <w:kern w:val="2"/>
      <w:sz w:val="24"/>
      <w:szCs w:val="24"/>
    </w:rPr>
  </w:style>
  <w:style w:type="paragraph" w:customStyle="1" w:styleId="505">
    <w:name w:val="样式2 Char Char Char"/>
    <w:basedOn w:val="1"/>
    <w:link w:val="504"/>
    <w:qFormat/>
    <w:uiPriority w:val="0"/>
  </w:style>
  <w:style w:type="character" w:customStyle="1" w:styleId="506">
    <w:name w:val="样式8 Char Char"/>
    <w:qFormat/>
    <w:uiPriority w:val="0"/>
    <w:rPr>
      <w:rFonts w:eastAsia="宋体"/>
      <w:kern w:val="2"/>
      <w:sz w:val="24"/>
      <w:szCs w:val="24"/>
      <w:lang w:val="en-US" w:eastAsia="zh-CN" w:bidi="ar-SA"/>
    </w:rPr>
  </w:style>
  <w:style w:type="character" w:customStyle="1" w:styleId="507">
    <w:name w:val="extraurl22"/>
    <w:qFormat/>
    <w:uiPriority w:val="0"/>
    <w:rPr>
      <w:color w:val="AAAAAA"/>
      <w:sz w:val="14"/>
      <w:szCs w:val="14"/>
    </w:rPr>
  </w:style>
  <w:style w:type="character" w:customStyle="1" w:styleId="508">
    <w:name w:val=" Char Char6"/>
    <w:qFormat/>
    <w:uiPriority w:val="0"/>
    <w:rPr>
      <w:rFonts w:ascii="宋体" w:hAnsi="宋体" w:eastAsia="宋体"/>
      <w:spacing w:val="20"/>
      <w:kern w:val="2"/>
      <w:sz w:val="28"/>
      <w:szCs w:val="24"/>
      <w:lang w:val="en-US" w:eastAsia="zh-CN" w:bidi="ar-SA"/>
    </w:rPr>
  </w:style>
  <w:style w:type="character" w:customStyle="1" w:styleId="509">
    <w:name w:val="HZZH表头 Char Char Char"/>
    <w:link w:val="510"/>
    <w:qFormat/>
    <w:uiPriority w:val="0"/>
    <w:rPr>
      <w:rFonts w:ascii="Calibri" w:hAnsi="Calibri"/>
      <w:b/>
      <w:bCs/>
      <w:kern w:val="2"/>
      <w:sz w:val="24"/>
      <w:szCs w:val="24"/>
    </w:rPr>
  </w:style>
  <w:style w:type="paragraph" w:customStyle="1" w:styleId="510">
    <w:name w:val="HZZH表头 Char Char"/>
    <w:basedOn w:val="1"/>
    <w:link w:val="509"/>
    <w:qFormat/>
    <w:uiPriority w:val="0"/>
    <w:pPr>
      <w:jc w:val="center"/>
    </w:pPr>
    <w:rPr>
      <w:rFonts w:ascii="Calibri" w:hAnsi="Calibri"/>
      <w:b/>
      <w:bCs/>
    </w:rPr>
  </w:style>
  <w:style w:type="character" w:customStyle="1" w:styleId="511">
    <w:name w:val=" Char Char27"/>
    <w:qFormat/>
    <w:uiPriority w:val="0"/>
    <w:rPr>
      <w:rFonts w:ascii="黑体" w:eastAsia="黑体"/>
      <w:bCs/>
      <w:kern w:val="2"/>
      <w:sz w:val="28"/>
      <w:szCs w:val="28"/>
      <w:lang w:val="en-US" w:eastAsia="zh-CN" w:bidi="ar-SA"/>
    </w:rPr>
  </w:style>
  <w:style w:type="character" w:customStyle="1" w:styleId="512">
    <w:name w:val="HZZH正文 Char Char"/>
    <w:qFormat/>
    <w:uiPriority w:val="0"/>
    <w:rPr>
      <w:rFonts w:eastAsia="宋体"/>
      <w:bCs/>
      <w:color w:val="0000FF"/>
      <w:kern w:val="2"/>
      <w:sz w:val="24"/>
      <w:lang w:val="en-US" w:eastAsia="zh-CN" w:bidi="ar-SA"/>
    </w:rPr>
  </w:style>
  <w:style w:type="character" w:customStyle="1" w:styleId="513">
    <w:name w:val="图表标题 Char Char Char"/>
    <w:link w:val="514"/>
    <w:qFormat/>
    <w:uiPriority w:val="0"/>
    <w:rPr>
      <w:rFonts w:ascii="宋体" w:hAnsi="宋体"/>
      <w:b/>
      <w:color w:val="000000"/>
      <w:kern w:val="2"/>
      <w:sz w:val="24"/>
      <w:szCs w:val="24"/>
    </w:rPr>
  </w:style>
  <w:style w:type="paragraph" w:customStyle="1" w:styleId="514">
    <w:name w:val="图表标题 Char Char"/>
    <w:basedOn w:val="1"/>
    <w:next w:val="442"/>
    <w:link w:val="513"/>
    <w:qFormat/>
    <w:uiPriority w:val="0"/>
    <w:pPr>
      <w:topLinePunct/>
      <w:spacing w:line="360" w:lineRule="auto"/>
      <w:jc w:val="center"/>
    </w:pPr>
    <w:rPr>
      <w:rFonts w:ascii="宋体" w:hAnsi="宋体"/>
      <w:b/>
      <w:color w:val="000000"/>
    </w:rPr>
  </w:style>
  <w:style w:type="character" w:customStyle="1" w:styleId="515">
    <w:name w:val="WW8Num12z0"/>
    <w:qFormat/>
    <w:uiPriority w:val="0"/>
    <w:rPr>
      <w:rFonts w:ascii="Wingdings" w:hAnsi="Wingdings"/>
    </w:rPr>
  </w:style>
  <w:style w:type="character" w:customStyle="1" w:styleId="516">
    <w:name w:val="样式 正文首行缩进 2 Char Char Char"/>
    <w:qFormat/>
    <w:uiPriority w:val="0"/>
    <w:rPr>
      <w:rFonts w:eastAsia="宋体"/>
      <w:bCs/>
      <w:color w:val="000000"/>
      <w:kern w:val="2"/>
      <w:sz w:val="28"/>
      <w:szCs w:val="28"/>
      <w:lang w:val="en-US" w:eastAsia="zh-CN" w:bidi="ar-SA"/>
    </w:rPr>
  </w:style>
  <w:style w:type="character" w:customStyle="1" w:styleId="517">
    <w:name w:val="Char Char41"/>
    <w:qFormat/>
    <w:uiPriority w:val="0"/>
    <w:rPr>
      <w:rFonts w:eastAsia="宋体"/>
      <w:kern w:val="2"/>
      <w:sz w:val="21"/>
      <w:lang w:val="en-US" w:eastAsia="zh-CN"/>
    </w:rPr>
  </w:style>
  <w:style w:type="character" w:customStyle="1" w:styleId="518">
    <w:name w:val="样式 HZZH正文 + 黑体 四号 加粗 Char Char Char"/>
    <w:link w:val="519"/>
    <w:qFormat/>
    <w:uiPriority w:val="0"/>
    <w:rPr>
      <w:rFonts w:ascii="黑体" w:hAnsi="黑体" w:cs="宋体"/>
      <w:b/>
      <w:bCs/>
      <w:color w:val="000000"/>
      <w:sz w:val="28"/>
      <w:szCs w:val="24"/>
    </w:rPr>
  </w:style>
  <w:style w:type="paragraph" w:customStyle="1" w:styleId="519">
    <w:name w:val="样式 HZZH正文 + 黑体 四号 加粗 Char Char"/>
    <w:basedOn w:val="278"/>
    <w:link w:val="518"/>
    <w:qFormat/>
    <w:uiPriority w:val="0"/>
    <w:pPr>
      <w:overflowPunct w:val="0"/>
      <w:ind w:left="420" w:leftChars="100" w:right="100" w:rightChars="100"/>
      <w:jc w:val="center"/>
    </w:pPr>
    <w:rPr>
      <w:rFonts w:ascii="黑体" w:hAnsi="黑体" w:cs="宋体"/>
      <w:b/>
      <w:bCs/>
      <w:color w:val="000000"/>
      <w:kern w:val="0"/>
      <w:sz w:val="28"/>
      <w:szCs w:val="24"/>
      <w:lang w:val="en-US" w:eastAsia="zh-CN"/>
    </w:rPr>
  </w:style>
  <w:style w:type="character" w:customStyle="1" w:styleId="520">
    <w:name w:val=" Char Char20"/>
    <w:qFormat/>
    <w:uiPriority w:val="0"/>
    <w:rPr>
      <w:rFonts w:ascii="Arial" w:hAnsi="Arial" w:eastAsia="黑体"/>
      <w:kern w:val="2"/>
      <w:sz w:val="24"/>
    </w:rPr>
  </w:style>
  <w:style w:type="character" w:customStyle="1" w:styleId="521">
    <w:name w:val="unnamed11"/>
    <w:qFormat/>
    <w:uiPriority w:val="0"/>
    <w:rPr>
      <w:rFonts w:ascii="宋体" w:hAnsi="宋体" w:eastAsia="宋体" w:cs="宋体"/>
      <w:kern w:val="2"/>
      <w:sz w:val="21"/>
      <w:szCs w:val="21"/>
      <w:lang w:val="en-US" w:eastAsia="zh-CN" w:bidi="ar-SA"/>
    </w:rPr>
  </w:style>
  <w:style w:type="character" w:customStyle="1" w:styleId="522">
    <w:name w:val="报告书正文 Char Char Char Char"/>
    <w:link w:val="523"/>
    <w:qFormat/>
    <w:uiPriority w:val="0"/>
    <w:rPr>
      <w:color w:val="000000"/>
      <w:kern w:val="2"/>
      <w:sz w:val="24"/>
    </w:rPr>
  </w:style>
  <w:style w:type="paragraph" w:customStyle="1" w:styleId="523">
    <w:name w:val="报告书正文 Char Char Char"/>
    <w:basedOn w:val="1"/>
    <w:link w:val="522"/>
    <w:qFormat/>
    <w:uiPriority w:val="0"/>
    <w:pPr>
      <w:adjustRightInd w:val="0"/>
      <w:snapToGrid w:val="0"/>
      <w:spacing w:line="400" w:lineRule="atLeast"/>
      <w:ind w:firstLine="567"/>
    </w:pPr>
    <w:rPr>
      <w:color w:val="000000"/>
      <w:szCs w:val="20"/>
    </w:rPr>
  </w:style>
  <w:style w:type="character" w:customStyle="1" w:styleId="524">
    <w:name w:val="标题 3 Char Char"/>
    <w:qFormat/>
    <w:uiPriority w:val="0"/>
    <w:rPr>
      <w:rFonts w:ascii="黑体" w:eastAsia="黑体"/>
      <w:bCs/>
      <w:kern w:val="2"/>
      <w:sz w:val="28"/>
      <w:szCs w:val="28"/>
      <w:lang w:val="en-US" w:eastAsia="zh-CN" w:bidi="ar-SA"/>
    </w:rPr>
  </w:style>
  <w:style w:type="character" w:customStyle="1" w:styleId="525">
    <w:name w:val="标题 3 Char Char Char"/>
    <w:qFormat/>
    <w:uiPriority w:val="0"/>
    <w:rPr>
      <w:rFonts w:ascii="黑体" w:eastAsia="黑体"/>
      <w:bCs/>
      <w:kern w:val="2"/>
      <w:sz w:val="28"/>
      <w:szCs w:val="28"/>
      <w:lang w:val="en-US" w:eastAsia="zh-CN" w:bidi="ar-SA"/>
    </w:rPr>
  </w:style>
  <w:style w:type="character" w:customStyle="1" w:styleId="526">
    <w:name w:val="正文文字 Char Char"/>
    <w:qFormat/>
    <w:uiPriority w:val="0"/>
    <w:rPr>
      <w:rFonts w:ascii="宋体" w:hAnsi="宋体" w:eastAsia="宋体" w:cs="Times New Roman"/>
      <w:sz w:val="24"/>
      <w:szCs w:val="20"/>
    </w:rPr>
  </w:style>
  <w:style w:type="character" w:customStyle="1" w:styleId="527">
    <w:name w:val="标题 4 Char1"/>
    <w:qFormat/>
    <w:uiPriority w:val="0"/>
    <w:rPr>
      <w:rFonts w:eastAsia="黑体"/>
      <w:b/>
      <w:bCs/>
      <w:kern w:val="44"/>
      <w:sz w:val="36"/>
      <w:szCs w:val="44"/>
    </w:rPr>
  </w:style>
  <w:style w:type="character" w:customStyle="1" w:styleId="528">
    <w:name w:val="hei141"/>
    <w:qFormat/>
    <w:uiPriority w:val="0"/>
    <w:rPr>
      <w:rFonts w:hint="eastAsia" w:ascii="宋体" w:hAnsi="宋体" w:eastAsia="宋体"/>
      <w:color w:val="000000"/>
      <w:sz w:val="17"/>
      <w:szCs w:val="17"/>
      <w:u w:val="none"/>
    </w:rPr>
  </w:style>
  <w:style w:type="character" w:customStyle="1" w:styleId="529">
    <w:name w:val="页眉 Char"/>
    <w:qFormat/>
    <w:uiPriority w:val="0"/>
    <w:rPr>
      <w:rFonts w:ascii="宋体" w:hAnsi="宋体" w:eastAsia="宋体" w:cs="宋体"/>
      <w:kern w:val="2"/>
      <w:sz w:val="18"/>
      <w:szCs w:val="24"/>
      <w:lang w:val="en-US" w:eastAsia="zh-CN" w:bidi="ar-SA"/>
    </w:rPr>
  </w:style>
  <w:style w:type="character" w:customStyle="1" w:styleId="530">
    <w:name w:val="black"/>
    <w:qFormat/>
    <w:uiPriority w:val="0"/>
    <w:rPr>
      <w:rFonts w:ascii="宋体" w:hAnsi="宋体" w:eastAsia="宋体" w:cs="宋体"/>
      <w:kern w:val="2"/>
      <w:sz w:val="24"/>
      <w:szCs w:val="24"/>
      <w:lang w:val="en-US" w:eastAsia="zh-CN" w:bidi="ar-SA"/>
    </w:rPr>
  </w:style>
  <w:style w:type="character" w:customStyle="1" w:styleId="531">
    <w:name w:val="text"/>
    <w:qFormat/>
    <w:uiPriority w:val="0"/>
  </w:style>
  <w:style w:type="character" w:customStyle="1" w:styleId="532">
    <w:name w:val="tt2"/>
    <w:qFormat/>
    <w:uiPriority w:val="0"/>
    <w:rPr>
      <w:rFonts w:ascii="宋体" w:hAnsi="宋体" w:eastAsia="宋体" w:cs="宋体"/>
      <w:kern w:val="2"/>
      <w:sz w:val="24"/>
      <w:szCs w:val="24"/>
      <w:lang w:val="en-US" w:eastAsia="zh-CN" w:bidi="ar-SA"/>
    </w:rPr>
  </w:style>
  <w:style w:type="character" w:customStyle="1" w:styleId="533">
    <w:name w:val="Char Char Char Char7"/>
    <w:qFormat/>
    <w:uiPriority w:val="0"/>
    <w:rPr>
      <w:rFonts w:eastAsia="宋体"/>
      <w:kern w:val="2"/>
      <w:sz w:val="24"/>
      <w:szCs w:val="24"/>
      <w:lang w:val="en-US" w:eastAsia="zh-CN" w:bidi="ar-SA"/>
    </w:rPr>
  </w:style>
  <w:style w:type="character" w:customStyle="1" w:styleId="534">
    <w:name w:val="3dfont"/>
    <w:qFormat/>
    <w:uiPriority w:val="0"/>
    <w:rPr>
      <w:rFonts w:ascii="宋体" w:hAnsi="宋体" w:eastAsia="宋体" w:cs="宋体"/>
      <w:kern w:val="2"/>
      <w:sz w:val="24"/>
      <w:szCs w:val="24"/>
      <w:lang w:val="en-US" w:eastAsia="zh-CN" w:bidi="ar-SA"/>
    </w:rPr>
  </w:style>
  <w:style w:type="character" w:customStyle="1" w:styleId="535">
    <w:name w:val="正文首行缩进 Char2"/>
    <w:qFormat/>
    <w:uiPriority w:val="0"/>
    <w:rPr>
      <w:rFonts w:ascii="Times New Roman" w:hAnsi="Times New Roman" w:eastAsia="宋体" w:cs="Times New Roman"/>
      <w:sz w:val="28"/>
      <w:szCs w:val="28"/>
    </w:rPr>
  </w:style>
  <w:style w:type="character" w:customStyle="1" w:styleId="536">
    <w:name w:val="尾注文本 Char1"/>
    <w:semiHidden/>
    <w:qFormat/>
    <w:uiPriority w:val="0"/>
    <w:rPr>
      <w:rFonts w:ascii="宋体" w:hAnsi="宋体" w:cs="宋体"/>
      <w:sz w:val="24"/>
      <w:szCs w:val="24"/>
    </w:rPr>
  </w:style>
  <w:style w:type="character" w:customStyle="1" w:styleId="537">
    <w:name w:val="样式 小四"/>
    <w:qFormat/>
    <w:uiPriority w:val="0"/>
    <w:rPr>
      <w:sz w:val="18"/>
    </w:rPr>
  </w:style>
  <w:style w:type="character" w:customStyle="1" w:styleId="538">
    <w:name w:val="标题 7 Char1"/>
    <w:semiHidden/>
    <w:qFormat/>
    <w:uiPriority w:val="0"/>
    <w:rPr>
      <w:rFonts w:ascii="宋体" w:hAnsi="宋体" w:cs="宋体"/>
      <w:b/>
      <w:bCs/>
      <w:sz w:val="24"/>
      <w:szCs w:val="24"/>
    </w:rPr>
  </w:style>
  <w:style w:type="character" w:customStyle="1" w:styleId="539">
    <w:name w:val="样式7 Char"/>
    <w:link w:val="540"/>
    <w:qFormat/>
    <w:uiPriority w:val="0"/>
    <w:rPr>
      <w:kern w:val="2"/>
      <w:sz w:val="21"/>
      <w:szCs w:val="21"/>
    </w:rPr>
  </w:style>
  <w:style w:type="paragraph" w:customStyle="1" w:styleId="540">
    <w:name w:val="样式7"/>
    <w:basedOn w:val="75"/>
    <w:link w:val="539"/>
    <w:qFormat/>
    <w:uiPriority w:val="0"/>
    <w:rPr>
      <w:sz w:val="21"/>
      <w:szCs w:val="21"/>
    </w:rPr>
  </w:style>
  <w:style w:type="character" w:customStyle="1" w:styleId="541">
    <w:name w:val="批注主题 Char1"/>
    <w:semiHidden/>
    <w:qFormat/>
    <w:uiPriority w:val="0"/>
    <w:rPr>
      <w:rFonts w:ascii="宋体" w:hAnsi="宋体" w:cs="宋体"/>
      <w:b/>
      <w:bCs/>
      <w:sz w:val="24"/>
      <w:szCs w:val="24"/>
    </w:rPr>
  </w:style>
  <w:style w:type="character" w:customStyle="1" w:styleId="542">
    <w:name w:val="t1"/>
    <w:qFormat/>
    <w:uiPriority w:val="0"/>
  </w:style>
  <w:style w:type="character" w:customStyle="1" w:styleId="543">
    <w:name w:val="正文文字缩进 Char Char Char Char Char Char Char Char Char Char Char Char Char Char Char Char Char Char Char Char Char Char Char Char Char Char Char Char Char Char Char Char  Char"/>
    <w:qFormat/>
    <w:uiPriority w:val="0"/>
    <w:rPr>
      <w:rFonts w:ascii="宋体" w:hAnsi="宋体" w:eastAsia="宋体" w:cs="宋体"/>
      <w:sz w:val="24"/>
      <w:szCs w:val="24"/>
      <w:lang w:val="en-US" w:eastAsia="zh-CN" w:bidi="ar-SA"/>
    </w:rPr>
  </w:style>
  <w:style w:type="character" w:customStyle="1" w:styleId="544">
    <w:name w:val="正文文本缩进 字符"/>
    <w:qFormat/>
    <w:uiPriority w:val="0"/>
    <w:rPr>
      <w:rFonts w:ascii="Times New Roman" w:hAnsi="Times New Roman" w:eastAsia="宋体" w:cs="Times New Roman"/>
      <w:color w:val="000000"/>
      <w:sz w:val="24"/>
      <w:szCs w:val="24"/>
    </w:rPr>
  </w:style>
  <w:style w:type="character" w:customStyle="1" w:styleId="545">
    <w:name w:val="表中文字 Char Char"/>
    <w:qFormat/>
    <w:uiPriority w:val="0"/>
    <w:rPr>
      <w:rFonts w:eastAsia="宋体"/>
      <w:spacing w:val="20"/>
      <w:kern w:val="2"/>
      <w:sz w:val="28"/>
      <w:lang w:val="en-US" w:eastAsia="zh-CN" w:bidi="ar-SA"/>
    </w:rPr>
  </w:style>
  <w:style w:type="character" w:customStyle="1" w:styleId="546">
    <w:name w:val="1.1 Char Char Char"/>
    <w:link w:val="547"/>
    <w:qFormat/>
    <w:uiPriority w:val="0"/>
    <w:rPr>
      <w:rFonts w:eastAsia="黑体"/>
      <w:b/>
      <w:bCs/>
      <w:kern w:val="2"/>
      <w:sz w:val="32"/>
      <w:szCs w:val="32"/>
    </w:rPr>
  </w:style>
  <w:style w:type="paragraph" w:customStyle="1" w:styleId="547">
    <w:name w:val="1.1 Char Char"/>
    <w:basedOn w:val="4"/>
    <w:link w:val="546"/>
    <w:qFormat/>
    <w:uiPriority w:val="0"/>
    <w:pPr>
      <w:numPr>
        <w:ilvl w:val="0"/>
        <w:numId w:val="0"/>
      </w:numPr>
      <w:tabs>
        <w:tab w:val="clear" w:pos="993"/>
      </w:tabs>
      <w:adjustRightInd/>
      <w:spacing w:before="120" w:after="120" w:line="360" w:lineRule="auto"/>
      <w:jc w:val="left"/>
    </w:pPr>
    <w:rPr>
      <w:rFonts w:ascii="Times New Roman" w:hAnsi="Times New Roman"/>
      <w:sz w:val="32"/>
      <w:lang w:val="en-US" w:eastAsia="zh-CN"/>
    </w:rPr>
  </w:style>
  <w:style w:type="character" w:customStyle="1" w:styleId="548">
    <w:name w:val="标题 3 + 段前: 0.2 行 段后: 0.2 行 Char Char Char Char"/>
    <w:link w:val="549"/>
    <w:qFormat/>
    <w:uiPriority w:val="0"/>
    <w:rPr>
      <w:rFonts w:cs="宋体"/>
      <w:b/>
      <w:bCs/>
      <w:color w:val="000000"/>
      <w:kern w:val="2"/>
      <w:sz w:val="24"/>
      <w:szCs w:val="21"/>
    </w:rPr>
  </w:style>
  <w:style w:type="paragraph" w:customStyle="1" w:styleId="549">
    <w:name w:val="标题 3 + 段前: 0.2 行 段后: 0.2 行 Char Char Char"/>
    <w:basedOn w:val="5"/>
    <w:link w:val="548"/>
    <w:qFormat/>
    <w:uiPriority w:val="0"/>
    <w:pPr>
      <w:numPr>
        <w:ilvl w:val="2"/>
        <w:numId w:val="0"/>
      </w:numPr>
      <w:adjustRightInd w:val="0"/>
      <w:snapToGrid w:val="0"/>
      <w:spacing w:before="20" w:beforeLines="20" w:after="20" w:afterLines="20"/>
      <w:ind w:left="-108"/>
      <w:jc w:val="left"/>
    </w:pPr>
    <w:rPr>
      <w:rFonts w:cs="宋体"/>
      <w:color w:val="000000"/>
      <w:sz w:val="24"/>
      <w:szCs w:val="21"/>
      <w:lang w:val="en-US" w:eastAsia="zh-CN"/>
    </w:rPr>
  </w:style>
  <w:style w:type="character" w:customStyle="1" w:styleId="550">
    <w:name w:val="tpc_content1"/>
    <w:qFormat/>
    <w:uiPriority w:val="0"/>
    <w:rPr>
      <w:sz w:val="20"/>
      <w:szCs w:val="20"/>
    </w:rPr>
  </w:style>
  <w:style w:type="character" w:customStyle="1" w:styleId="551">
    <w:name w:val="标题 字符"/>
    <w:qFormat/>
    <w:uiPriority w:val="0"/>
    <w:rPr>
      <w:rFonts w:ascii="宋体" w:hAnsi="宋体" w:eastAsia="Arial" w:cs="宋体"/>
      <w:b/>
      <w:kern w:val="2"/>
      <w:sz w:val="21"/>
      <w:szCs w:val="44"/>
      <w:lang w:val="en-US" w:eastAsia="zh-CN" w:bidi="ar-SA"/>
    </w:rPr>
  </w:style>
  <w:style w:type="character" w:customStyle="1" w:styleId="552">
    <w:name w:val="WW8Num5z0"/>
    <w:qFormat/>
    <w:uiPriority w:val="0"/>
    <w:rPr>
      <w:rFonts w:ascii="Wingdings" w:hAnsi="Wingdings"/>
    </w:rPr>
  </w:style>
  <w:style w:type="character" w:customStyle="1" w:styleId="553">
    <w:name w:val="ju1"/>
    <w:qFormat/>
    <w:uiPriority w:val="0"/>
    <w:rPr>
      <w:rFonts w:hint="default" w:ascii="ˎ̥" w:hAnsi="ˎ̥"/>
      <w:color w:val="F06000"/>
      <w:sz w:val="20"/>
      <w:szCs w:val="20"/>
    </w:rPr>
  </w:style>
  <w:style w:type="character" w:customStyle="1" w:styleId="554">
    <w:name w:val="font3"/>
    <w:qFormat/>
    <w:uiPriority w:val="0"/>
  </w:style>
  <w:style w:type="character" w:customStyle="1" w:styleId="555">
    <w:name w:val="WW8Num24z0"/>
    <w:qFormat/>
    <w:uiPriority w:val="0"/>
    <w:rPr>
      <w:rFonts w:ascii="Wingdings" w:hAnsi="Wingdings"/>
    </w:rPr>
  </w:style>
  <w:style w:type="character" w:customStyle="1" w:styleId="556">
    <w:name w:val="mt5"/>
    <w:qFormat/>
    <w:uiPriority w:val="0"/>
  </w:style>
  <w:style w:type="character" w:customStyle="1" w:styleId="557">
    <w:name w:val="copy21"/>
    <w:qFormat/>
    <w:uiPriority w:val="0"/>
    <w:rPr>
      <w:rFonts w:hint="default" w:ascii="ˎ̥" w:hAnsi="ˎ̥"/>
      <w:color w:val="525252"/>
      <w:sz w:val="18"/>
      <w:szCs w:val="18"/>
    </w:rPr>
  </w:style>
  <w:style w:type="character" w:customStyle="1" w:styleId="558">
    <w:name w:val="表头 Char1"/>
    <w:qFormat/>
    <w:uiPriority w:val="0"/>
    <w:rPr>
      <w:rFonts w:ascii="宋体" w:hAnsi="宋体" w:eastAsia="宋体" w:cs="宋体"/>
      <w:b/>
      <w:color w:val="000000"/>
      <w:kern w:val="2"/>
      <w:sz w:val="21"/>
      <w:szCs w:val="21"/>
      <w:lang w:val="en-US" w:eastAsia="zh-CN" w:bidi="ar-SA"/>
    </w:rPr>
  </w:style>
  <w:style w:type="character" w:customStyle="1" w:styleId="559">
    <w:name w:val="文字 Char"/>
    <w:qFormat/>
    <w:uiPriority w:val="0"/>
    <w:rPr>
      <w:rFonts w:eastAsia="宋体"/>
      <w:sz w:val="24"/>
      <w:szCs w:val="24"/>
      <w:lang w:val="en-US" w:eastAsia="zh-CN" w:bidi="ar-SA"/>
    </w:rPr>
  </w:style>
  <w:style w:type="character" w:customStyle="1" w:styleId="560">
    <w:name w:val="正文文本缩进 2 Char2 Char11"/>
    <w:qFormat/>
    <w:uiPriority w:val="0"/>
    <w:rPr>
      <w:rFonts w:ascii="宋体" w:hAnsi="宋体" w:eastAsia="宋体" w:cs="宋体"/>
      <w:kern w:val="2"/>
      <w:sz w:val="24"/>
      <w:szCs w:val="24"/>
      <w:lang w:val="en-US" w:eastAsia="zh-CN" w:bidi="ar-SA"/>
    </w:rPr>
  </w:style>
  <w:style w:type="character" w:customStyle="1" w:styleId="561">
    <w:name w:val="p201"/>
    <w:qFormat/>
    <w:uiPriority w:val="0"/>
    <w:rPr>
      <w:rFonts w:ascii="宋体" w:hAnsi="宋体" w:eastAsia="宋体" w:cs="宋体"/>
      <w:b/>
      <w:bCs/>
      <w:color w:val="FF6600"/>
      <w:kern w:val="2"/>
      <w:sz w:val="32"/>
      <w:szCs w:val="32"/>
      <w:lang w:val="en-US" w:eastAsia="zh-CN" w:bidi="ar-SA"/>
    </w:rPr>
  </w:style>
  <w:style w:type="character" w:customStyle="1" w:styleId="562">
    <w:name w:val="Char Char5"/>
    <w:qFormat/>
    <w:uiPriority w:val="0"/>
    <w:rPr>
      <w:kern w:val="2"/>
      <w:sz w:val="18"/>
    </w:rPr>
  </w:style>
  <w:style w:type="character" w:customStyle="1" w:styleId="563">
    <w:name w:val="Char Char2"/>
    <w:qFormat/>
    <w:uiPriority w:val="0"/>
    <w:rPr>
      <w:rFonts w:eastAsia="宋体"/>
      <w:kern w:val="2"/>
      <w:sz w:val="21"/>
      <w:lang w:val="en-US" w:eastAsia="zh-CN" w:bidi="ar-SA"/>
    </w:rPr>
  </w:style>
  <w:style w:type="character" w:customStyle="1" w:styleId="564">
    <w:name w:val="songp1"/>
    <w:qFormat/>
    <w:uiPriority w:val="0"/>
    <w:rPr>
      <w:rFonts w:ascii="宋体" w:hAnsi="宋体" w:eastAsia="宋体" w:cs="宋体"/>
      <w:kern w:val="2"/>
      <w:sz w:val="24"/>
      <w:szCs w:val="24"/>
      <w:lang w:val="en-US" w:eastAsia="zh-CN" w:bidi="ar-SA"/>
    </w:rPr>
  </w:style>
  <w:style w:type="character" w:customStyle="1" w:styleId="565">
    <w:name w:val="grame"/>
    <w:qFormat/>
    <w:uiPriority w:val="0"/>
    <w:rPr>
      <w:rFonts w:ascii="宋体" w:hAnsi="宋体" w:eastAsia="宋体" w:cs="宋体"/>
      <w:kern w:val="2"/>
      <w:sz w:val="24"/>
      <w:szCs w:val="24"/>
      <w:lang w:val="en-US" w:eastAsia="zh-CN" w:bidi="ar-SA"/>
    </w:rPr>
  </w:style>
  <w:style w:type="character" w:customStyle="1" w:styleId="566">
    <w:name w:val="8 Char1 Char"/>
    <w:link w:val="567"/>
    <w:qFormat/>
    <w:uiPriority w:val="0"/>
    <w:rPr>
      <w:kern w:val="10"/>
      <w:sz w:val="24"/>
      <w:szCs w:val="24"/>
    </w:rPr>
  </w:style>
  <w:style w:type="paragraph" w:customStyle="1" w:styleId="567">
    <w:name w:val="8 Char1"/>
    <w:basedOn w:val="1"/>
    <w:link w:val="566"/>
    <w:qFormat/>
    <w:uiPriority w:val="0"/>
    <w:pPr>
      <w:spacing w:line="360" w:lineRule="auto"/>
      <w:ind w:firstLine="480" w:firstLineChars="200"/>
    </w:pPr>
    <w:rPr>
      <w:kern w:val="10"/>
    </w:rPr>
  </w:style>
  <w:style w:type="character" w:customStyle="1" w:styleId="568">
    <w:name w:val="正文文本缩进 2 Char"/>
    <w:qFormat/>
    <w:uiPriority w:val="0"/>
    <w:rPr>
      <w:rFonts w:ascii="Times New Roman" w:hAnsi="Times New Roman" w:eastAsia="宋体" w:cs="Times New Roman"/>
      <w:sz w:val="24"/>
      <w:szCs w:val="24"/>
    </w:rPr>
  </w:style>
  <w:style w:type="character" w:customStyle="1" w:styleId="569">
    <w:name w:val="标题 4 Char Char"/>
    <w:semiHidden/>
    <w:qFormat/>
    <w:uiPriority w:val="0"/>
    <w:rPr>
      <w:rFonts w:ascii="Arial" w:hAnsi="Arial" w:eastAsia="黑体"/>
      <w:bCs/>
      <w:kern w:val="2"/>
      <w:sz w:val="24"/>
      <w:szCs w:val="28"/>
      <w:lang w:val="en-US" w:eastAsia="zh-CN" w:bidi="ar-SA"/>
    </w:rPr>
  </w:style>
  <w:style w:type="character" w:customStyle="1" w:styleId="570">
    <w:name w:val="t_tag"/>
    <w:semiHidden/>
    <w:qFormat/>
    <w:uiPriority w:val="0"/>
  </w:style>
  <w:style w:type="character" w:customStyle="1" w:styleId="571">
    <w:name w:val="样式 HZZH正文 + 黑体 四号 加粗 Char"/>
    <w:link w:val="572"/>
    <w:qFormat/>
    <w:uiPriority w:val="0"/>
    <w:rPr>
      <w:rFonts w:ascii="黑体" w:hAnsi="黑体" w:cs="宋体"/>
      <w:b/>
      <w:bCs/>
      <w:sz w:val="28"/>
      <w:szCs w:val="24"/>
    </w:rPr>
  </w:style>
  <w:style w:type="paragraph" w:customStyle="1" w:styleId="572">
    <w:name w:val="样式 HZZH正文 + 黑体 四号 加粗"/>
    <w:basedOn w:val="278"/>
    <w:link w:val="571"/>
    <w:qFormat/>
    <w:uiPriority w:val="0"/>
    <w:pPr>
      <w:overflowPunct w:val="0"/>
      <w:ind w:left="420" w:leftChars="100" w:right="100" w:rightChars="100"/>
    </w:pPr>
    <w:rPr>
      <w:rFonts w:ascii="黑体" w:hAnsi="黑体"/>
      <w:b/>
      <w:bCs/>
      <w:kern w:val="0"/>
      <w:sz w:val="28"/>
      <w:szCs w:val="24"/>
    </w:rPr>
  </w:style>
  <w:style w:type="character" w:customStyle="1" w:styleId="573">
    <w:name w:val="表格1 Char"/>
    <w:link w:val="574"/>
    <w:qFormat/>
    <w:uiPriority w:val="0"/>
    <w:rPr>
      <w:rFonts w:ascii="黑体" w:hAnsi="Courier New" w:eastAsia="黑体" w:cs="Courier New"/>
      <w:color w:val="0000FF"/>
      <w:kern w:val="2"/>
      <w:sz w:val="24"/>
      <w:szCs w:val="21"/>
    </w:rPr>
  </w:style>
  <w:style w:type="paragraph" w:customStyle="1" w:styleId="574">
    <w:name w:val="表格1"/>
    <w:basedOn w:val="1"/>
    <w:link w:val="573"/>
    <w:qFormat/>
    <w:uiPriority w:val="0"/>
    <w:pPr>
      <w:autoSpaceDE w:val="0"/>
      <w:autoSpaceDN w:val="0"/>
      <w:adjustRightInd w:val="0"/>
      <w:snapToGrid w:val="0"/>
      <w:spacing w:line="400" w:lineRule="atLeast"/>
      <w:jc w:val="center"/>
    </w:pPr>
    <w:rPr>
      <w:rFonts w:ascii="黑体" w:hAnsi="Courier New" w:eastAsia="黑体"/>
      <w:color w:val="0000FF"/>
      <w:szCs w:val="21"/>
    </w:rPr>
  </w:style>
  <w:style w:type="character" w:customStyle="1" w:styleId="575">
    <w:name w:val="普通文字 Char1"/>
    <w:qFormat/>
    <w:uiPriority w:val="0"/>
    <w:rPr>
      <w:rFonts w:ascii="宋体" w:hAnsi="Courier New" w:eastAsia="宋体" w:cs="Courier New"/>
      <w:kern w:val="2"/>
      <w:sz w:val="24"/>
      <w:szCs w:val="21"/>
      <w:lang w:val="en-US" w:eastAsia="zh-CN" w:bidi="ar-SA"/>
    </w:rPr>
  </w:style>
  <w:style w:type="character" w:customStyle="1" w:styleId="576">
    <w:name w:val="新标题3 Char"/>
    <w:link w:val="577"/>
    <w:qFormat/>
    <w:uiPriority w:val="0"/>
    <w:rPr>
      <w:rFonts w:ascii="宋体" w:hAnsi="宋体" w:cs="宋体"/>
      <w:kern w:val="2"/>
      <w:sz w:val="24"/>
      <w:szCs w:val="24"/>
    </w:rPr>
  </w:style>
  <w:style w:type="paragraph" w:customStyle="1" w:styleId="577">
    <w:name w:val="新标题3"/>
    <w:basedOn w:val="1"/>
    <w:link w:val="576"/>
    <w:qFormat/>
    <w:uiPriority w:val="0"/>
    <w:pPr>
      <w:ind w:firstLine="200" w:firstLineChars="200"/>
    </w:pPr>
    <w:rPr>
      <w:rFonts w:ascii="宋体" w:hAnsi="宋体"/>
    </w:rPr>
  </w:style>
  <w:style w:type="character" w:customStyle="1" w:styleId="578">
    <w:name w:val="环评正文 Char1"/>
    <w:link w:val="579"/>
    <w:qFormat/>
    <w:uiPriority w:val="0"/>
    <w:rPr>
      <w:color w:val="000000"/>
      <w:kern w:val="21"/>
      <w:sz w:val="24"/>
      <w:szCs w:val="24"/>
      <w:lang w:bidi="ar-SA"/>
    </w:rPr>
  </w:style>
  <w:style w:type="paragraph" w:customStyle="1" w:styleId="579">
    <w:name w:val="环评正文"/>
    <w:link w:val="578"/>
    <w:qFormat/>
    <w:uiPriority w:val="0"/>
    <w:pPr>
      <w:spacing w:line="400" w:lineRule="exact"/>
      <w:ind w:firstLine="200" w:firstLineChars="200"/>
    </w:pPr>
    <w:rPr>
      <w:rFonts w:ascii="Times New Roman" w:hAnsi="Times New Roman" w:eastAsia="宋体" w:cs="Times New Roman"/>
      <w:color w:val="000000"/>
      <w:kern w:val="21"/>
      <w:sz w:val="24"/>
      <w:szCs w:val="24"/>
      <w:lang w:val="en-US" w:eastAsia="zh-CN" w:bidi="ar-SA"/>
    </w:rPr>
  </w:style>
  <w:style w:type="character" w:customStyle="1" w:styleId="580">
    <w:name w:val="2级 Char"/>
    <w:link w:val="581"/>
    <w:qFormat/>
    <w:uiPriority w:val="0"/>
    <w:rPr>
      <w:rFonts w:eastAsia="黑体"/>
      <w:b/>
      <w:sz w:val="30"/>
      <w:szCs w:val="30"/>
    </w:rPr>
  </w:style>
  <w:style w:type="paragraph" w:customStyle="1" w:styleId="581">
    <w:name w:val="2级"/>
    <w:basedOn w:val="1"/>
    <w:link w:val="580"/>
    <w:qFormat/>
    <w:uiPriority w:val="0"/>
    <w:pPr>
      <w:widowControl/>
      <w:spacing w:line="360" w:lineRule="auto"/>
      <w:jc w:val="left"/>
      <w:outlineLvl w:val="2"/>
    </w:pPr>
    <w:rPr>
      <w:rFonts w:eastAsia="黑体"/>
      <w:b/>
      <w:kern w:val="0"/>
      <w:sz w:val="30"/>
      <w:szCs w:val="30"/>
    </w:rPr>
  </w:style>
  <w:style w:type="character" w:customStyle="1" w:styleId="582">
    <w:name w:val="标题 1 Char Char Char"/>
    <w:qFormat/>
    <w:uiPriority w:val="0"/>
    <w:rPr>
      <w:rFonts w:ascii="宋体" w:eastAsia="宋体"/>
      <w:b/>
      <w:color w:val="000000"/>
      <w:kern w:val="32"/>
      <w:sz w:val="32"/>
      <w:szCs w:val="32"/>
      <w:lang w:val="en-US" w:eastAsia="zh-CN" w:bidi="ar-SA"/>
    </w:rPr>
  </w:style>
  <w:style w:type="character" w:customStyle="1" w:styleId="583">
    <w:name w:val="正文1 Char"/>
    <w:link w:val="584"/>
    <w:qFormat/>
    <w:uiPriority w:val="0"/>
    <w:rPr>
      <w:b/>
      <w:color w:val="000000"/>
      <w:sz w:val="24"/>
      <w:szCs w:val="24"/>
    </w:rPr>
  </w:style>
  <w:style w:type="paragraph" w:customStyle="1" w:styleId="584">
    <w:name w:val="正文1"/>
    <w:basedOn w:val="44"/>
    <w:link w:val="583"/>
    <w:qFormat/>
    <w:uiPriority w:val="0"/>
    <w:pPr>
      <w:adjustRightInd w:val="0"/>
      <w:snapToGrid w:val="0"/>
      <w:spacing w:line="240" w:lineRule="exact"/>
      <w:ind w:firstLine="435" w:firstLineChars="198"/>
      <w:jc w:val="center"/>
    </w:pPr>
    <w:rPr>
      <w:rFonts w:ascii="Times New Roman" w:hAnsi="Times New Roman"/>
      <w:b/>
      <w:color w:val="000000"/>
      <w:kern w:val="0"/>
      <w:szCs w:val="24"/>
    </w:rPr>
  </w:style>
  <w:style w:type="character" w:customStyle="1" w:styleId="585">
    <w:name w:val="正文文本缩进 2 字符"/>
    <w:qFormat/>
    <w:uiPriority w:val="0"/>
    <w:rPr>
      <w:rFonts w:hint="default" w:ascii="Times New Roman" w:hAnsi="Times New Roman" w:eastAsia="宋体" w:cs="Times New Roman"/>
      <w:sz w:val="28"/>
      <w:szCs w:val="28"/>
    </w:rPr>
  </w:style>
  <w:style w:type="character" w:customStyle="1" w:styleId="586">
    <w:name w:val="样式 宋体 四号"/>
    <w:qFormat/>
    <w:uiPriority w:val="0"/>
    <w:rPr>
      <w:rFonts w:ascii="宋体" w:hAnsi="宋体"/>
      <w:sz w:val="28"/>
      <w:szCs w:val="28"/>
    </w:rPr>
  </w:style>
  <w:style w:type="character" w:customStyle="1" w:styleId="587">
    <w:name w:val="图片名 字符1"/>
    <w:link w:val="588"/>
    <w:qFormat/>
    <w:uiPriority w:val="0"/>
    <w:rPr>
      <w:rFonts w:ascii="Times New Roman" w:hAnsi="Times New Roman" w:eastAsia="宋体"/>
      <w:b/>
      <w:kern w:val="2"/>
      <w:sz w:val="24"/>
      <w:szCs w:val="24"/>
    </w:rPr>
  </w:style>
  <w:style w:type="paragraph" w:customStyle="1" w:styleId="588">
    <w:name w:val="图片名"/>
    <w:basedOn w:val="1"/>
    <w:link w:val="587"/>
    <w:qFormat/>
    <w:uiPriority w:val="0"/>
    <w:pPr>
      <w:numPr>
        <w:ilvl w:val="5"/>
        <w:numId w:val="1"/>
      </w:numPr>
      <w:adjustRightInd w:val="0"/>
      <w:snapToGrid w:val="0"/>
      <w:spacing w:line="360" w:lineRule="auto"/>
      <w:ind w:left="0" w:firstLine="0"/>
      <w:jc w:val="center"/>
    </w:pPr>
    <w:rPr>
      <w:rFonts w:ascii="Times New Roman" w:hAnsi="Times New Roman" w:eastAsia="宋体"/>
      <w:b/>
    </w:rPr>
  </w:style>
  <w:style w:type="character" w:customStyle="1" w:styleId="589">
    <w:name w:val="2我的样式 Char"/>
    <w:link w:val="590"/>
    <w:qFormat/>
    <w:uiPriority w:val="0"/>
    <w:rPr>
      <w:b/>
      <w:sz w:val="28"/>
      <w:szCs w:val="28"/>
    </w:rPr>
  </w:style>
  <w:style w:type="paragraph" w:customStyle="1" w:styleId="590">
    <w:name w:val="2我的样式"/>
    <w:basedOn w:val="1"/>
    <w:link w:val="589"/>
    <w:qFormat/>
    <w:uiPriority w:val="0"/>
    <w:pPr>
      <w:widowControl/>
      <w:spacing w:line="276" w:lineRule="auto"/>
      <w:jc w:val="left"/>
    </w:pPr>
    <w:rPr>
      <w:b/>
      <w:kern w:val="0"/>
      <w:sz w:val="28"/>
      <w:szCs w:val="28"/>
    </w:rPr>
  </w:style>
  <w:style w:type="character" w:customStyle="1" w:styleId="591">
    <w:name w:val="Char Char8"/>
    <w:qFormat/>
    <w:uiPriority w:val="0"/>
    <w:rPr>
      <w:rFonts w:eastAsia="宋体"/>
      <w:kern w:val="2"/>
      <w:sz w:val="21"/>
      <w:szCs w:val="24"/>
      <w:lang w:val="en-US" w:eastAsia="zh-CN" w:bidi="ar-SA"/>
    </w:rPr>
  </w:style>
  <w:style w:type="character" w:customStyle="1" w:styleId="592">
    <w:name w:val="首行缩进:  2 字符 Char"/>
    <w:link w:val="593"/>
    <w:qFormat/>
    <w:uiPriority w:val="0"/>
    <w:rPr>
      <w:rFonts w:ascii="宋体"/>
      <w:sz w:val="24"/>
      <w:szCs w:val="24"/>
    </w:rPr>
  </w:style>
  <w:style w:type="paragraph" w:customStyle="1" w:styleId="593">
    <w:name w:val="首行缩进:  2 字符"/>
    <w:basedOn w:val="1"/>
    <w:next w:val="1"/>
    <w:link w:val="592"/>
    <w:qFormat/>
    <w:uiPriority w:val="0"/>
    <w:pPr>
      <w:autoSpaceDE w:val="0"/>
      <w:autoSpaceDN w:val="0"/>
      <w:adjustRightInd w:val="0"/>
      <w:spacing w:before="60" w:after="60"/>
      <w:jc w:val="left"/>
    </w:pPr>
    <w:rPr>
      <w:rFonts w:ascii="宋体"/>
      <w:kern w:val="0"/>
    </w:rPr>
  </w:style>
  <w:style w:type="character" w:customStyle="1" w:styleId="594">
    <w:name w:val="Char Char Char Char1 Char1 Char2"/>
    <w:qFormat/>
    <w:uiPriority w:val="0"/>
    <w:rPr>
      <w:rFonts w:eastAsia="宋体"/>
      <w:kern w:val="2"/>
      <w:sz w:val="24"/>
      <w:szCs w:val="24"/>
      <w:lang w:val="en-US" w:eastAsia="zh-CN" w:bidi="ar-SA"/>
    </w:rPr>
  </w:style>
  <w:style w:type="character" w:customStyle="1" w:styleId="595">
    <w:name w:val="Char1 Char1"/>
    <w:qFormat/>
    <w:uiPriority w:val="0"/>
    <w:rPr>
      <w:rFonts w:hint="default" w:ascii="Times New Roman" w:hAnsi="Times New Roman" w:eastAsia="宋体" w:cs="Times New Roman"/>
      <w:b/>
      <w:bCs/>
      <w:sz w:val="28"/>
      <w:szCs w:val="28"/>
    </w:rPr>
  </w:style>
  <w:style w:type="character" w:customStyle="1" w:styleId="596">
    <w:name w:val=" Char Char Char Char1"/>
    <w:qFormat/>
    <w:uiPriority w:val="0"/>
    <w:rPr>
      <w:rFonts w:eastAsia="宋体"/>
      <w:color w:val="000000"/>
      <w:kern w:val="2"/>
      <w:sz w:val="24"/>
      <w:szCs w:val="24"/>
      <w:lang w:val="en-US" w:eastAsia="zh-CN" w:bidi="ar-SA"/>
    </w:rPr>
  </w:style>
  <w:style w:type="character" w:customStyle="1" w:styleId="597">
    <w:name w:val="表格文字图表文字 Char"/>
    <w:link w:val="598"/>
    <w:qFormat/>
    <w:uiPriority w:val="0"/>
    <w:rPr>
      <w:rFonts w:ascii="宋体" w:hAnsi="宋体"/>
      <w:kern w:val="2"/>
      <w:sz w:val="21"/>
      <w:szCs w:val="28"/>
    </w:rPr>
  </w:style>
  <w:style w:type="paragraph" w:customStyle="1" w:styleId="598">
    <w:name w:val="表格文字图表文字"/>
    <w:basedOn w:val="1"/>
    <w:link w:val="597"/>
    <w:qFormat/>
    <w:uiPriority w:val="0"/>
    <w:pPr>
      <w:snapToGrid w:val="0"/>
      <w:jc w:val="center"/>
    </w:pPr>
    <w:rPr>
      <w:rFonts w:ascii="宋体" w:hAnsi="宋体"/>
      <w:sz w:val="21"/>
      <w:szCs w:val="28"/>
    </w:rPr>
  </w:style>
  <w:style w:type="character" w:customStyle="1" w:styleId="599">
    <w:name w:val="列出段落 字符1"/>
    <w:link w:val="600"/>
    <w:qFormat/>
    <w:uiPriority w:val="34"/>
    <w:rPr>
      <w:kern w:val="2"/>
      <w:sz w:val="24"/>
      <w:szCs w:val="24"/>
    </w:rPr>
  </w:style>
  <w:style w:type="paragraph" w:styleId="600">
    <w:name w:val="List Paragraph"/>
    <w:basedOn w:val="1"/>
    <w:link w:val="599"/>
    <w:qFormat/>
    <w:uiPriority w:val="34"/>
    <w:pPr>
      <w:ind w:firstLine="420" w:firstLineChars="200"/>
    </w:pPr>
  </w:style>
  <w:style w:type="character" w:customStyle="1" w:styleId="601">
    <w:name w:val="纯文本1"/>
    <w:qFormat/>
    <w:uiPriority w:val="0"/>
    <w:rPr>
      <w:rFonts w:ascii="宋体" w:hAnsi="Courier New" w:eastAsia="宋体"/>
      <w:kern w:val="2"/>
      <w:sz w:val="28"/>
      <w:lang w:val="en-US" w:eastAsia="zh-CN" w:bidi="ar-SA"/>
    </w:rPr>
  </w:style>
  <w:style w:type="character" w:customStyle="1" w:styleId="602">
    <w:name w:val="正文+缩 Char"/>
    <w:link w:val="603"/>
    <w:qFormat/>
    <w:uiPriority w:val="0"/>
    <w:rPr>
      <w:rFonts w:cs="宋体"/>
      <w:color w:val="000000"/>
      <w:sz w:val="24"/>
      <w:szCs w:val="24"/>
    </w:rPr>
  </w:style>
  <w:style w:type="paragraph" w:customStyle="1" w:styleId="603">
    <w:name w:val="正文+缩"/>
    <w:basedOn w:val="1"/>
    <w:link w:val="602"/>
    <w:qFormat/>
    <w:uiPriority w:val="0"/>
    <w:pPr>
      <w:autoSpaceDE w:val="0"/>
      <w:autoSpaceDN w:val="0"/>
      <w:ind w:firstLine="200" w:firstLineChars="200"/>
      <w:jc w:val="left"/>
    </w:pPr>
    <w:rPr>
      <w:color w:val="000000"/>
      <w:kern w:val="0"/>
    </w:rPr>
  </w:style>
  <w:style w:type="character" w:customStyle="1" w:styleId="604">
    <w:name w:val="纯文本 Char Char"/>
    <w:qFormat/>
    <w:uiPriority w:val="0"/>
    <w:rPr>
      <w:rFonts w:ascii="宋体" w:hAnsi="Courier New" w:eastAsia="宋体" w:cs="Courier New"/>
      <w:kern w:val="2"/>
      <w:sz w:val="21"/>
      <w:szCs w:val="21"/>
      <w:lang w:val="en-US" w:eastAsia="zh-CN" w:bidi="ar-SA"/>
    </w:rPr>
  </w:style>
  <w:style w:type="character" w:customStyle="1" w:styleId="605">
    <w:name w:val="表格内容 Char Char Char Char Char"/>
    <w:qFormat/>
    <w:uiPriority w:val="0"/>
    <w:rPr>
      <w:rFonts w:ascii="宋体" w:hAnsi="宋体"/>
      <w:snapToGrid w:val="0"/>
      <w:color w:val="0000FF"/>
      <w:sz w:val="21"/>
      <w:szCs w:val="24"/>
    </w:rPr>
  </w:style>
  <w:style w:type="character" w:customStyle="1" w:styleId="606">
    <w:name w:val="标题 9 Char1"/>
    <w:semiHidden/>
    <w:qFormat/>
    <w:uiPriority w:val="0"/>
    <w:rPr>
      <w:rFonts w:ascii="Cambria" w:hAnsi="Cambria" w:eastAsia="宋体" w:cs="Times New Roman"/>
      <w:sz w:val="21"/>
      <w:szCs w:val="21"/>
    </w:rPr>
  </w:style>
  <w:style w:type="character" w:customStyle="1" w:styleId="607">
    <w:name w:val="表内左齐 Char Char"/>
    <w:qFormat/>
    <w:uiPriority w:val="0"/>
    <w:rPr>
      <w:rFonts w:eastAsia="宋体"/>
      <w:color w:val="000000"/>
      <w:kern w:val="2"/>
      <w:sz w:val="24"/>
      <w:szCs w:val="21"/>
      <w:lang w:val="en-US" w:eastAsia="zh-CN" w:bidi="ar-SA"/>
    </w:rPr>
  </w:style>
  <w:style w:type="character" w:customStyle="1" w:styleId="608">
    <w:name w:val="1表格 Char"/>
    <w:link w:val="609"/>
    <w:qFormat/>
    <w:uiPriority w:val="0"/>
    <w:rPr>
      <w:b/>
      <w:sz w:val="24"/>
      <w:szCs w:val="24"/>
    </w:rPr>
  </w:style>
  <w:style w:type="paragraph" w:customStyle="1" w:styleId="609">
    <w:name w:val="1表格"/>
    <w:basedOn w:val="1"/>
    <w:link w:val="608"/>
    <w:qFormat/>
    <w:uiPriority w:val="0"/>
    <w:pPr>
      <w:widowControl/>
      <w:jc w:val="center"/>
    </w:pPr>
    <w:rPr>
      <w:b/>
      <w:kern w:val="0"/>
    </w:rPr>
  </w:style>
  <w:style w:type="character" w:customStyle="1" w:styleId="610">
    <w:name w:val="正文1 Char Char Char"/>
    <w:link w:val="611"/>
    <w:qFormat/>
    <w:uiPriority w:val="0"/>
    <w:rPr>
      <w:kern w:val="2"/>
      <w:sz w:val="21"/>
      <w:szCs w:val="21"/>
    </w:rPr>
  </w:style>
  <w:style w:type="paragraph" w:customStyle="1" w:styleId="611">
    <w:name w:val="正文1 Char Char"/>
    <w:basedOn w:val="44"/>
    <w:link w:val="610"/>
    <w:qFormat/>
    <w:uiPriority w:val="0"/>
    <w:pPr>
      <w:snapToGrid w:val="0"/>
      <w:jc w:val="center"/>
    </w:pPr>
    <w:rPr>
      <w:rFonts w:ascii="Times New Roman" w:hAnsi="Times New Roman"/>
      <w:sz w:val="21"/>
      <w:lang w:val="en-US" w:eastAsia="zh-CN"/>
    </w:rPr>
  </w:style>
  <w:style w:type="character" w:customStyle="1" w:styleId="612">
    <w:name w:val="我的正文样式lhm Char"/>
    <w:link w:val="613"/>
    <w:qFormat/>
    <w:uiPriority w:val="0"/>
    <w:rPr>
      <w:rFonts w:ascii="宋体" w:hAnsi="宋体" w:eastAsia="仿宋_GB2312"/>
      <w:color w:val="000000"/>
      <w:kern w:val="2"/>
      <w:sz w:val="28"/>
      <w:szCs w:val="28"/>
    </w:rPr>
  </w:style>
  <w:style w:type="paragraph" w:customStyle="1" w:styleId="613">
    <w:name w:val="我的正文样式lhm"/>
    <w:basedOn w:val="1"/>
    <w:link w:val="612"/>
    <w:qFormat/>
    <w:uiPriority w:val="0"/>
    <w:pPr>
      <w:spacing w:line="620" w:lineRule="exact"/>
      <w:ind w:firstLine="538" w:firstLineChars="192"/>
    </w:pPr>
    <w:rPr>
      <w:rFonts w:ascii="宋体" w:hAnsi="宋体" w:eastAsia="仿宋_GB2312"/>
      <w:color w:val="000000"/>
      <w:sz w:val="28"/>
      <w:szCs w:val="28"/>
    </w:rPr>
  </w:style>
  <w:style w:type="character" w:customStyle="1" w:styleId="614">
    <w:name w:val="样式 纯文本纯文本 Char Char Char Char Char纯文本 Char Char Char Char Char... Char"/>
    <w:link w:val="615"/>
    <w:qFormat/>
    <w:uiPriority w:val="0"/>
    <w:rPr>
      <w:rFonts w:ascii="宋体" w:hAnsi="Courier New" w:cs="Courier New"/>
      <w:color w:val="FF0000"/>
      <w:kern w:val="2"/>
      <w:sz w:val="24"/>
      <w:szCs w:val="21"/>
    </w:rPr>
  </w:style>
  <w:style w:type="paragraph" w:customStyle="1" w:styleId="615">
    <w:name w:val="样式 纯文本纯文本 Char Char Char Char Char纯文本 Char Char Char Char Char..."/>
    <w:basedOn w:val="44"/>
    <w:link w:val="614"/>
    <w:qFormat/>
    <w:uiPriority w:val="0"/>
    <w:pPr>
      <w:spacing w:line="480" w:lineRule="exact"/>
    </w:pPr>
    <w:rPr>
      <w:rFonts w:cs="Courier New"/>
      <w:color w:val="FF0000"/>
      <w:lang w:val="en-US" w:eastAsia="zh-CN"/>
    </w:rPr>
  </w:style>
  <w:style w:type="character" w:customStyle="1" w:styleId="616">
    <w:name w:val="正文文本 3 Char1"/>
    <w:semiHidden/>
    <w:qFormat/>
    <w:uiPriority w:val="0"/>
    <w:rPr>
      <w:rFonts w:ascii="宋体" w:hAnsi="宋体" w:cs="宋体"/>
      <w:sz w:val="16"/>
      <w:szCs w:val="16"/>
    </w:rPr>
  </w:style>
  <w:style w:type="character" w:customStyle="1" w:styleId="617">
    <w:name w:val="副标题 Char1"/>
    <w:qFormat/>
    <w:uiPriority w:val="11"/>
    <w:rPr>
      <w:rFonts w:ascii="Cambria" w:hAnsi="Cambria" w:eastAsia="宋体" w:cs="Times New Roman"/>
      <w:b/>
      <w:bCs/>
      <w:kern w:val="28"/>
      <w:sz w:val="32"/>
      <w:szCs w:val="32"/>
    </w:rPr>
  </w:style>
  <w:style w:type="character" w:customStyle="1" w:styleId="618">
    <w:name w:val="表格 Char Char Char"/>
    <w:link w:val="619"/>
    <w:qFormat/>
    <w:uiPriority w:val="0"/>
    <w:rPr>
      <w:kern w:val="2"/>
      <w:sz w:val="21"/>
    </w:rPr>
  </w:style>
  <w:style w:type="paragraph" w:customStyle="1" w:styleId="619">
    <w:name w:val="表格 Char Char"/>
    <w:basedOn w:val="1"/>
    <w:link w:val="618"/>
    <w:qFormat/>
    <w:uiPriority w:val="0"/>
    <w:rPr>
      <w:sz w:val="21"/>
      <w:szCs w:val="20"/>
    </w:rPr>
  </w:style>
  <w:style w:type="character" w:customStyle="1" w:styleId="620">
    <w:name w:val="标题 8 字符"/>
    <w:qFormat/>
    <w:uiPriority w:val="0"/>
    <w:rPr>
      <w:rFonts w:hint="default" w:ascii="Cambria" w:hAnsi="Cambria" w:eastAsia="宋体" w:cs="Times New Roman"/>
      <w:sz w:val="24"/>
      <w:szCs w:val="24"/>
    </w:rPr>
  </w:style>
  <w:style w:type="character" w:customStyle="1" w:styleId="621">
    <w:name w:val="8 Char1 Char Char"/>
    <w:qFormat/>
    <w:uiPriority w:val="0"/>
    <w:rPr>
      <w:rFonts w:eastAsia="宋体"/>
      <w:kern w:val="10"/>
      <w:sz w:val="24"/>
      <w:szCs w:val="24"/>
      <w:lang w:val="en-US" w:eastAsia="zh-CN" w:bidi="ar-SA"/>
    </w:rPr>
  </w:style>
  <w:style w:type="character" w:customStyle="1" w:styleId="622">
    <w:name w:val="样式2 Char Char Char Char Char Char"/>
    <w:link w:val="623"/>
    <w:qFormat/>
    <w:uiPriority w:val="0"/>
    <w:rPr>
      <w:kern w:val="2"/>
      <w:sz w:val="24"/>
      <w:szCs w:val="24"/>
    </w:rPr>
  </w:style>
  <w:style w:type="paragraph" w:customStyle="1" w:styleId="623">
    <w:name w:val="样式2 Char Char Char Char Char"/>
    <w:basedOn w:val="1"/>
    <w:link w:val="622"/>
    <w:qFormat/>
    <w:uiPriority w:val="0"/>
  </w:style>
  <w:style w:type="character" w:customStyle="1" w:styleId="624">
    <w:name w:val="样式 正文首行缩进 2 Char Char1"/>
    <w:qFormat/>
    <w:uiPriority w:val="0"/>
    <w:rPr>
      <w:rFonts w:eastAsia="宋体"/>
      <w:bCs/>
      <w:color w:val="000000"/>
      <w:kern w:val="2"/>
      <w:sz w:val="28"/>
      <w:szCs w:val="28"/>
      <w:lang w:val="en-US" w:eastAsia="zh-CN" w:bidi="ar-SA"/>
    </w:rPr>
  </w:style>
  <w:style w:type="character" w:customStyle="1" w:styleId="625">
    <w:name w:val="标题5 Char"/>
    <w:link w:val="626"/>
    <w:qFormat/>
    <w:uiPriority w:val="0"/>
    <w:rPr>
      <w:rFonts w:ascii="黑体" w:hAnsi="宋体" w:eastAsia="黑体" w:cs="Courier New"/>
      <w:b/>
      <w:sz w:val="28"/>
      <w:szCs w:val="28"/>
    </w:rPr>
  </w:style>
  <w:style w:type="paragraph" w:customStyle="1" w:styleId="626">
    <w:name w:val="标题5"/>
    <w:basedOn w:val="395"/>
    <w:link w:val="625"/>
    <w:qFormat/>
    <w:uiPriority w:val="0"/>
    <w:pPr>
      <w:spacing w:line="480" w:lineRule="exact"/>
      <w:ind w:firstLine="560" w:firstLineChars="200"/>
      <w:jc w:val="center"/>
    </w:pPr>
    <w:rPr>
      <w:rFonts w:ascii="黑体" w:hAnsi="宋体" w:eastAsia="黑体"/>
      <w:b/>
      <w:kern w:val="0"/>
      <w:sz w:val="28"/>
      <w:szCs w:val="28"/>
    </w:rPr>
  </w:style>
  <w:style w:type="character" w:customStyle="1" w:styleId="627">
    <w:name w:val="样式4 Char Char Char"/>
    <w:link w:val="628"/>
    <w:qFormat/>
    <w:uiPriority w:val="0"/>
    <w:rPr>
      <w:i/>
      <w:kern w:val="2"/>
      <w:sz w:val="18"/>
      <w:szCs w:val="18"/>
    </w:rPr>
  </w:style>
  <w:style w:type="paragraph" w:customStyle="1" w:styleId="628">
    <w:name w:val="样式4 Char Char"/>
    <w:basedOn w:val="56"/>
    <w:link w:val="627"/>
    <w:qFormat/>
    <w:uiPriority w:val="0"/>
    <w:pPr>
      <w:pBdr>
        <w:bottom w:val="thinThickSmallGap" w:color="auto" w:sz="18" w:space="1"/>
      </w:pBdr>
    </w:pPr>
    <w:rPr>
      <w:i/>
      <w:lang w:val="en-US" w:eastAsia="zh-CN"/>
    </w:rPr>
  </w:style>
  <w:style w:type="character" w:customStyle="1" w:styleId="629">
    <w:name w:val="正文文本缩进 Char Char"/>
    <w:qFormat/>
    <w:uiPriority w:val="0"/>
    <w:rPr>
      <w:rFonts w:eastAsia="宋体"/>
      <w:kern w:val="2"/>
      <w:sz w:val="21"/>
      <w:szCs w:val="24"/>
      <w:lang w:val="en-US" w:eastAsia="zh-CN" w:bidi="ar-SA"/>
    </w:rPr>
  </w:style>
  <w:style w:type="character" w:customStyle="1" w:styleId="630">
    <w:name w:val="默认段落字体1"/>
    <w:qFormat/>
    <w:uiPriority w:val="0"/>
  </w:style>
  <w:style w:type="character" w:customStyle="1" w:styleId="631">
    <w:name w:val="th_text"/>
    <w:qFormat/>
    <w:uiPriority w:val="0"/>
  </w:style>
  <w:style w:type="character" w:customStyle="1" w:styleId="632">
    <w:name w:val="font9black"/>
    <w:qFormat/>
    <w:uiPriority w:val="0"/>
  </w:style>
  <w:style w:type="character" w:customStyle="1" w:styleId="633">
    <w:name w:val="表名 Char"/>
    <w:link w:val="634"/>
    <w:qFormat/>
    <w:uiPriority w:val="0"/>
    <w:rPr>
      <w:rFonts w:ascii="宋体" w:hAnsi="Courier New" w:eastAsia="仿宋_GB2312" w:cs="Courier New"/>
      <w:b/>
      <w:kern w:val="2"/>
      <w:sz w:val="28"/>
      <w:szCs w:val="21"/>
    </w:rPr>
  </w:style>
  <w:style w:type="paragraph" w:customStyle="1" w:styleId="634">
    <w:name w:val="表名"/>
    <w:basedOn w:val="44"/>
    <w:link w:val="633"/>
    <w:qFormat/>
    <w:uiPriority w:val="0"/>
    <w:pPr>
      <w:jc w:val="center"/>
    </w:pPr>
    <w:rPr>
      <w:rFonts w:eastAsia="仿宋_GB2312"/>
      <w:b/>
      <w:sz w:val="28"/>
    </w:rPr>
  </w:style>
  <w:style w:type="character" w:customStyle="1" w:styleId="635">
    <w:name w:val="样式 报告书正文 + 倾斜 居中 底端: (粗-细窄间隔 自动设置  3 磅 行宽) Char"/>
    <w:link w:val="636"/>
    <w:qFormat/>
    <w:uiPriority w:val="0"/>
    <w:rPr>
      <w:rFonts w:cs="宋体"/>
      <w:i/>
      <w:iCs/>
      <w:kern w:val="2"/>
      <w:sz w:val="24"/>
    </w:rPr>
  </w:style>
  <w:style w:type="paragraph" w:customStyle="1" w:styleId="636">
    <w:name w:val="样式 报告书正文 + 倾斜 居中 底端: (粗-细窄间隔 自动设置  3 磅 行宽)"/>
    <w:basedOn w:val="1"/>
    <w:link w:val="635"/>
    <w:qFormat/>
    <w:uiPriority w:val="0"/>
    <w:pPr>
      <w:adjustRightInd w:val="0"/>
      <w:snapToGrid w:val="0"/>
      <w:spacing w:line="400" w:lineRule="atLeast"/>
      <w:ind w:firstLine="567"/>
      <w:jc w:val="center"/>
    </w:pPr>
    <w:rPr>
      <w:i/>
      <w:iCs/>
      <w:szCs w:val="20"/>
    </w:rPr>
  </w:style>
  <w:style w:type="character" w:customStyle="1" w:styleId="637">
    <w:name w:val="正文文字缩进2字符 Char Char Char Char Char Char Char"/>
    <w:qFormat/>
    <w:uiPriority w:val="0"/>
    <w:rPr>
      <w:rFonts w:eastAsia="宋体"/>
      <w:color w:val="000000"/>
      <w:kern w:val="2"/>
      <w:sz w:val="24"/>
      <w:szCs w:val="24"/>
      <w:lang w:val="en-US" w:eastAsia="zh-CN" w:bidi="ar-SA"/>
    </w:rPr>
  </w:style>
  <w:style w:type="character" w:customStyle="1" w:styleId="638">
    <w:name w:val=" Char Char Char Char Char Char Char Char Char Char Char Char Char Char Char Char Char Char Char Char"/>
    <w:semiHidden/>
    <w:qFormat/>
    <w:uiPriority w:val="0"/>
    <w:rPr>
      <w:rFonts w:ascii="Times New Roman" w:hAnsi="Times New Roman" w:eastAsia="宋体" w:cs="Times New Roman"/>
      <w:sz w:val="24"/>
      <w:szCs w:val="24"/>
    </w:rPr>
  </w:style>
  <w:style w:type="character" w:customStyle="1" w:styleId="639">
    <w:name w:val="1.1.1 Char"/>
    <w:qFormat/>
    <w:uiPriority w:val="0"/>
    <w:rPr>
      <w:rFonts w:ascii="黑体" w:eastAsia="黑体"/>
      <w:b/>
      <w:bCs/>
      <w:color w:val="000000"/>
      <w:kern w:val="2"/>
      <w:sz w:val="24"/>
      <w:szCs w:val="24"/>
      <w:lang w:val="zh-CN" w:eastAsia="zh-CN" w:bidi="ar-SA"/>
    </w:rPr>
  </w:style>
  <w:style w:type="character" w:customStyle="1" w:styleId="640">
    <w:name w:val="标题 2 Char1"/>
    <w:qFormat/>
    <w:uiPriority w:val="0"/>
    <w:rPr>
      <w:rFonts w:ascii="Arial" w:hAnsi="Arial" w:eastAsia="黑体"/>
      <w:b/>
      <w:bCs/>
      <w:kern w:val="2"/>
      <w:sz w:val="32"/>
      <w:szCs w:val="32"/>
    </w:rPr>
  </w:style>
  <w:style w:type="character" w:customStyle="1" w:styleId="641">
    <w:name w:val=" Char Char16"/>
    <w:qFormat/>
    <w:uiPriority w:val="0"/>
    <w:rPr>
      <w:rFonts w:ascii="Arial" w:hAnsi="Arial" w:eastAsia="黑体" w:cs="Arial"/>
      <w:b/>
      <w:bCs/>
      <w:kern w:val="2"/>
      <w:sz w:val="24"/>
      <w:szCs w:val="24"/>
      <w:lang w:val="en-US" w:eastAsia="zh-CN" w:bidi="ar-SA"/>
    </w:rPr>
  </w:style>
  <w:style w:type="character" w:customStyle="1" w:styleId="642">
    <w:name w:val="tpc_content"/>
    <w:qFormat/>
    <w:uiPriority w:val="0"/>
  </w:style>
  <w:style w:type="character" w:customStyle="1" w:styleId="643">
    <w:name w:val="latinname1"/>
    <w:qFormat/>
    <w:uiPriority w:val="0"/>
    <w:rPr>
      <w:i/>
      <w:iCs/>
    </w:rPr>
  </w:style>
  <w:style w:type="character" w:customStyle="1" w:styleId="644">
    <w:name w:val="wz141"/>
    <w:qFormat/>
    <w:uiPriority w:val="0"/>
    <w:rPr>
      <w:rFonts w:hint="default" w:ascii="Arial" w:hAnsi="Arial" w:cs="Arial"/>
      <w:color w:val="245182"/>
      <w:sz w:val="28"/>
      <w:szCs w:val="28"/>
    </w:rPr>
  </w:style>
  <w:style w:type="character" w:customStyle="1" w:styleId="645">
    <w:name w:val="Char Char16"/>
    <w:semiHidden/>
    <w:qFormat/>
    <w:uiPriority w:val="0"/>
    <w:rPr>
      <w:rFonts w:ascii="Arial" w:hAnsi="Arial" w:eastAsia="黑体" w:cs="Arial"/>
      <w:b/>
      <w:bCs/>
      <w:kern w:val="2"/>
      <w:sz w:val="24"/>
      <w:szCs w:val="24"/>
      <w:lang w:val="en-US" w:eastAsia="zh-CN" w:bidi="ar-SA"/>
    </w:rPr>
  </w:style>
  <w:style w:type="character" w:customStyle="1" w:styleId="646">
    <w:name w:val="标题 8 Char1"/>
    <w:qFormat/>
    <w:uiPriority w:val="0"/>
    <w:rPr>
      <w:rFonts w:ascii="Cambria" w:hAnsi="Cambria" w:eastAsia="宋体" w:cs="Times New Roman"/>
      <w:sz w:val="24"/>
      <w:szCs w:val="24"/>
    </w:rPr>
  </w:style>
  <w:style w:type="character" w:customStyle="1" w:styleId="647">
    <w:name w:val="8 Char Char Char Char"/>
    <w:qFormat/>
    <w:uiPriority w:val="0"/>
    <w:rPr>
      <w:rFonts w:eastAsia="宋体"/>
      <w:kern w:val="10"/>
      <w:sz w:val="24"/>
      <w:szCs w:val="24"/>
      <w:lang w:val="en-US" w:eastAsia="zh-CN" w:bidi="ar-SA"/>
    </w:rPr>
  </w:style>
  <w:style w:type="character" w:customStyle="1" w:styleId="648">
    <w:name w:val="标题 3 + 段前: 0.2 行 段后: 0.2 行 Char Char"/>
    <w:link w:val="649"/>
    <w:qFormat/>
    <w:uiPriority w:val="0"/>
    <w:rPr>
      <w:b/>
      <w:bCs/>
      <w:color w:val="000000"/>
      <w:kern w:val="2"/>
      <w:sz w:val="24"/>
      <w:szCs w:val="21"/>
    </w:rPr>
  </w:style>
  <w:style w:type="paragraph" w:customStyle="1" w:styleId="649">
    <w:name w:val="标题 3 + 段前: 0.2 行 段后: 0.2 行 Char"/>
    <w:basedOn w:val="5"/>
    <w:link w:val="648"/>
    <w:qFormat/>
    <w:uiPriority w:val="0"/>
    <w:pPr>
      <w:widowControl/>
      <w:numPr>
        <w:ilvl w:val="2"/>
        <w:numId w:val="0"/>
      </w:numPr>
      <w:adjustRightInd w:val="0"/>
      <w:snapToGrid w:val="0"/>
      <w:spacing w:before="20" w:beforeLines="20" w:after="20" w:afterLines="20"/>
      <w:ind w:left="-108"/>
      <w:jc w:val="left"/>
    </w:pPr>
    <w:rPr>
      <w:color w:val="000000"/>
      <w:sz w:val="24"/>
      <w:szCs w:val="21"/>
    </w:rPr>
  </w:style>
  <w:style w:type="character" w:customStyle="1" w:styleId="650">
    <w:name w:val="表名 Char Char Char"/>
    <w:link w:val="651"/>
    <w:qFormat/>
    <w:uiPriority w:val="0"/>
    <w:rPr>
      <w:rFonts w:ascii="宋体" w:hAnsi="Courier New" w:eastAsia="仿宋_GB2312"/>
      <w:b/>
      <w:kern w:val="2"/>
      <w:sz w:val="28"/>
    </w:rPr>
  </w:style>
  <w:style w:type="paragraph" w:customStyle="1" w:styleId="651">
    <w:name w:val="表名 Char Char"/>
    <w:basedOn w:val="1"/>
    <w:link w:val="650"/>
    <w:semiHidden/>
    <w:qFormat/>
    <w:uiPriority w:val="0"/>
    <w:pPr>
      <w:jc w:val="center"/>
    </w:pPr>
    <w:rPr>
      <w:rFonts w:ascii="宋体" w:hAnsi="Courier New" w:eastAsia="仿宋_GB2312"/>
      <w:b/>
      <w:sz w:val="28"/>
      <w:szCs w:val="20"/>
    </w:rPr>
  </w:style>
  <w:style w:type="character" w:customStyle="1" w:styleId="652">
    <w:name w:val="itemsmalllable1"/>
    <w:qFormat/>
    <w:uiPriority w:val="0"/>
    <w:rPr>
      <w:color w:val="003300"/>
      <w:sz w:val="18"/>
      <w:szCs w:val="18"/>
    </w:rPr>
  </w:style>
  <w:style w:type="character" w:customStyle="1" w:styleId="653">
    <w:name w:val="Char Char15"/>
    <w:qFormat/>
    <w:uiPriority w:val="0"/>
    <w:rPr>
      <w:rFonts w:ascii="宋体" w:hAnsi="Courier New" w:eastAsia="宋体" w:cs="Courier New"/>
      <w:kern w:val="2"/>
      <w:sz w:val="21"/>
      <w:szCs w:val="21"/>
      <w:lang w:val="en-US" w:eastAsia="zh-CN" w:bidi="ar-SA"/>
    </w:rPr>
  </w:style>
  <w:style w:type="character" w:customStyle="1" w:styleId="654">
    <w:name w:val="副标题 字符"/>
    <w:qFormat/>
    <w:uiPriority w:val="0"/>
    <w:rPr>
      <w:b/>
      <w:bCs/>
      <w:kern w:val="28"/>
      <w:sz w:val="32"/>
      <w:szCs w:val="32"/>
    </w:rPr>
  </w:style>
  <w:style w:type="character" w:customStyle="1" w:styleId="655">
    <w:name w:val="标题 4 字符"/>
    <w:qFormat/>
    <w:uiPriority w:val="0"/>
    <w:rPr>
      <w:rFonts w:hint="default" w:ascii="Cambria" w:hAnsi="Cambria" w:eastAsia="宋体" w:cs="Times New Roman"/>
      <w:b/>
      <w:bCs/>
      <w:sz w:val="28"/>
      <w:szCs w:val="28"/>
    </w:rPr>
  </w:style>
  <w:style w:type="character" w:customStyle="1" w:styleId="656">
    <w:name w:val="haydonli Char Char Char"/>
    <w:link w:val="657"/>
    <w:qFormat/>
    <w:uiPriority w:val="0"/>
    <w:rPr>
      <w:kern w:val="2"/>
      <w:sz w:val="24"/>
      <w:szCs w:val="21"/>
    </w:rPr>
  </w:style>
  <w:style w:type="paragraph" w:customStyle="1" w:styleId="657">
    <w:name w:val="haydonli Char Char"/>
    <w:basedOn w:val="1"/>
    <w:link w:val="656"/>
    <w:qFormat/>
    <w:uiPriority w:val="0"/>
    <w:pPr>
      <w:snapToGrid w:val="0"/>
      <w:spacing w:line="360" w:lineRule="auto"/>
      <w:ind w:firstLine="200" w:firstLineChars="200"/>
    </w:pPr>
    <w:rPr>
      <w:szCs w:val="21"/>
    </w:rPr>
  </w:style>
  <w:style w:type="character" w:customStyle="1" w:styleId="658">
    <w:name w:val="页脚 Char2"/>
    <w:qFormat/>
    <w:uiPriority w:val="0"/>
    <w:rPr>
      <w:rFonts w:eastAsia="宋体"/>
      <w:kern w:val="2"/>
      <w:sz w:val="18"/>
      <w:szCs w:val="18"/>
      <w:lang w:val="en-US" w:eastAsia="zh-CN" w:bidi="ar-SA"/>
    </w:rPr>
  </w:style>
  <w:style w:type="character" w:customStyle="1" w:styleId="659">
    <w:name w:val="样式 宋体 小四 行距: 固定值 26 磅 Char"/>
    <w:link w:val="660"/>
    <w:qFormat/>
    <w:uiPriority w:val="0"/>
    <w:rPr>
      <w:rFonts w:cs="宋体"/>
      <w:kern w:val="2"/>
      <w:sz w:val="24"/>
      <w:szCs w:val="24"/>
    </w:rPr>
  </w:style>
  <w:style w:type="paragraph" w:customStyle="1" w:styleId="660">
    <w:name w:val="样式 宋体 小四 行距: 固定值 26 磅"/>
    <w:basedOn w:val="1"/>
    <w:link w:val="659"/>
    <w:qFormat/>
    <w:uiPriority w:val="0"/>
    <w:pPr>
      <w:spacing w:line="520" w:lineRule="exact"/>
      <w:ind w:firstLine="480" w:firstLineChars="200"/>
    </w:pPr>
  </w:style>
  <w:style w:type="character" w:customStyle="1" w:styleId="661">
    <w:name w:val="正文样式 Char"/>
    <w:link w:val="662"/>
    <w:qFormat/>
    <w:uiPriority w:val="0"/>
    <w:rPr>
      <w:rFonts w:ascii="仿宋_GB2312" w:eastAsia="仿宋_GB2312"/>
      <w:kern w:val="2"/>
      <w:sz w:val="28"/>
      <w:szCs w:val="28"/>
    </w:rPr>
  </w:style>
  <w:style w:type="paragraph" w:customStyle="1" w:styleId="662">
    <w:name w:val="正文样式"/>
    <w:basedOn w:val="1"/>
    <w:link w:val="661"/>
    <w:qFormat/>
    <w:uiPriority w:val="0"/>
    <w:pPr>
      <w:ind w:firstLine="200" w:firstLineChars="200"/>
    </w:pPr>
    <w:rPr>
      <w:rFonts w:ascii="仿宋_GB2312" w:eastAsia="仿宋_GB2312"/>
      <w:sz w:val="28"/>
      <w:szCs w:val="28"/>
    </w:rPr>
  </w:style>
  <w:style w:type="character" w:customStyle="1" w:styleId="663">
    <w:name w:val=" Char Char9"/>
    <w:qFormat/>
    <w:uiPriority w:val="0"/>
    <w:rPr>
      <w:rFonts w:eastAsia="宋体"/>
      <w:kern w:val="2"/>
      <w:sz w:val="18"/>
      <w:szCs w:val="18"/>
      <w:lang w:val="en-US" w:eastAsia="zh-CN" w:bidi="ar-SA"/>
    </w:rPr>
  </w:style>
  <w:style w:type="character" w:customStyle="1" w:styleId="664">
    <w:name w:val="booktitletextsy1"/>
    <w:qFormat/>
    <w:uiPriority w:val="0"/>
    <w:rPr>
      <w:b/>
      <w:bCs/>
      <w:color w:val="000000"/>
      <w:sz w:val="30"/>
      <w:szCs w:val="30"/>
    </w:rPr>
  </w:style>
  <w:style w:type="character" w:customStyle="1" w:styleId="665">
    <w:name w:val="WW8Num13z0"/>
    <w:qFormat/>
    <w:uiPriority w:val="0"/>
    <w:rPr>
      <w:rFonts w:ascii="Wingdings" w:hAnsi="Wingdings"/>
    </w:rPr>
  </w:style>
  <w:style w:type="character" w:customStyle="1" w:styleId="666">
    <w:name w:val="标题5 Char Char Char Char"/>
    <w:link w:val="667"/>
    <w:qFormat/>
    <w:uiPriority w:val="0"/>
    <w:rPr>
      <w:rFonts w:ascii="黑体" w:hAnsi="宋体" w:eastAsia="黑体"/>
      <w:kern w:val="2"/>
      <w:sz w:val="28"/>
    </w:rPr>
  </w:style>
  <w:style w:type="paragraph" w:customStyle="1" w:styleId="667">
    <w:name w:val="标题5 Char Char Char"/>
    <w:basedOn w:val="259"/>
    <w:link w:val="666"/>
    <w:qFormat/>
    <w:uiPriority w:val="0"/>
    <w:pPr>
      <w:ind w:firstLine="560"/>
    </w:pPr>
    <w:rPr>
      <w:rFonts w:ascii="黑体" w:eastAsia="黑体"/>
      <w:sz w:val="28"/>
    </w:rPr>
  </w:style>
  <w:style w:type="character" w:customStyle="1" w:styleId="668">
    <w:name w:val="样式2 Char Char Char Char Char2"/>
    <w:qFormat/>
    <w:uiPriority w:val="0"/>
    <w:rPr>
      <w:rFonts w:ascii="宋体" w:hAnsi="宋体" w:eastAsia="宋体" w:cs="宋体"/>
      <w:sz w:val="24"/>
      <w:szCs w:val="24"/>
      <w:lang w:val="en-US" w:eastAsia="zh-CN" w:bidi="ar-SA"/>
    </w:rPr>
  </w:style>
  <w:style w:type="character" w:customStyle="1" w:styleId="669">
    <w:name w:val="标2 Char Char"/>
    <w:link w:val="670"/>
    <w:qFormat/>
    <w:uiPriority w:val="0"/>
    <w:rPr>
      <w:rFonts w:ascii="黑体" w:eastAsia="黑体" w:cs="宋体"/>
      <w:b/>
      <w:bCs/>
      <w:color w:val="000000"/>
      <w:kern w:val="2"/>
      <w:sz w:val="24"/>
      <w:szCs w:val="24"/>
    </w:rPr>
  </w:style>
  <w:style w:type="paragraph" w:customStyle="1" w:styleId="670">
    <w:name w:val="标2 Char"/>
    <w:basedOn w:val="1"/>
    <w:next w:val="32"/>
    <w:link w:val="669"/>
    <w:qFormat/>
    <w:uiPriority w:val="0"/>
    <w:pPr>
      <w:tabs>
        <w:tab w:val="left" w:pos="7875"/>
      </w:tabs>
      <w:adjustRightInd w:val="0"/>
      <w:snapToGrid w:val="0"/>
      <w:spacing w:before="240" w:after="120" w:line="460" w:lineRule="atLeast"/>
      <w:ind w:firstLine="510"/>
      <w:outlineLvl w:val="1"/>
    </w:pPr>
    <w:rPr>
      <w:rFonts w:ascii="黑体" w:eastAsia="黑体" w:cs="宋体"/>
      <w:b/>
      <w:bCs/>
      <w:color w:val="000000"/>
    </w:rPr>
  </w:style>
  <w:style w:type="character" w:customStyle="1" w:styleId="671">
    <w:name w:val="HZZH正文 Char Char Char"/>
    <w:qFormat/>
    <w:uiPriority w:val="0"/>
    <w:rPr>
      <w:rFonts w:ascii="宋体" w:hAnsi="宋体" w:eastAsia="宋体" w:cs="Courier New"/>
      <w:kern w:val="2"/>
      <w:sz w:val="24"/>
      <w:szCs w:val="21"/>
      <w:lang w:val="en-US" w:eastAsia="zh-CN" w:bidi="ar-SA"/>
    </w:rPr>
  </w:style>
  <w:style w:type="character" w:customStyle="1" w:styleId="672">
    <w:name w:val="引用 字符"/>
    <w:link w:val="673"/>
    <w:qFormat/>
    <w:uiPriority w:val="29"/>
    <w:rPr>
      <w:rFonts w:ascii="Calibri" w:hAnsi="Calibri"/>
      <w:i/>
      <w:iCs/>
      <w:color w:val="000000"/>
      <w:kern w:val="2"/>
      <w:sz w:val="21"/>
      <w:szCs w:val="22"/>
    </w:rPr>
  </w:style>
  <w:style w:type="paragraph" w:styleId="673">
    <w:name w:val="Quote"/>
    <w:basedOn w:val="1"/>
    <w:next w:val="1"/>
    <w:link w:val="672"/>
    <w:qFormat/>
    <w:uiPriority w:val="29"/>
    <w:rPr>
      <w:rFonts w:ascii="Calibri" w:hAnsi="Calibri"/>
      <w:i/>
      <w:iCs/>
      <w:color w:val="000000"/>
      <w:sz w:val="21"/>
      <w:szCs w:val="22"/>
    </w:rPr>
  </w:style>
  <w:style w:type="character" w:customStyle="1" w:styleId="674">
    <w:name w:val="font81"/>
    <w:qFormat/>
    <w:uiPriority w:val="0"/>
    <w:rPr>
      <w:rFonts w:hint="eastAsia" w:ascii="宋体" w:hAnsi="宋体" w:eastAsia="宋体"/>
      <w:color w:val="000000"/>
      <w:sz w:val="20"/>
      <w:szCs w:val="20"/>
      <w:u w:val="none"/>
    </w:rPr>
  </w:style>
  <w:style w:type="character" w:customStyle="1" w:styleId="675">
    <w:name w:val="款标题 Char1"/>
    <w:qFormat/>
    <w:uiPriority w:val="0"/>
    <w:rPr>
      <w:rFonts w:ascii="黑体" w:eastAsia="黑体"/>
      <w:kern w:val="44"/>
      <w:sz w:val="28"/>
      <w:lang w:val="en-US" w:eastAsia="zh-CN" w:bidi="ar-SA"/>
    </w:rPr>
  </w:style>
  <w:style w:type="character" w:customStyle="1" w:styleId="676">
    <w:name w:val=" Char Char3 Char1"/>
    <w:qFormat/>
    <w:uiPriority w:val="0"/>
    <w:rPr>
      <w:rFonts w:ascii="Times New Roman" w:hAnsi="Times New Roman"/>
      <w:kern w:val="2"/>
      <w:sz w:val="21"/>
      <w:szCs w:val="24"/>
    </w:rPr>
  </w:style>
  <w:style w:type="character" w:customStyle="1" w:styleId="677">
    <w:name w:val="WW8Num32z0"/>
    <w:qFormat/>
    <w:uiPriority w:val="0"/>
    <w:rPr>
      <w:rFonts w:ascii="Wingdings" w:hAnsi="Wingdings"/>
    </w:rPr>
  </w:style>
  <w:style w:type="character" w:customStyle="1" w:styleId="678">
    <w:name w:val="样式 小五"/>
    <w:qFormat/>
    <w:uiPriority w:val="0"/>
    <w:rPr>
      <w:sz w:val="18"/>
      <w:szCs w:val="18"/>
      <w:vertAlign w:val="baseline"/>
    </w:rPr>
  </w:style>
  <w:style w:type="character" w:customStyle="1" w:styleId="679">
    <w:name w:val="标题6 Char"/>
    <w:qFormat/>
    <w:uiPriority w:val="0"/>
    <w:rPr>
      <w:rFonts w:ascii="黑体" w:hAnsi="宋体" w:eastAsia="黑体"/>
      <w:bCs/>
      <w:sz w:val="24"/>
      <w:szCs w:val="24"/>
      <w:lang w:val="en-US" w:eastAsia="zh-CN" w:bidi="ar-SA"/>
    </w:rPr>
  </w:style>
  <w:style w:type="character" w:styleId="680">
    <w:name w:val="Placeholder Text"/>
    <w:semiHidden/>
    <w:qFormat/>
    <w:uiPriority w:val="99"/>
    <w:rPr>
      <w:color w:val="808080"/>
    </w:rPr>
  </w:style>
  <w:style w:type="character" w:customStyle="1" w:styleId="681">
    <w:name w:val="Char Char11"/>
    <w:qFormat/>
    <w:uiPriority w:val="0"/>
    <w:rPr>
      <w:rFonts w:ascii="宋体" w:hAnsi="Courier New" w:eastAsia="宋体" w:cs="Courier New"/>
      <w:kern w:val="2"/>
      <w:sz w:val="21"/>
      <w:szCs w:val="21"/>
      <w:lang w:val="en-US" w:eastAsia="zh-CN" w:bidi="ar-SA"/>
    </w:rPr>
  </w:style>
  <w:style w:type="character" w:customStyle="1" w:styleId="682">
    <w:name w:val="Char Char14"/>
    <w:qFormat/>
    <w:uiPriority w:val="0"/>
    <w:rPr>
      <w:rFonts w:ascii="宋体" w:hAnsi="Courier New" w:eastAsia="宋体" w:cs="Courier New"/>
      <w:kern w:val="2"/>
      <w:sz w:val="21"/>
      <w:szCs w:val="21"/>
      <w:lang w:val="en-US" w:eastAsia="zh-CN" w:bidi="ar-SA"/>
    </w:rPr>
  </w:style>
  <w:style w:type="character" w:customStyle="1" w:styleId="683">
    <w:name w:val="报告书正文 字符"/>
    <w:link w:val="684"/>
    <w:qFormat/>
    <w:uiPriority w:val="0"/>
    <w:rPr>
      <w:kern w:val="2"/>
      <w:sz w:val="24"/>
    </w:rPr>
  </w:style>
  <w:style w:type="paragraph" w:customStyle="1" w:styleId="684">
    <w:name w:val="报告书正文"/>
    <w:basedOn w:val="1"/>
    <w:link w:val="683"/>
    <w:qFormat/>
    <w:uiPriority w:val="0"/>
    <w:pPr>
      <w:adjustRightInd w:val="0"/>
      <w:snapToGrid w:val="0"/>
      <w:spacing w:line="360" w:lineRule="auto"/>
      <w:ind w:firstLine="200" w:firstLineChars="200"/>
    </w:pPr>
    <w:rPr>
      <w:szCs w:val="20"/>
    </w:rPr>
  </w:style>
  <w:style w:type="character" w:customStyle="1" w:styleId="685">
    <w:name w:val="title9"/>
    <w:qFormat/>
    <w:uiPriority w:val="0"/>
  </w:style>
  <w:style w:type="character" w:customStyle="1" w:styleId="686">
    <w:name w:val="text_akopv"/>
    <w:qFormat/>
    <w:uiPriority w:val="0"/>
  </w:style>
  <w:style w:type="character" w:customStyle="1" w:styleId="687">
    <w:name w:val="批注文字 Char1"/>
    <w:semiHidden/>
    <w:qFormat/>
    <w:uiPriority w:val="0"/>
    <w:rPr>
      <w:rFonts w:ascii="宋体" w:hAnsi="宋体" w:cs="宋体"/>
      <w:sz w:val="24"/>
      <w:szCs w:val="24"/>
    </w:rPr>
  </w:style>
  <w:style w:type="character" w:customStyle="1" w:styleId="688">
    <w:name w:val="正文文本缩进 2 Char2 Char"/>
    <w:qFormat/>
    <w:uiPriority w:val="0"/>
    <w:rPr>
      <w:rFonts w:eastAsia="宋体"/>
      <w:kern w:val="2"/>
      <w:sz w:val="24"/>
      <w:szCs w:val="24"/>
      <w:lang w:val="en-US" w:eastAsia="zh-CN" w:bidi="ar-SA"/>
    </w:rPr>
  </w:style>
  <w:style w:type="character" w:customStyle="1" w:styleId="689">
    <w:name w:val="style21"/>
    <w:qFormat/>
    <w:uiPriority w:val="0"/>
    <w:rPr>
      <w:sz w:val="20"/>
      <w:szCs w:val="20"/>
    </w:rPr>
  </w:style>
  <w:style w:type="character" w:customStyle="1" w:styleId="690">
    <w:name w:val="标题6 Char Char Char"/>
    <w:qFormat/>
    <w:uiPriority w:val="0"/>
    <w:rPr>
      <w:rFonts w:ascii="黑体" w:hAnsi="宋体" w:eastAsia="黑体"/>
      <w:bCs/>
      <w:sz w:val="24"/>
      <w:szCs w:val="24"/>
      <w:lang w:val="en-US" w:eastAsia="zh-CN" w:bidi="ar-SA"/>
    </w:rPr>
  </w:style>
  <w:style w:type="character" w:customStyle="1" w:styleId="691">
    <w:name w:val="font61"/>
    <w:qFormat/>
    <w:uiPriority w:val="0"/>
    <w:rPr>
      <w:rFonts w:hint="eastAsia" w:ascii="黑体" w:eastAsia="黑体"/>
      <w:color w:val="FF0000"/>
      <w:sz w:val="20"/>
      <w:szCs w:val="20"/>
      <w:u w:val="none"/>
    </w:rPr>
  </w:style>
  <w:style w:type="character" w:customStyle="1" w:styleId="692">
    <w:name w:val="报告正文 Char"/>
    <w:link w:val="693"/>
    <w:qFormat/>
    <w:uiPriority w:val="0"/>
    <w:rPr>
      <w:rFonts w:ascii="宋体"/>
      <w:sz w:val="24"/>
    </w:rPr>
  </w:style>
  <w:style w:type="paragraph" w:customStyle="1" w:styleId="693">
    <w:name w:val="报告正文"/>
    <w:basedOn w:val="1"/>
    <w:link w:val="692"/>
    <w:qFormat/>
    <w:uiPriority w:val="0"/>
    <w:pPr>
      <w:autoSpaceDE w:val="0"/>
      <w:autoSpaceDN w:val="0"/>
      <w:adjustRightInd w:val="0"/>
      <w:spacing w:line="300" w:lineRule="auto"/>
      <w:ind w:firstLine="200" w:firstLineChars="200"/>
      <w:textAlignment w:val="baseline"/>
    </w:pPr>
    <w:rPr>
      <w:rFonts w:ascii="宋体"/>
      <w:kern w:val="0"/>
      <w:szCs w:val="20"/>
    </w:rPr>
  </w:style>
  <w:style w:type="character" w:customStyle="1" w:styleId="694">
    <w:name w:val="表头样式 Char"/>
    <w:link w:val="695"/>
    <w:qFormat/>
    <w:uiPriority w:val="0"/>
    <w:rPr>
      <w:rFonts w:eastAsia="黑体"/>
      <w:kern w:val="2"/>
      <w:sz w:val="28"/>
      <w:szCs w:val="28"/>
    </w:rPr>
  </w:style>
  <w:style w:type="paragraph" w:customStyle="1" w:styleId="695">
    <w:name w:val="表头样式"/>
    <w:basedOn w:val="1"/>
    <w:link w:val="694"/>
    <w:qFormat/>
    <w:uiPriority w:val="0"/>
    <w:pPr>
      <w:spacing w:before="165" w:beforeLines="30" w:after="110" w:afterLines="20"/>
      <w:jc w:val="center"/>
    </w:pPr>
    <w:rPr>
      <w:rFonts w:eastAsia="黑体"/>
      <w:sz w:val="28"/>
      <w:szCs w:val="28"/>
    </w:rPr>
  </w:style>
  <w:style w:type="character" w:customStyle="1" w:styleId="696">
    <w:name w:val="标题 2 Char"/>
    <w:qFormat/>
    <w:uiPriority w:val="0"/>
    <w:rPr>
      <w:rFonts w:ascii="Arial" w:hAnsi="Arial" w:eastAsia="黑体"/>
      <w:b/>
      <w:bCs/>
      <w:kern w:val="2"/>
      <w:sz w:val="30"/>
      <w:szCs w:val="32"/>
    </w:rPr>
  </w:style>
  <w:style w:type="character" w:customStyle="1" w:styleId="697">
    <w:name w:val="05表格 Char"/>
    <w:link w:val="698"/>
    <w:qFormat/>
    <w:uiPriority w:val="0"/>
    <w:rPr>
      <w:color w:val="000000"/>
      <w:kern w:val="2"/>
      <w:sz w:val="21"/>
      <w:szCs w:val="21"/>
    </w:rPr>
  </w:style>
  <w:style w:type="paragraph" w:customStyle="1" w:styleId="698">
    <w:name w:val="05表格"/>
    <w:basedOn w:val="1"/>
    <w:link w:val="697"/>
    <w:qFormat/>
    <w:uiPriority w:val="0"/>
    <w:pPr>
      <w:widowControl/>
      <w:adjustRightInd w:val="0"/>
      <w:snapToGrid w:val="0"/>
      <w:jc w:val="center"/>
      <w:textAlignment w:val="center"/>
    </w:pPr>
    <w:rPr>
      <w:color w:val="000000"/>
      <w:sz w:val="21"/>
      <w:szCs w:val="21"/>
    </w:rPr>
  </w:style>
  <w:style w:type="character" w:customStyle="1" w:styleId="699">
    <w:name w:val="ref"/>
    <w:qFormat/>
    <w:uiPriority w:val="0"/>
  </w:style>
  <w:style w:type="character" w:customStyle="1" w:styleId="700">
    <w:name w:val="列出段落 字符"/>
    <w:qFormat/>
    <w:uiPriority w:val="34"/>
    <w:rPr>
      <w:rFonts w:ascii="Times New Roman" w:hAnsi="Times New Roman" w:eastAsia="宋体" w:cs="Times New Roman"/>
      <w:szCs w:val="24"/>
    </w:rPr>
  </w:style>
  <w:style w:type="character" w:customStyle="1" w:styleId="701">
    <w:name w:val="l_text Char Char2"/>
    <w:qFormat/>
    <w:uiPriority w:val="0"/>
    <w:rPr>
      <w:rFonts w:ascii="宋体" w:hAnsi="宋体" w:eastAsia="宋体" w:cs="Century"/>
      <w:b/>
      <w:bCs/>
      <w:color w:val="000000"/>
      <w:kern w:val="2"/>
      <w:sz w:val="28"/>
      <w:szCs w:val="28"/>
      <w:lang w:val="en-US" w:eastAsia="zh-CN" w:bidi="ar-SA"/>
    </w:rPr>
  </w:style>
  <w:style w:type="character" w:customStyle="1" w:styleId="702">
    <w:name w:val="样式 标题 1标题 11章标题 1b1 + (中文) 宋体 Char"/>
    <w:link w:val="703"/>
    <w:qFormat/>
    <w:uiPriority w:val="0"/>
    <w:rPr>
      <w:rFonts w:eastAsia="黑体"/>
      <w:b/>
      <w:bCs/>
      <w:kern w:val="2"/>
      <w:sz w:val="32"/>
      <w:szCs w:val="32"/>
    </w:rPr>
  </w:style>
  <w:style w:type="paragraph" w:customStyle="1" w:styleId="703">
    <w:name w:val="样式 标题 1标题 11章标题 1b1 + (中文) 宋体"/>
    <w:basedOn w:val="3"/>
    <w:link w:val="702"/>
    <w:qFormat/>
    <w:uiPriority w:val="0"/>
    <w:pPr>
      <w:keepLines w:val="0"/>
      <w:numPr>
        <w:ilvl w:val="0"/>
        <w:numId w:val="0"/>
      </w:numPr>
      <w:tabs>
        <w:tab w:val="clear" w:pos="425"/>
      </w:tabs>
      <w:spacing w:before="0" w:after="0"/>
      <w:jc w:val="left"/>
    </w:pPr>
    <w:rPr>
      <w:rFonts w:eastAsia="黑体"/>
      <w:kern w:val="2"/>
      <w:sz w:val="32"/>
      <w:szCs w:val="32"/>
    </w:rPr>
  </w:style>
  <w:style w:type="character" w:customStyle="1" w:styleId="704">
    <w:name w:val="正文标准样式 Char"/>
    <w:link w:val="705"/>
    <w:qFormat/>
    <w:uiPriority w:val="0"/>
    <w:rPr>
      <w:sz w:val="24"/>
    </w:rPr>
  </w:style>
  <w:style w:type="paragraph" w:customStyle="1" w:styleId="705">
    <w:name w:val="正文标准样式"/>
    <w:basedOn w:val="1"/>
    <w:link w:val="704"/>
    <w:qFormat/>
    <w:uiPriority w:val="0"/>
    <w:pPr>
      <w:adjustRightInd w:val="0"/>
      <w:spacing w:line="300" w:lineRule="auto"/>
      <w:ind w:firstLine="482"/>
      <w:textAlignment w:val="baseline"/>
    </w:pPr>
    <w:rPr>
      <w:kern w:val="0"/>
      <w:szCs w:val="20"/>
    </w:rPr>
  </w:style>
  <w:style w:type="character" w:customStyle="1" w:styleId="706">
    <w:name w:val="表头4 Char"/>
    <w:link w:val="707"/>
    <w:qFormat/>
    <w:uiPriority w:val="0"/>
    <w:rPr>
      <w:rFonts w:eastAsia="黑体" w:cs="宋体"/>
      <w:b/>
      <w:color w:val="000000"/>
      <w:kern w:val="2"/>
      <w:sz w:val="28"/>
      <w:szCs w:val="24"/>
    </w:rPr>
  </w:style>
  <w:style w:type="paragraph" w:customStyle="1" w:styleId="707">
    <w:name w:val="表头4"/>
    <w:basedOn w:val="1"/>
    <w:link w:val="706"/>
    <w:qFormat/>
    <w:uiPriority w:val="0"/>
    <w:pPr>
      <w:tabs>
        <w:tab w:val="left" w:pos="360"/>
      </w:tabs>
      <w:adjustRightInd w:val="0"/>
      <w:snapToGrid w:val="0"/>
      <w:spacing w:before="109" w:beforeLines="35" w:line="520" w:lineRule="atLeast"/>
    </w:pPr>
    <w:rPr>
      <w:rFonts w:eastAsia="黑体" w:cs="宋体"/>
      <w:b/>
      <w:color w:val="000000"/>
      <w:sz w:val="28"/>
    </w:rPr>
  </w:style>
  <w:style w:type="character" w:customStyle="1" w:styleId="708">
    <w:name w:val="表格五号 Char"/>
    <w:link w:val="709"/>
    <w:qFormat/>
    <w:uiPriority w:val="0"/>
    <w:rPr>
      <w:rFonts w:ascii="宋体" w:hAnsi="宋体"/>
      <w:kern w:val="2"/>
      <w:sz w:val="21"/>
      <w:szCs w:val="21"/>
    </w:rPr>
  </w:style>
  <w:style w:type="paragraph" w:customStyle="1" w:styleId="709">
    <w:name w:val="表格五号"/>
    <w:basedOn w:val="1"/>
    <w:link w:val="708"/>
    <w:qFormat/>
    <w:uiPriority w:val="0"/>
    <w:pPr>
      <w:adjustRightInd w:val="0"/>
      <w:snapToGrid w:val="0"/>
      <w:spacing w:line="560" w:lineRule="exact"/>
      <w:ind w:firstLine="200" w:firstLineChars="200"/>
      <w:jc w:val="center"/>
    </w:pPr>
    <w:rPr>
      <w:rFonts w:ascii="宋体" w:hAnsi="宋体"/>
      <w:sz w:val="21"/>
      <w:szCs w:val="21"/>
    </w:rPr>
  </w:style>
  <w:style w:type="character" w:customStyle="1" w:styleId="710">
    <w:name w:val="表头四号 Char Char"/>
    <w:qFormat/>
    <w:uiPriority w:val="0"/>
    <w:rPr>
      <w:rFonts w:ascii="宋体" w:hAnsi="宋体" w:eastAsia="宋体" w:cs="宋体"/>
      <w:b/>
      <w:bCs/>
      <w:color w:val="000000"/>
      <w:kern w:val="2"/>
      <w:sz w:val="28"/>
      <w:szCs w:val="28"/>
      <w:lang w:val="en-US" w:eastAsia="zh-CN" w:bidi="ar-SA"/>
    </w:rPr>
  </w:style>
  <w:style w:type="character" w:customStyle="1" w:styleId="711">
    <w:name w:val="title1"/>
    <w:qFormat/>
    <w:uiPriority w:val="0"/>
    <w:rPr>
      <w:rFonts w:eastAsia="黑体" w:cs="宋体"/>
      <w:b/>
      <w:bCs/>
      <w:color w:val="000000"/>
      <w:kern w:val="2"/>
      <w:sz w:val="32"/>
      <w:szCs w:val="32"/>
      <w:lang w:val="en-US" w:eastAsia="zh-CN" w:bidi="ar-SA"/>
    </w:rPr>
  </w:style>
  <w:style w:type="character" w:customStyle="1" w:styleId="712">
    <w:name w:val="正文YHY Char"/>
    <w:link w:val="713"/>
    <w:qFormat/>
    <w:uiPriority w:val="0"/>
    <w:rPr>
      <w:rFonts w:cs="宋体"/>
      <w:kern w:val="2"/>
      <w:sz w:val="24"/>
      <w:szCs w:val="24"/>
    </w:rPr>
  </w:style>
  <w:style w:type="paragraph" w:customStyle="1" w:styleId="713">
    <w:name w:val="正文YHY"/>
    <w:basedOn w:val="1"/>
    <w:link w:val="712"/>
    <w:qFormat/>
    <w:uiPriority w:val="0"/>
    <w:pPr>
      <w:spacing w:before="50" w:beforeLines="50" w:after="50" w:afterLines="50" w:line="360" w:lineRule="auto"/>
      <w:ind w:firstLine="200" w:firstLineChars="200"/>
    </w:pPr>
    <w:rPr>
      <w:rFonts w:cs="宋体"/>
    </w:rPr>
  </w:style>
  <w:style w:type="character" w:customStyle="1" w:styleId="714">
    <w:name w:val="正 Char"/>
    <w:link w:val="715"/>
    <w:qFormat/>
    <w:uiPriority w:val="0"/>
    <w:rPr>
      <w:rFonts w:eastAsia="黑体" w:cs="宋体"/>
      <w:bCs/>
      <w:color w:val="000000"/>
      <w:kern w:val="2"/>
      <w:sz w:val="24"/>
      <w:szCs w:val="32"/>
    </w:rPr>
  </w:style>
  <w:style w:type="paragraph" w:customStyle="1" w:styleId="715">
    <w:name w:val="正"/>
    <w:basedOn w:val="1"/>
    <w:link w:val="714"/>
    <w:qFormat/>
    <w:uiPriority w:val="0"/>
    <w:pPr>
      <w:widowControl/>
      <w:ind w:firstLine="200" w:firstLineChars="200"/>
      <w:jc w:val="left"/>
    </w:pPr>
    <w:rPr>
      <w:rFonts w:eastAsia="黑体" w:cs="宋体"/>
      <w:bCs/>
      <w:color w:val="000000"/>
      <w:szCs w:val="32"/>
    </w:rPr>
  </w:style>
  <w:style w:type="paragraph" w:customStyle="1" w:styleId="716">
    <w:name w:val="Char Char Char1 Char5"/>
    <w:basedOn w:val="1"/>
    <w:next w:val="1"/>
    <w:semiHidden/>
    <w:qFormat/>
    <w:uiPriority w:val="0"/>
    <w:pPr>
      <w:spacing w:line="360" w:lineRule="auto"/>
      <w:ind w:firstLine="200" w:firstLineChars="200"/>
    </w:pPr>
    <w:rPr>
      <w:rFonts w:ascii="宋体" w:hAnsi="宋体" w:cs="宋体"/>
    </w:rPr>
  </w:style>
  <w:style w:type="paragraph" w:customStyle="1" w:styleId="717">
    <w:name w:val="Char Char Char Char Char Char Char Char Char Char3"/>
    <w:basedOn w:val="1"/>
    <w:qFormat/>
    <w:uiPriority w:val="0"/>
    <w:pPr>
      <w:spacing w:beforeLines="50" w:afterLines="50"/>
    </w:pPr>
    <w:rPr>
      <w:rFonts w:ascii="Tahoma" w:hAnsi="Tahoma"/>
      <w:szCs w:val="20"/>
    </w:rPr>
  </w:style>
  <w:style w:type="paragraph" w:customStyle="1" w:styleId="718">
    <w:name w:val="Char30"/>
    <w:basedOn w:val="1"/>
    <w:qFormat/>
    <w:uiPriority w:val="0"/>
    <w:pPr>
      <w:spacing w:line="360" w:lineRule="auto"/>
      <w:ind w:firstLine="200" w:firstLineChars="200"/>
    </w:pPr>
    <w:rPr>
      <w:rFonts w:ascii="宋体" w:hAnsi="宋体" w:cs="宋体"/>
    </w:rPr>
  </w:style>
  <w:style w:type="paragraph" w:customStyle="1" w:styleId="719">
    <w:name w:val="小四表文左齐"/>
    <w:basedOn w:val="1"/>
    <w:qFormat/>
    <w:uiPriority w:val="0"/>
    <w:pPr>
      <w:widowControl/>
      <w:jc w:val="center"/>
    </w:pPr>
    <w:rPr>
      <w:rFonts w:ascii="宋体"/>
      <w:sz w:val="21"/>
    </w:rPr>
  </w:style>
  <w:style w:type="paragraph" w:customStyle="1" w:styleId="720">
    <w:name w:val="CM14"/>
    <w:basedOn w:val="721"/>
    <w:next w:val="721"/>
    <w:qFormat/>
    <w:uiPriority w:val="99"/>
    <w:pPr>
      <w:spacing w:line="420" w:lineRule="atLeast"/>
    </w:pPr>
    <w:rPr>
      <w:rFonts w:ascii="黑体" w:eastAsia="黑体" w:cs="Times New Roman"/>
      <w:color w:val="auto"/>
    </w:rPr>
  </w:style>
  <w:style w:type="paragraph" w:customStyle="1" w:styleId="72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22">
    <w:name w:val="X 表头"/>
    <w:basedOn w:val="1"/>
    <w:qFormat/>
    <w:uiPriority w:val="0"/>
    <w:pPr>
      <w:keepNext/>
      <w:widowControl/>
      <w:spacing w:before="20" w:beforeLines="20" w:after="20" w:afterLines="20"/>
      <w:ind w:hanging="198" w:hangingChars="200"/>
      <w:jc w:val="left"/>
    </w:pPr>
    <w:rPr>
      <w:b/>
    </w:rPr>
  </w:style>
  <w:style w:type="paragraph" w:customStyle="1" w:styleId="723">
    <w:name w:val="Char Char Char Char15"/>
    <w:basedOn w:val="1"/>
    <w:qFormat/>
    <w:uiPriority w:val="0"/>
    <w:rPr>
      <w:sz w:val="21"/>
      <w:szCs w:val="21"/>
    </w:rPr>
  </w:style>
  <w:style w:type="paragraph" w:customStyle="1" w:styleId="724">
    <w:name w:val="样式 样式 正文文字缩进 2 + 首行缩进:  2 字符 + 首行缩进:  2 字符"/>
    <w:basedOn w:val="1"/>
    <w:qFormat/>
    <w:uiPriority w:val="0"/>
    <w:pPr>
      <w:spacing w:line="520" w:lineRule="exact"/>
      <w:ind w:firstLine="554" w:firstLineChars="200"/>
    </w:pPr>
    <w:rPr>
      <w:rFonts w:ascii="宋体" w:hAnsi="宋体" w:cs="宋体"/>
      <w:bCs/>
      <w:color w:val="000000"/>
      <w:sz w:val="28"/>
      <w:szCs w:val="20"/>
    </w:rPr>
  </w:style>
  <w:style w:type="paragraph" w:customStyle="1" w:styleId="725">
    <w:name w:val="Char55"/>
    <w:basedOn w:val="1"/>
    <w:semiHidden/>
    <w:qFormat/>
    <w:uiPriority w:val="0"/>
    <w:pPr>
      <w:spacing w:line="360" w:lineRule="auto"/>
      <w:ind w:firstLine="200" w:firstLineChars="200"/>
    </w:pPr>
    <w:rPr>
      <w:rFonts w:ascii="宋体" w:hAnsi="宋体" w:cs="宋体"/>
    </w:rPr>
  </w:style>
  <w:style w:type="paragraph" w:customStyle="1" w:styleId="726">
    <w:name w:val="Char Char Char Char Char Char Char Char Char Char6"/>
    <w:basedOn w:val="1"/>
    <w:qFormat/>
    <w:uiPriority w:val="0"/>
    <w:pPr>
      <w:spacing w:beforeLines="50" w:afterLines="50"/>
    </w:pPr>
    <w:rPr>
      <w:rFonts w:ascii="Tahoma" w:hAnsi="Tahoma"/>
      <w:szCs w:val="20"/>
    </w:rPr>
  </w:style>
  <w:style w:type="paragraph" w:customStyle="1" w:styleId="727">
    <w:name w:val="HZZH标题—2"/>
    <w:basedOn w:val="4"/>
    <w:next w:val="728"/>
    <w:qFormat/>
    <w:uiPriority w:val="0"/>
    <w:pPr>
      <w:numPr>
        <w:ilvl w:val="1"/>
        <w:numId w:val="2"/>
      </w:numPr>
      <w:tabs>
        <w:tab w:val="clear" w:pos="993"/>
      </w:tabs>
      <w:jc w:val="left"/>
    </w:pPr>
    <w:rPr>
      <w:rFonts w:ascii="黑体" w:hAnsi="黑体"/>
      <w:color w:val="000000"/>
    </w:rPr>
  </w:style>
  <w:style w:type="paragraph" w:customStyle="1" w:styleId="728">
    <w:name w:val="HZZH标题—3"/>
    <w:basedOn w:val="5"/>
    <w:next w:val="1"/>
    <w:qFormat/>
    <w:uiPriority w:val="0"/>
    <w:pPr>
      <w:numPr>
        <w:ilvl w:val="0"/>
        <w:numId w:val="0"/>
      </w:numPr>
      <w:tabs>
        <w:tab w:val="left" w:pos="-1800"/>
        <w:tab w:val="left" w:pos="3060"/>
      </w:tabs>
      <w:spacing w:before="180"/>
      <w:ind w:left="2688" w:hanging="708"/>
      <w:jc w:val="left"/>
    </w:pPr>
    <w:rPr>
      <w:rFonts w:ascii="黑体" w:eastAsia="黑体"/>
      <w:color w:val="000000"/>
      <w:szCs w:val="28"/>
    </w:rPr>
  </w:style>
  <w:style w:type="paragraph" w:customStyle="1" w:styleId="729">
    <w:name w:val="三级标题"/>
    <w:basedOn w:val="1"/>
    <w:qFormat/>
    <w:uiPriority w:val="0"/>
    <w:rPr>
      <w:rFonts w:eastAsia="黑体"/>
      <w:bCs/>
      <w:sz w:val="28"/>
    </w:rPr>
  </w:style>
  <w:style w:type="paragraph" w:customStyle="1" w:styleId="730">
    <w:name w:val="段落一.1"/>
    <w:basedOn w:val="1"/>
    <w:qFormat/>
    <w:uiPriority w:val="0"/>
    <w:pPr>
      <w:ind w:firstLine="560" w:firstLineChars="200"/>
    </w:pPr>
    <w:rPr>
      <w:rFonts w:ascii="楷体_GB2312" w:eastAsia="楷体_GB2312"/>
      <w:sz w:val="28"/>
    </w:rPr>
  </w:style>
  <w:style w:type="paragraph" w:customStyle="1" w:styleId="731">
    <w:name w:val="4"/>
    <w:basedOn w:val="1"/>
    <w:qFormat/>
    <w:uiPriority w:val="0"/>
    <w:rPr>
      <w:rFonts w:ascii="宋体"/>
      <w:bCs/>
      <w:sz w:val="28"/>
      <w:szCs w:val="20"/>
    </w:rPr>
  </w:style>
  <w:style w:type="paragraph" w:customStyle="1" w:styleId="732">
    <w:name w:val="Char9"/>
    <w:basedOn w:val="1"/>
    <w:qFormat/>
    <w:uiPriority w:val="0"/>
    <w:pPr>
      <w:spacing w:line="360" w:lineRule="auto"/>
      <w:ind w:firstLine="200" w:firstLineChars="200"/>
    </w:pPr>
    <w:rPr>
      <w:rFonts w:ascii="宋体" w:hAnsi="宋体" w:cs="宋体"/>
    </w:rPr>
  </w:style>
  <w:style w:type="paragraph" w:customStyle="1" w:styleId="73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color w:val="FF0000"/>
      <w:kern w:val="0"/>
      <w:sz w:val="18"/>
      <w:szCs w:val="18"/>
    </w:rPr>
  </w:style>
  <w:style w:type="paragraph" w:customStyle="1" w:styleId="734">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color w:val="FF0000"/>
      <w:kern w:val="0"/>
      <w:sz w:val="18"/>
      <w:szCs w:val="18"/>
    </w:rPr>
  </w:style>
  <w:style w:type="paragraph" w:customStyle="1" w:styleId="735">
    <w:name w:val="Char33"/>
    <w:basedOn w:val="1"/>
    <w:qFormat/>
    <w:uiPriority w:val="0"/>
    <w:pPr>
      <w:spacing w:line="360" w:lineRule="auto"/>
      <w:ind w:firstLine="200" w:firstLineChars="200"/>
    </w:pPr>
    <w:rPr>
      <w:rFonts w:ascii="宋体" w:hAnsi="宋体" w:cs="宋体"/>
    </w:rPr>
  </w:style>
  <w:style w:type="paragraph" w:customStyle="1" w:styleId="736">
    <w:name w:val="Normal"/>
    <w:qFormat/>
    <w:uiPriority w:val="0"/>
    <w:pPr>
      <w:widowControl w:val="0"/>
      <w:adjustRightInd w:val="0"/>
      <w:spacing w:line="360" w:lineRule="atLeast"/>
      <w:jc w:val="both"/>
      <w:textAlignment w:val="baseline"/>
    </w:pPr>
    <w:rPr>
      <w:rFonts w:ascii="宋体" w:hAnsi="Times New Roman" w:eastAsia="宋体" w:cs="Times New Roman"/>
      <w:sz w:val="24"/>
      <w:lang w:val="en-US" w:eastAsia="zh-CN" w:bidi="ar-SA"/>
    </w:rPr>
  </w:style>
  <w:style w:type="paragraph" w:customStyle="1" w:styleId="737">
    <w:name w:val="样式 标题 2 + 宋体"/>
    <w:basedOn w:val="738"/>
    <w:qFormat/>
    <w:uiPriority w:val="0"/>
    <w:pPr>
      <w:widowControl/>
      <w:tabs>
        <w:tab w:val="left" w:pos="992"/>
        <w:tab w:val="right" w:pos="8640"/>
      </w:tabs>
      <w:overflowPunct w:val="0"/>
      <w:autoSpaceDE w:val="0"/>
      <w:autoSpaceDN w:val="0"/>
      <w:adjustRightInd w:val="0"/>
      <w:ind w:hanging="567" w:firstLineChars="200"/>
      <w:jc w:val="left"/>
    </w:pPr>
    <w:rPr>
      <w:rFonts w:ascii="Times New Roman" w:hAnsi="Times New Roman"/>
      <w:color w:val="000000"/>
      <w:kern w:val="28"/>
      <w:szCs w:val="24"/>
    </w:rPr>
  </w:style>
  <w:style w:type="paragraph" w:customStyle="1" w:styleId="738">
    <w:name w:val="！正文"/>
    <w:basedOn w:val="1"/>
    <w:qFormat/>
    <w:uiPriority w:val="0"/>
    <w:pPr>
      <w:ind w:firstLine="480"/>
    </w:pPr>
    <w:rPr>
      <w:rFonts w:ascii="DFYuanLight-B5" w:hAnsi="DFYuanLight-B5"/>
      <w:szCs w:val="20"/>
    </w:rPr>
  </w:style>
  <w:style w:type="paragraph" w:customStyle="1" w:styleId="739">
    <w:name w:val="样式 标题 3 + 宋体 四号 非加粗 段前: 0 磅 段后: 0 磅 行距: 固定值 24 磅"/>
    <w:basedOn w:val="5"/>
    <w:qFormat/>
    <w:uiPriority w:val="0"/>
    <w:pPr>
      <w:numPr>
        <w:ilvl w:val="0"/>
        <w:numId w:val="0"/>
      </w:numPr>
      <w:spacing w:before="0" w:after="0" w:line="480" w:lineRule="exact"/>
    </w:pPr>
    <w:rPr>
      <w:rFonts w:ascii="宋体" w:hAnsi="宋体" w:eastAsia="黑体" w:cs="宋体"/>
      <w:b w:val="0"/>
      <w:sz w:val="24"/>
      <w:szCs w:val="28"/>
      <w:lang w:val="en-US" w:eastAsia="zh-CN"/>
    </w:rPr>
  </w:style>
  <w:style w:type="paragraph" w:customStyle="1" w:styleId="740">
    <w:name w:val="xl9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黑体" w:hAnsi="宋体" w:eastAsia="黑体" w:cs="宋体"/>
      <w:color w:val="000000"/>
      <w:kern w:val="0"/>
      <w:sz w:val="18"/>
      <w:szCs w:val="18"/>
    </w:rPr>
  </w:style>
  <w:style w:type="paragraph" w:customStyle="1" w:styleId="741">
    <w:name w:val="Char Char Char Char Char Char1 Char Char Char1 Char Char Char Char Char Char Char Char Char Char Char Char Char Char Char1 Char Char Char1 Char Char Char"/>
    <w:basedOn w:val="1"/>
    <w:qFormat/>
    <w:uiPriority w:val="0"/>
    <w:pPr>
      <w:widowControl/>
      <w:spacing w:line="360" w:lineRule="auto"/>
      <w:ind w:firstLine="200" w:firstLineChars="200"/>
      <w:jc w:val="left"/>
    </w:pPr>
    <w:rPr>
      <w:rFonts w:ascii="宋体" w:hAnsi="宋体" w:cs="宋体"/>
      <w:kern w:val="0"/>
    </w:rPr>
  </w:style>
  <w:style w:type="paragraph" w:customStyle="1" w:styleId="742">
    <w:name w:val="环评正文 Char Char Char Char"/>
    <w:qFormat/>
    <w:uiPriority w:val="0"/>
    <w:pPr>
      <w:spacing w:line="400" w:lineRule="exact"/>
      <w:ind w:firstLine="200" w:firstLineChars="200"/>
      <w:jc w:val="both"/>
    </w:pPr>
    <w:rPr>
      <w:rFonts w:ascii="Times New Roman" w:hAnsi="Times New Roman" w:eastAsia="宋体" w:cs="Times New Roman"/>
      <w:color w:val="000000"/>
      <w:kern w:val="21"/>
      <w:sz w:val="24"/>
      <w:szCs w:val="24"/>
      <w:lang w:val="en-US" w:eastAsia="zh-CN" w:bidi="ar-SA"/>
    </w:rPr>
  </w:style>
  <w:style w:type="paragraph" w:customStyle="1" w:styleId="743">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sz w:val="28"/>
      <w:szCs w:val="20"/>
    </w:rPr>
  </w:style>
  <w:style w:type="paragraph" w:customStyle="1" w:styleId="744">
    <w:name w:val="Char Char Char Char Char Char Char1"/>
    <w:basedOn w:val="1"/>
    <w:qFormat/>
    <w:uiPriority w:val="0"/>
    <w:pPr>
      <w:spacing w:line="360" w:lineRule="auto"/>
      <w:ind w:firstLine="200" w:firstLineChars="200"/>
    </w:pPr>
    <w:rPr>
      <w:rFonts w:ascii="宋体" w:hAnsi="宋体" w:cs="宋体"/>
    </w:rPr>
  </w:style>
  <w:style w:type="paragraph" w:customStyle="1" w:styleId="745">
    <w:name w:val="正文－ST4"/>
    <w:basedOn w:val="1"/>
    <w:qFormat/>
    <w:uiPriority w:val="0"/>
    <w:pPr>
      <w:snapToGrid w:val="0"/>
      <w:spacing w:line="360" w:lineRule="auto"/>
      <w:ind w:firstLine="480" w:firstLineChars="200"/>
    </w:pPr>
    <w:rPr>
      <w:rFonts w:ascii="宋体"/>
      <w:color w:val="000000"/>
    </w:rPr>
  </w:style>
  <w:style w:type="paragraph" w:customStyle="1" w:styleId="746">
    <w:name w:val="Char35"/>
    <w:basedOn w:val="1"/>
    <w:qFormat/>
    <w:uiPriority w:val="0"/>
    <w:pPr>
      <w:spacing w:line="360" w:lineRule="auto"/>
      <w:ind w:firstLine="200" w:firstLineChars="200"/>
    </w:pPr>
    <w:rPr>
      <w:rFonts w:ascii="宋体" w:hAnsi="宋体" w:cs="宋体"/>
    </w:rPr>
  </w:style>
  <w:style w:type="paragraph" w:customStyle="1" w:styleId="747">
    <w:name w:val="xl57"/>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rPr>
  </w:style>
  <w:style w:type="paragraph" w:customStyle="1" w:styleId="748">
    <w:name w:val=" Char Char Char1"/>
    <w:basedOn w:val="1"/>
    <w:qFormat/>
    <w:uiPriority w:val="0"/>
    <w:rPr>
      <w:sz w:val="21"/>
    </w:rPr>
  </w:style>
  <w:style w:type="paragraph" w:customStyle="1" w:styleId="749">
    <w:name w:val="xl10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color w:val="FF0000"/>
      <w:kern w:val="0"/>
      <w:sz w:val="18"/>
      <w:szCs w:val="18"/>
    </w:rPr>
  </w:style>
  <w:style w:type="paragraph" w:customStyle="1" w:styleId="750">
    <w:name w:val="Char Char Char3 Char1"/>
    <w:basedOn w:val="1"/>
    <w:qFormat/>
    <w:uiPriority w:val="0"/>
    <w:pPr>
      <w:widowControl/>
      <w:spacing w:line="360" w:lineRule="auto"/>
      <w:ind w:firstLine="200" w:firstLineChars="200"/>
      <w:jc w:val="left"/>
    </w:pPr>
    <w:rPr>
      <w:rFonts w:ascii="宋体" w:hAnsi="宋体" w:cs="宋体"/>
      <w:kern w:val="0"/>
    </w:rPr>
  </w:style>
  <w:style w:type="paragraph" w:customStyle="1" w:styleId="751">
    <w:name w:val="gh_xz"/>
    <w:basedOn w:val="1"/>
    <w:qFormat/>
    <w:uiPriority w:val="0"/>
    <w:pPr>
      <w:ind w:firstLine="200" w:firstLineChars="200"/>
    </w:pPr>
    <w:rPr>
      <w:sz w:val="28"/>
    </w:rPr>
  </w:style>
  <w:style w:type="paragraph" w:customStyle="1" w:styleId="752">
    <w:name w:val="Char Char Char Char Char Char1 Char Char Char1 Char Char Char Char Char Char Char Char Char Char Char Char Char Char Char1 Char1"/>
    <w:basedOn w:val="1"/>
    <w:qFormat/>
    <w:uiPriority w:val="0"/>
    <w:pPr>
      <w:spacing w:line="360" w:lineRule="auto"/>
      <w:ind w:firstLine="200" w:firstLineChars="200"/>
    </w:pPr>
    <w:rPr>
      <w:sz w:val="21"/>
    </w:rPr>
  </w:style>
  <w:style w:type="paragraph" w:customStyle="1" w:styleId="753">
    <w:name w:val="Char Char Char Char Char Char1 Char Char Char Char Char Char Char Char Char Char Char Char Char"/>
    <w:basedOn w:val="1"/>
    <w:qFormat/>
    <w:uiPriority w:val="0"/>
    <w:pPr>
      <w:spacing w:line="360" w:lineRule="auto"/>
      <w:ind w:firstLine="200" w:firstLineChars="200"/>
    </w:pPr>
    <w:rPr>
      <w:rFonts w:ascii="宋体" w:hAnsi="宋体" w:cs="宋体"/>
    </w:rPr>
  </w:style>
  <w:style w:type="paragraph" w:customStyle="1" w:styleId="754">
    <w:name w:val="font11"/>
    <w:basedOn w:val="1"/>
    <w:qFormat/>
    <w:uiPriority w:val="0"/>
    <w:pPr>
      <w:widowControl/>
      <w:spacing w:before="100" w:beforeAutospacing="1" w:after="100" w:afterAutospacing="1"/>
      <w:jc w:val="left"/>
    </w:pPr>
    <w:rPr>
      <w:rFonts w:hint="eastAsia" w:ascii="宋体" w:hAnsi="宋体" w:cs="Arial Unicode MS"/>
      <w:kern w:val="0"/>
      <w:sz w:val="12"/>
      <w:szCs w:val="12"/>
    </w:rPr>
  </w:style>
  <w:style w:type="paragraph" w:customStyle="1" w:styleId="755">
    <w:name w:val="HZZH标题—1"/>
    <w:basedOn w:val="3"/>
    <w:next w:val="727"/>
    <w:qFormat/>
    <w:uiPriority w:val="0"/>
    <w:pPr>
      <w:numPr>
        <w:ilvl w:val="0"/>
        <w:numId w:val="2"/>
      </w:numPr>
      <w:spacing w:before="480" w:after="480" w:line="240" w:lineRule="auto"/>
    </w:pPr>
    <w:rPr>
      <w:rFonts w:eastAsia="黑体"/>
      <w:color w:val="000000"/>
      <w:kern w:val="2"/>
      <w:sz w:val="32"/>
      <w:szCs w:val="24"/>
    </w:rPr>
  </w:style>
  <w:style w:type="paragraph" w:customStyle="1" w:styleId="756">
    <w:name w:val=" Char9"/>
    <w:basedOn w:val="1"/>
    <w:qFormat/>
    <w:uiPriority w:val="0"/>
    <w:rPr>
      <w:szCs w:val="20"/>
    </w:rPr>
  </w:style>
  <w:style w:type="paragraph" w:customStyle="1" w:styleId="757">
    <w:name w:val="xl11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黑体" w:hAnsi="宋体" w:eastAsia="黑体" w:cs="宋体"/>
      <w:color w:val="000000"/>
      <w:kern w:val="0"/>
      <w:sz w:val="18"/>
      <w:szCs w:val="18"/>
    </w:rPr>
  </w:style>
  <w:style w:type="paragraph" w:customStyle="1" w:styleId="758">
    <w:name w:val="Char53"/>
    <w:basedOn w:val="1"/>
    <w:semiHidden/>
    <w:qFormat/>
    <w:uiPriority w:val="0"/>
    <w:pPr>
      <w:spacing w:line="360" w:lineRule="auto"/>
      <w:ind w:firstLine="200" w:firstLineChars="200"/>
    </w:pPr>
    <w:rPr>
      <w:rFonts w:ascii="宋体" w:hAnsi="宋体" w:cs="宋体"/>
    </w:rPr>
  </w:style>
  <w:style w:type="paragraph" w:customStyle="1" w:styleId="759">
    <w:name w:val="Char54"/>
    <w:basedOn w:val="1"/>
    <w:semiHidden/>
    <w:qFormat/>
    <w:uiPriority w:val="0"/>
    <w:pPr>
      <w:spacing w:line="360" w:lineRule="auto"/>
      <w:ind w:firstLine="200" w:firstLineChars="200"/>
    </w:pPr>
    <w:rPr>
      <w:rFonts w:ascii="宋体" w:hAnsi="宋体" w:cs="宋体"/>
    </w:rPr>
  </w:style>
  <w:style w:type="paragraph" w:customStyle="1" w:styleId="760">
    <w:name w:val=" Char Char Char Char Char Char1 Char Char Char1 Char Char Char Char Char Char Char Char Char Char Char Char Char Char Char1 Char Char Char1 Char Char Char Char"/>
    <w:basedOn w:val="1"/>
    <w:qFormat/>
    <w:uiPriority w:val="0"/>
    <w:pPr>
      <w:spacing w:line="360" w:lineRule="auto"/>
      <w:ind w:firstLine="200" w:firstLineChars="200"/>
    </w:pPr>
    <w:rPr>
      <w:rFonts w:ascii="宋体" w:hAnsi="宋体" w:cs="宋体"/>
    </w:rPr>
  </w:style>
  <w:style w:type="paragraph" w:customStyle="1" w:styleId="761">
    <w:name w:val="Char41"/>
    <w:basedOn w:val="1"/>
    <w:qFormat/>
    <w:uiPriority w:val="0"/>
    <w:pPr>
      <w:spacing w:line="360" w:lineRule="auto"/>
      <w:ind w:firstLine="200" w:firstLineChars="200"/>
    </w:pPr>
    <w:rPr>
      <w:rFonts w:ascii="宋体" w:hAnsi="宋体" w:cs="宋体"/>
    </w:rPr>
  </w:style>
  <w:style w:type="paragraph" w:customStyle="1" w:styleId="762">
    <w:name w:val="Char Char Char Char Char Char1 Char Char Char1 Char Char Char Char Char Char Char Char Char Char"/>
    <w:basedOn w:val="1"/>
    <w:qFormat/>
    <w:uiPriority w:val="0"/>
    <w:pPr>
      <w:spacing w:line="360" w:lineRule="auto"/>
      <w:ind w:firstLine="200" w:firstLineChars="200"/>
    </w:pPr>
    <w:rPr>
      <w:rFonts w:ascii="宋体" w:hAnsi="宋体" w:cs="宋体"/>
    </w:rPr>
  </w:style>
  <w:style w:type="paragraph" w:customStyle="1" w:styleId="763">
    <w:name w:val="日期2"/>
    <w:basedOn w:val="1"/>
    <w:next w:val="1"/>
    <w:qFormat/>
    <w:uiPriority w:val="0"/>
    <w:pPr>
      <w:adjustRightInd w:val="0"/>
      <w:spacing w:line="360" w:lineRule="auto"/>
    </w:pPr>
    <w:rPr>
      <w:rFonts w:ascii="宋体"/>
      <w:b/>
      <w:snapToGrid w:val="0"/>
      <w:kern w:val="0"/>
      <w:sz w:val="28"/>
      <w:szCs w:val="20"/>
    </w:rPr>
  </w:style>
  <w:style w:type="paragraph" w:customStyle="1" w:styleId="764">
    <w:name w:val="Char Char13"/>
    <w:basedOn w:val="1"/>
    <w:qFormat/>
    <w:uiPriority w:val="0"/>
    <w:pPr>
      <w:spacing w:line="360" w:lineRule="auto"/>
      <w:ind w:firstLine="200" w:firstLineChars="200"/>
    </w:pPr>
    <w:rPr>
      <w:rFonts w:ascii="宋体" w:hAnsi="宋体" w:cs="宋体"/>
    </w:rPr>
  </w:style>
  <w:style w:type="paragraph" w:customStyle="1" w:styleId="765">
    <w:name w:val=" Char1 Char Char Char"/>
    <w:basedOn w:val="1"/>
    <w:qFormat/>
    <w:uiPriority w:val="0"/>
    <w:rPr>
      <w:sz w:val="21"/>
    </w:rPr>
  </w:style>
  <w:style w:type="paragraph" w:customStyle="1" w:styleId="766">
    <w:name w:val="标题44"/>
    <w:basedOn w:val="1"/>
    <w:qFormat/>
    <w:uiPriority w:val="0"/>
    <w:pPr>
      <w:widowControl/>
      <w:jc w:val="left"/>
    </w:pPr>
    <w:rPr>
      <w:b/>
      <w:kern w:val="0"/>
      <w:sz w:val="28"/>
      <w:szCs w:val="28"/>
    </w:rPr>
  </w:style>
  <w:style w:type="paragraph" w:customStyle="1" w:styleId="767">
    <w:name w:val="Char8"/>
    <w:basedOn w:val="1"/>
    <w:qFormat/>
    <w:uiPriority w:val="0"/>
    <w:pPr>
      <w:spacing w:line="360" w:lineRule="auto"/>
      <w:ind w:firstLine="200" w:firstLineChars="200"/>
    </w:pPr>
    <w:rPr>
      <w:rFonts w:ascii="宋体" w:hAnsi="宋体" w:cs="宋体"/>
    </w:rPr>
  </w:style>
  <w:style w:type="paragraph" w:customStyle="1" w:styleId="768">
    <w:name w:val="xl10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黑体" w:hAnsi="宋体" w:eastAsia="黑体" w:cs="宋体"/>
      <w:color w:val="FF00FF"/>
      <w:kern w:val="0"/>
      <w:sz w:val="18"/>
      <w:szCs w:val="18"/>
    </w:rPr>
  </w:style>
  <w:style w:type="paragraph" w:customStyle="1" w:styleId="769">
    <w:name w:val="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770">
    <w:name w:val="Char Char Char Char Char Char Char Char Char Char Char Char Char Char Char Char Char Char Char Char Char Char Char Char Char Char Char Char Char Char Char Char Char Char Char Char"/>
    <w:basedOn w:val="1"/>
    <w:qFormat/>
    <w:uiPriority w:val="0"/>
    <w:pPr>
      <w:snapToGrid w:val="0"/>
      <w:spacing w:line="440" w:lineRule="atLeast"/>
      <w:ind w:firstLine="200" w:firstLineChars="200"/>
    </w:pPr>
    <w:rPr>
      <w:sz w:val="21"/>
      <w:szCs w:val="20"/>
    </w:rPr>
  </w:style>
  <w:style w:type="paragraph" w:customStyle="1" w:styleId="771">
    <w:name w:val="Char Char Char Char Char Char Char"/>
    <w:basedOn w:val="1"/>
    <w:qFormat/>
    <w:uiPriority w:val="0"/>
    <w:pPr>
      <w:spacing w:line="360" w:lineRule="auto"/>
      <w:ind w:firstLine="200" w:firstLineChars="200"/>
    </w:pPr>
    <w:rPr>
      <w:rFonts w:ascii="宋体" w:hAnsi="宋体" w:cs="宋体"/>
    </w:rPr>
  </w:style>
  <w:style w:type="paragraph" w:customStyle="1" w:styleId="772">
    <w:name w:val="样式 样式 倾斜 居中 底端: (粗-细窄间隔 自动设置  3 磅 行宽) + 非倾斜 底端: (粗-细窄间隔 自动设置 ..."/>
    <w:basedOn w:val="773"/>
    <w:qFormat/>
    <w:uiPriority w:val="0"/>
    <w:rPr>
      <w:i w:val="0"/>
      <w:iCs w:val="0"/>
    </w:rPr>
  </w:style>
  <w:style w:type="paragraph" w:customStyle="1" w:styleId="773">
    <w:name w:val="样式 倾斜 居中 底端: (粗-细窄间隔 自动设置  3 磅 行宽)"/>
    <w:basedOn w:val="1"/>
    <w:qFormat/>
    <w:uiPriority w:val="0"/>
    <w:pPr>
      <w:jc w:val="center"/>
    </w:pPr>
    <w:rPr>
      <w:rFonts w:cs="宋体"/>
      <w:i/>
      <w:iCs/>
      <w:szCs w:val="20"/>
    </w:rPr>
  </w:style>
  <w:style w:type="paragraph" w:customStyle="1" w:styleId="774">
    <w:name w:val="xl7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黑体" w:hAnsi="宋体" w:eastAsia="黑体" w:cs="宋体"/>
      <w:color w:val="0000FF"/>
      <w:kern w:val="0"/>
      <w:sz w:val="18"/>
      <w:szCs w:val="18"/>
    </w:rPr>
  </w:style>
  <w:style w:type="paragraph" w:customStyle="1" w:styleId="775">
    <w:name w:val="正文 + 小四"/>
    <w:basedOn w:val="1"/>
    <w:qFormat/>
    <w:uiPriority w:val="0"/>
    <w:pPr>
      <w:spacing w:line="360" w:lineRule="auto"/>
      <w:ind w:firstLine="720" w:firstLineChars="300"/>
    </w:pPr>
  </w:style>
  <w:style w:type="paragraph" w:customStyle="1" w:styleId="776">
    <w:name w:val="xl269"/>
    <w:basedOn w:val="1"/>
    <w:qFormat/>
    <w:uiPriority w:val="0"/>
    <w:pPr>
      <w:widowControl/>
      <w:pBdr>
        <w:top w:val="single" w:color="auto" w:sz="4" w:space="0"/>
        <w:bottom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777">
    <w:name w:val="p16"/>
    <w:basedOn w:val="1"/>
    <w:qFormat/>
    <w:uiPriority w:val="0"/>
    <w:pPr>
      <w:widowControl/>
    </w:pPr>
    <w:rPr>
      <w:rFonts w:ascii="宋体" w:hAnsi="宋体" w:cs="宋体"/>
      <w:kern w:val="0"/>
      <w:szCs w:val="21"/>
    </w:rPr>
  </w:style>
  <w:style w:type="paragraph" w:customStyle="1" w:styleId="778">
    <w:name w:val="Char Char Char Char Char Char Char Char Char Char4"/>
    <w:basedOn w:val="1"/>
    <w:qFormat/>
    <w:uiPriority w:val="0"/>
    <w:pPr>
      <w:spacing w:beforeLines="50" w:afterLines="50"/>
    </w:pPr>
    <w:rPr>
      <w:szCs w:val="20"/>
    </w:rPr>
  </w:style>
  <w:style w:type="paragraph" w:customStyle="1" w:styleId="779">
    <w:name w:val="xl172"/>
    <w:basedOn w:val="1"/>
    <w:qFormat/>
    <w:uiPriority w:val="0"/>
    <w:pPr>
      <w:widowControl/>
      <w:pBdr>
        <w:top w:val="single" w:color="auto" w:sz="4" w:space="0"/>
        <w:left w:val="single" w:color="auto" w:sz="4" w:space="0"/>
        <w:bottom w:val="single" w:color="auto" w:sz="4" w:space="0"/>
      </w:pBdr>
      <w:shd w:val="clear" w:color="000000" w:fill="FFFF00"/>
      <w:spacing w:before="100" w:beforeAutospacing="1" w:after="100" w:afterAutospacing="1"/>
      <w:jc w:val="right"/>
      <w:textAlignment w:val="center"/>
    </w:pPr>
    <w:rPr>
      <w:rFonts w:ascii="黑体" w:hAnsi="黑体" w:eastAsia="黑体" w:cs="宋体"/>
      <w:kern w:val="0"/>
      <w:sz w:val="18"/>
      <w:szCs w:val="18"/>
    </w:rPr>
  </w:style>
  <w:style w:type="paragraph" w:customStyle="1" w:styleId="780">
    <w:name w:val="正文（首行缩进两字）"/>
    <w:basedOn w:val="1"/>
    <w:qFormat/>
    <w:uiPriority w:val="0"/>
    <w:pPr>
      <w:overflowPunct w:val="0"/>
      <w:autoSpaceDE w:val="0"/>
      <w:autoSpaceDN w:val="0"/>
      <w:adjustRightInd w:val="0"/>
      <w:spacing w:line="312" w:lineRule="auto"/>
      <w:ind w:firstLine="567"/>
      <w:textAlignment w:val="bottom"/>
    </w:pPr>
    <w:rPr>
      <w:kern w:val="0"/>
      <w:sz w:val="28"/>
      <w:szCs w:val="28"/>
    </w:rPr>
  </w:style>
  <w:style w:type="paragraph" w:customStyle="1" w:styleId="781">
    <w:name w:val=" Char Char Char Char"/>
    <w:basedOn w:val="1"/>
    <w:qFormat/>
    <w:uiPriority w:val="0"/>
    <w:pPr>
      <w:spacing w:line="360" w:lineRule="auto"/>
      <w:ind w:firstLine="200" w:firstLineChars="200"/>
    </w:pPr>
    <w:rPr>
      <w:rFonts w:ascii="宋体" w:hAnsi="宋体" w:cs="宋体"/>
    </w:rPr>
  </w:style>
  <w:style w:type="paragraph" w:customStyle="1" w:styleId="782">
    <w:name w:val="a封面－项目名称"/>
    <w:basedOn w:val="1"/>
    <w:next w:val="1"/>
    <w:semiHidden/>
    <w:qFormat/>
    <w:uiPriority w:val="0"/>
    <w:pPr>
      <w:spacing w:before="120" w:beforeLines="50" w:after="120" w:afterLines="50" w:line="360" w:lineRule="auto"/>
      <w:jc w:val="center"/>
    </w:pPr>
    <w:rPr>
      <w:rFonts w:eastAsia="黑体"/>
      <w:b/>
      <w:sz w:val="48"/>
    </w:rPr>
  </w:style>
  <w:style w:type="paragraph" w:customStyle="1" w:styleId="783">
    <w:name w:val=" Char Char Char Char Char Char Char Char Char Char Char Char Char Char Char Char Char Char Char Char Char Char"/>
    <w:basedOn w:val="1"/>
    <w:next w:val="1"/>
    <w:semiHidden/>
    <w:qFormat/>
    <w:uiPriority w:val="0"/>
    <w:pPr>
      <w:spacing w:line="360" w:lineRule="auto"/>
      <w:ind w:firstLine="200" w:firstLineChars="200"/>
    </w:pPr>
    <w:rPr>
      <w:rFonts w:ascii="宋体" w:hAnsi="宋体" w:cs="宋体"/>
    </w:rPr>
  </w:style>
  <w:style w:type="paragraph" w:customStyle="1" w:styleId="784">
    <w:name w:val="表文字"/>
    <w:basedOn w:val="32"/>
    <w:qFormat/>
    <w:uiPriority w:val="0"/>
    <w:pPr>
      <w:spacing w:line="440" w:lineRule="exact"/>
      <w:jc w:val="center"/>
    </w:pPr>
    <w:rPr>
      <w:rFonts w:ascii="Arial" w:hAnsi="Arial" w:cs="Arial"/>
      <w:color w:val="000000"/>
      <w:sz w:val="23"/>
      <w:szCs w:val="20"/>
    </w:rPr>
  </w:style>
  <w:style w:type="paragraph" w:customStyle="1" w:styleId="785">
    <w:name w:val="Char Char Char Char Char Char1 Char Char Char1 Char Char Char Char Char Char Char Char Char Char Char Char Char Char Char1 Char Char Char1 Char Char Char Char Char Char1 Char Char Char Char Char"/>
    <w:basedOn w:val="1"/>
    <w:qFormat/>
    <w:uiPriority w:val="0"/>
    <w:pPr>
      <w:spacing w:line="360" w:lineRule="auto"/>
      <w:ind w:firstLine="200" w:firstLineChars="200"/>
    </w:pPr>
    <w:rPr>
      <w:rFonts w:ascii="宋体" w:hAnsi="宋体" w:cs="宋体"/>
    </w:rPr>
  </w:style>
  <w:style w:type="paragraph" w:customStyle="1" w:styleId="786">
    <w:name w:val=" Char Char Char Char Char Char1 Char Char Char1 Char Char Char Char Char Char Char Char Char Char Char Char Char Char Char1 Char"/>
    <w:basedOn w:val="1"/>
    <w:qFormat/>
    <w:uiPriority w:val="0"/>
    <w:pPr>
      <w:spacing w:line="360" w:lineRule="auto"/>
      <w:ind w:firstLine="200" w:firstLineChars="200"/>
    </w:pPr>
    <w:rPr>
      <w:rFonts w:ascii="宋体" w:hAnsi="宋体" w:cs="宋体"/>
    </w:rPr>
  </w:style>
  <w:style w:type="paragraph" w:customStyle="1" w:styleId="787">
    <w:name w:val="xl134"/>
    <w:basedOn w:val="1"/>
    <w:qFormat/>
    <w:uiPriority w:val="0"/>
    <w:pPr>
      <w:widowControl/>
      <w:pBdr>
        <w:left w:val="single" w:color="auto" w:sz="4" w:space="0"/>
        <w:right w:val="single" w:color="auto" w:sz="4" w:space="0"/>
      </w:pBdr>
      <w:shd w:val="clear" w:color="000000" w:fill="92D050"/>
      <w:spacing w:before="100" w:beforeAutospacing="1" w:after="100" w:afterAutospacing="1"/>
      <w:jc w:val="center"/>
    </w:pPr>
    <w:rPr>
      <w:rFonts w:ascii="宋体" w:hAnsi="宋体" w:cs="宋体"/>
      <w:kern w:val="0"/>
      <w:sz w:val="20"/>
      <w:szCs w:val="20"/>
    </w:rPr>
  </w:style>
  <w:style w:type="paragraph" w:customStyle="1" w:styleId="788">
    <w:name w:val="样式 题注 + 左侧:  0.98 厘米 首行缩进:  2 字符"/>
    <w:basedOn w:val="21"/>
    <w:qFormat/>
    <w:uiPriority w:val="0"/>
    <w:pPr>
      <w:adjustRightInd w:val="0"/>
      <w:snapToGrid w:val="0"/>
      <w:spacing w:line="300" w:lineRule="exact"/>
      <w:jc w:val="center"/>
    </w:pPr>
    <w:rPr>
      <w:rFonts w:ascii="宋体" w:hAnsi="宋体" w:eastAsia="宋体"/>
      <w:sz w:val="28"/>
      <w:szCs w:val="28"/>
    </w:rPr>
  </w:style>
  <w:style w:type="paragraph" w:customStyle="1" w:styleId="789">
    <w:name w:val="Char50"/>
    <w:basedOn w:val="1"/>
    <w:qFormat/>
    <w:uiPriority w:val="0"/>
    <w:pPr>
      <w:spacing w:line="360" w:lineRule="auto"/>
      <w:ind w:firstLine="200" w:firstLineChars="200"/>
    </w:pPr>
    <w:rPr>
      <w:rFonts w:ascii="宋体" w:hAnsi="宋体" w:cs="宋体"/>
    </w:rPr>
  </w:style>
  <w:style w:type="paragraph" w:customStyle="1" w:styleId="790">
    <w:name w:val="p0"/>
    <w:basedOn w:val="1"/>
    <w:qFormat/>
    <w:uiPriority w:val="0"/>
    <w:pPr>
      <w:widowControl/>
    </w:pPr>
    <w:rPr>
      <w:kern w:val="0"/>
      <w:szCs w:val="21"/>
    </w:rPr>
  </w:style>
  <w:style w:type="paragraph" w:customStyle="1" w:styleId="791">
    <w:name w:val="biao-2"/>
    <w:basedOn w:val="1"/>
    <w:qFormat/>
    <w:uiPriority w:val="0"/>
    <w:pPr>
      <w:autoSpaceDE w:val="0"/>
      <w:autoSpaceDN w:val="0"/>
      <w:adjustRightInd w:val="0"/>
      <w:snapToGrid w:val="0"/>
      <w:spacing w:line="360" w:lineRule="exact"/>
    </w:pPr>
  </w:style>
  <w:style w:type="paragraph" w:customStyle="1" w:styleId="792">
    <w:name w:val="样式 样式 样式 标题 3标题 33 + 段前: 0.5 行 + 段前: 0.5 行 + 段前: 6 磅 段后: 6 磅1"/>
    <w:basedOn w:val="793"/>
    <w:qFormat/>
    <w:uiPriority w:val="0"/>
  </w:style>
  <w:style w:type="paragraph" w:customStyle="1" w:styleId="793">
    <w:name w:val="样式 样式 标题 3标题 33 + 段前: 0.5 行 + 段前: 0.5 行"/>
    <w:basedOn w:val="794"/>
    <w:qFormat/>
    <w:uiPriority w:val="0"/>
  </w:style>
  <w:style w:type="paragraph" w:customStyle="1" w:styleId="794">
    <w:name w:val="样式 标题 3标题 33 + 段前: 0.5 行"/>
    <w:basedOn w:val="5"/>
    <w:qFormat/>
    <w:uiPriority w:val="0"/>
    <w:pPr>
      <w:numPr>
        <w:ilvl w:val="0"/>
        <w:numId w:val="0"/>
      </w:numPr>
      <w:spacing w:before="0" w:after="0" w:line="360" w:lineRule="auto"/>
    </w:pPr>
    <w:rPr>
      <w:rFonts w:ascii="黑体" w:hAnsi="宋体" w:eastAsia="黑体"/>
      <w:b w:val="0"/>
      <w:bCs w:val="0"/>
      <w:snapToGrid w:val="0"/>
      <w:color w:val="008000"/>
      <w:kern w:val="0"/>
      <w:sz w:val="24"/>
      <w:szCs w:val="20"/>
    </w:rPr>
  </w:style>
  <w:style w:type="paragraph" w:customStyle="1" w:styleId="795">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color w:val="FF0000"/>
      <w:kern w:val="0"/>
    </w:rPr>
  </w:style>
  <w:style w:type="paragraph" w:customStyle="1" w:styleId="796">
    <w:name w:val="Char Char Char Char Char Char Char6"/>
    <w:basedOn w:val="1"/>
    <w:qFormat/>
    <w:uiPriority w:val="0"/>
    <w:pPr>
      <w:spacing w:line="360" w:lineRule="auto"/>
      <w:ind w:firstLine="200" w:firstLineChars="200"/>
    </w:pPr>
    <w:rPr>
      <w:rFonts w:ascii="宋体" w:hAnsi="宋体" w:cs="宋体"/>
    </w:rPr>
  </w:style>
  <w:style w:type="paragraph" w:customStyle="1" w:styleId="797">
    <w:name w:val="表格文字1"/>
    <w:basedOn w:val="1"/>
    <w:qFormat/>
    <w:uiPriority w:val="0"/>
    <w:pPr>
      <w:spacing w:line="300" w:lineRule="auto"/>
      <w:jc w:val="center"/>
    </w:pPr>
    <w:rPr>
      <w:rFonts w:ascii="Arial" w:hAnsi="Arial"/>
      <w:color w:val="FF0000"/>
      <w:kern w:val="0"/>
      <w:szCs w:val="21"/>
    </w:rPr>
  </w:style>
  <w:style w:type="paragraph" w:customStyle="1" w:styleId="798">
    <w:name w:val="Char Char Char Char4"/>
    <w:basedOn w:val="1"/>
    <w:qFormat/>
    <w:uiPriority w:val="0"/>
    <w:pPr>
      <w:ind w:firstLine="200" w:firstLineChars="200"/>
    </w:pPr>
    <w:rPr>
      <w:rFonts w:ascii="宋体" w:hAnsi="宋体" w:cs="宋体"/>
    </w:rPr>
  </w:style>
  <w:style w:type="paragraph" w:customStyle="1" w:styleId="799">
    <w:name w:val="xl217"/>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800">
    <w:name w:val="Char Char Char Char Char Char Char Char Char Char Char Char Char Char Char Char Char Char Char Char Char Char Char Char Char Char Char Char Char Char Char"/>
    <w:basedOn w:val="1"/>
    <w:semiHidden/>
    <w:qFormat/>
    <w:uiPriority w:val="0"/>
    <w:pPr>
      <w:spacing w:line="360" w:lineRule="auto"/>
      <w:ind w:firstLine="200" w:firstLineChars="200"/>
    </w:pPr>
    <w:rPr>
      <w:rFonts w:ascii="宋体" w:hAnsi="宋体" w:cs="宋体"/>
    </w:rPr>
  </w:style>
  <w:style w:type="paragraph" w:customStyle="1" w:styleId="801">
    <w:name w:val="xl138"/>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kern w:val="0"/>
      <w:sz w:val="20"/>
      <w:szCs w:val="20"/>
    </w:rPr>
  </w:style>
  <w:style w:type="paragraph" w:customStyle="1" w:styleId="802">
    <w:name w:val="xl52"/>
    <w:basedOn w:val="1"/>
    <w:qFormat/>
    <w:uiPriority w:val="0"/>
    <w:pPr>
      <w:widowControl/>
      <w:spacing w:before="100" w:beforeAutospacing="1" w:after="100" w:afterAutospacing="1"/>
      <w:jc w:val="center"/>
    </w:pPr>
    <w:rPr>
      <w:rFonts w:eastAsia="Arial Unicode MS"/>
      <w:kern w:val="0"/>
      <w:sz w:val="20"/>
      <w:szCs w:val="20"/>
    </w:rPr>
  </w:style>
  <w:style w:type="paragraph" w:customStyle="1" w:styleId="803">
    <w:name w:val="Char Char Char Char Char Char Char Char Char Char1"/>
    <w:basedOn w:val="1"/>
    <w:qFormat/>
    <w:uiPriority w:val="0"/>
    <w:pPr>
      <w:spacing w:beforeLines="50" w:afterLines="50"/>
    </w:pPr>
    <w:rPr>
      <w:rFonts w:ascii="Tahoma" w:hAnsi="Tahoma"/>
      <w:szCs w:val="20"/>
    </w:rPr>
  </w:style>
  <w:style w:type="paragraph" w:customStyle="1" w:styleId="804">
    <w:name w:val="Char16"/>
    <w:basedOn w:val="1"/>
    <w:qFormat/>
    <w:uiPriority w:val="0"/>
    <w:pPr>
      <w:spacing w:line="360" w:lineRule="auto"/>
      <w:ind w:firstLine="200" w:firstLineChars="200"/>
    </w:pPr>
    <w:rPr>
      <w:rFonts w:ascii="宋体" w:hAnsi="宋体" w:cs="宋体"/>
    </w:rPr>
  </w:style>
  <w:style w:type="paragraph" w:customStyle="1" w:styleId="805">
    <w:name w:val="样式 样式 样式 报告书正文 + 倾斜 居中 底端: (粗-细窄间隔 自动设置  3 磅 行宽) + 底端: (粗-细窄间隔 自...2"/>
    <w:basedOn w:val="1"/>
    <w:qFormat/>
    <w:uiPriority w:val="0"/>
    <w:pPr>
      <w:pBdr>
        <w:bottom w:val="thickThinSmallGap" w:color="auto" w:sz="24" w:space="1"/>
      </w:pBdr>
      <w:tabs>
        <w:tab w:val="center" w:pos="4153"/>
        <w:tab w:val="right" w:pos="8306"/>
      </w:tabs>
      <w:adjustRightInd w:val="0"/>
      <w:snapToGrid w:val="0"/>
      <w:spacing w:line="400" w:lineRule="atLeast"/>
      <w:ind w:firstLine="567"/>
      <w:jc w:val="center"/>
    </w:pPr>
    <w:rPr>
      <w:i/>
      <w:szCs w:val="20"/>
    </w:rPr>
  </w:style>
  <w:style w:type="paragraph" w:customStyle="1" w:styleId="806">
    <w:name w:val="Char36"/>
    <w:basedOn w:val="1"/>
    <w:qFormat/>
    <w:uiPriority w:val="0"/>
    <w:pPr>
      <w:spacing w:line="360" w:lineRule="auto"/>
      <w:ind w:firstLine="200" w:firstLineChars="200"/>
    </w:pPr>
    <w:rPr>
      <w:rFonts w:ascii="宋体" w:hAnsi="宋体" w:cs="宋体"/>
    </w:rPr>
  </w:style>
  <w:style w:type="paragraph" w:customStyle="1" w:styleId="807">
    <w:name w:val="Char Char Char Char Char Char Char10"/>
    <w:basedOn w:val="1"/>
    <w:qFormat/>
    <w:uiPriority w:val="0"/>
    <w:pPr>
      <w:spacing w:line="360" w:lineRule="auto"/>
      <w:ind w:firstLine="200" w:firstLineChars="200"/>
    </w:pPr>
    <w:rPr>
      <w:rFonts w:ascii="宋体" w:hAnsi="宋体" w:cs="宋体"/>
    </w:rPr>
  </w:style>
  <w:style w:type="paragraph" w:customStyle="1" w:styleId="808">
    <w:name w:val="xl196"/>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黑体" w:hAnsi="黑体" w:eastAsia="黑体" w:cs="宋体"/>
      <w:color w:val="FF0000"/>
      <w:kern w:val="0"/>
      <w:sz w:val="18"/>
      <w:szCs w:val="18"/>
    </w:rPr>
  </w:style>
  <w:style w:type="paragraph" w:customStyle="1" w:styleId="809">
    <w:name w:val="xl176"/>
    <w:basedOn w:val="1"/>
    <w:qFormat/>
    <w:uiPriority w:val="0"/>
    <w:pPr>
      <w:widowControl/>
      <w:pBdr>
        <w:top w:val="single" w:color="auto" w:sz="4" w:space="0"/>
        <w:left w:val="single" w:color="auto" w:sz="8" w:space="0"/>
        <w:bottom w:val="single" w:color="auto" w:sz="4" w:space="0"/>
        <w:right w:val="single" w:color="auto" w:sz="4" w:space="0"/>
      </w:pBdr>
      <w:shd w:val="clear" w:color="000000" w:fill="FFFF00"/>
      <w:spacing w:before="100" w:beforeAutospacing="1" w:after="100" w:afterAutospacing="1"/>
      <w:jc w:val="center"/>
      <w:textAlignment w:val="center"/>
    </w:pPr>
    <w:rPr>
      <w:rFonts w:ascii="黑体" w:hAnsi="黑体" w:eastAsia="黑体" w:cs="宋体"/>
      <w:kern w:val="0"/>
      <w:sz w:val="18"/>
      <w:szCs w:val="18"/>
    </w:rPr>
  </w:style>
  <w:style w:type="paragraph" w:customStyle="1" w:styleId="810">
    <w:name w:val="xl187"/>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811">
    <w:name w:val="xl97"/>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黑体" w:hAnsi="宋体" w:eastAsia="黑体" w:cs="宋体"/>
      <w:color w:val="FF0000"/>
      <w:kern w:val="0"/>
      <w:sz w:val="18"/>
      <w:szCs w:val="18"/>
    </w:rPr>
  </w:style>
  <w:style w:type="paragraph" w:customStyle="1" w:styleId="812">
    <w:name w:val="样式 标题 4 + 宋体 小四 非加粗"/>
    <w:basedOn w:val="6"/>
    <w:qFormat/>
    <w:uiPriority w:val="0"/>
    <w:pPr>
      <w:numPr>
        <w:ilvl w:val="3"/>
        <w:numId w:val="3"/>
      </w:numPr>
      <w:tabs>
        <w:tab w:val="left" w:pos="482"/>
        <w:tab w:val="left" w:pos="785"/>
      </w:tabs>
      <w:spacing w:before="280" w:after="290" w:line="376" w:lineRule="auto"/>
    </w:pPr>
    <w:rPr>
      <w:rFonts w:ascii="宋体" w:hAnsi="宋体"/>
      <w:b w:val="0"/>
      <w:bCs w:val="0"/>
    </w:rPr>
  </w:style>
  <w:style w:type="paragraph" w:customStyle="1" w:styleId="813">
    <w:name w:val="章节"/>
    <w:next w:val="1"/>
    <w:qFormat/>
    <w:uiPriority w:val="0"/>
    <w:pPr>
      <w:adjustRightInd w:val="0"/>
      <w:snapToGrid w:val="0"/>
      <w:spacing w:beforeLines="300" w:afterLines="300"/>
    </w:pPr>
    <w:rPr>
      <w:rFonts w:ascii="黑体" w:hAnsi="Times New Roman" w:eastAsia="黑体" w:cs="Times New Roman"/>
      <w:b/>
      <w:spacing w:val="10"/>
      <w:sz w:val="28"/>
      <w:lang w:val="en-US" w:eastAsia="zh-CN" w:bidi="ar-SA"/>
    </w:rPr>
  </w:style>
  <w:style w:type="paragraph" w:customStyle="1" w:styleId="814">
    <w:name w:val="xl148"/>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815">
    <w:name w:val="Char10"/>
    <w:basedOn w:val="1"/>
    <w:qFormat/>
    <w:uiPriority w:val="0"/>
    <w:pPr>
      <w:spacing w:line="360" w:lineRule="auto"/>
      <w:ind w:firstLine="200" w:firstLineChars="200"/>
    </w:pPr>
    <w:rPr>
      <w:rFonts w:ascii="宋体" w:hAnsi="宋体" w:cs="宋体"/>
    </w:rPr>
  </w:style>
  <w:style w:type="paragraph" w:customStyle="1" w:styleId="816">
    <w:name w:val="Char Char Char Char Char Char Char Char Char Char Char Char Char Char Char Char Char Char Char Char Char Char Char Char Char Char Char Char Char Char Char Char Char Char Char Char Char Char Char Char Char Char Char Char Char Char6"/>
    <w:basedOn w:val="1"/>
    <w:next w:val="1"/>
    <w:semiHidden/>
    <w:qFormat/>
    <w:uiPriority w:val="0"/>
    <w:pPr>
      <w:pBdr>
        <w:right w:val="single" w:color="auto" w:sz="12" w:space="4"/>
      </w:pBdr>
      <w:spacing w:line="360" w:lineRule="auto"/>
      <w:ind w:firstLine="200" w:firstLineChars="200"/>
    </w:pPr>
    <w:rPr>
      <w:sz w:val="28"/>
      <w:szCs w:val="20"/>
    </w:rPr>
  </w:style>
  <w:style w:type="paragraph" w:customStyle="1" w:styleId="817">
    <w:name w:val="日期1"/>
    <w:basedOn w:val="1"/>
    <w:next w:val="1"/>
    <w:qFormat/>
    <w:uiPriority w:val="0"/>
    <w:pPr>
      <w:adjustRightInd w:val="0"/>
      <w:spacing w:line="360" w:lineRule="auto"/>
    </w:pPr>
    <w:rPr>
      <w:rFonts w:ascii="宋体"/>
      <w:b/>
      <w:snapToGrid w:val="0"/>
      <w:kern w:val="0"/>
      <w:sz w:val="28"/>
      <w:szCs w:val="20"/>
    </w:rPr>
  </w:style>
  <w:style w:type="paragraph" w:customStyle="1" w:styleId="818">
    <w:name w:val="Body Text Indent1"/>
    <w:basedOn w:val="1"/>
    <w:qFormat/>
    <w:uiPriority w:val="0"/>
    <w:pPr>
      <w:adjustRightInd w:val="0"/>
      <w:spacing w:line="360" w:lineRule="atLeast"/>
      <w:ind w:left="280" w:firstLine="560"/>
      <w:jc w:val="left"/>
      <w:textAlignment w:val="baseline"/>
    </w:pPr>
    <w:rPr>
      <w:kern w:val="0"/>
    </w:rPr>
  </w:style>
  <w:style w:type="paragraph" w:customStyle="1" w:styleId="819">
    <w:name w:val="Char Char Char Char5"/>
    <w:basedOn w:val="1"/>
    <w:qFormat/>
    <w:uiPriority w:val="0"/>
    <w:pPr>
      <w:spacing w:before="120" w:after="120" w:line="360" w:lineRule="auto"/>
      <w:ind w:firstLine="420"/>
    </w:pPr>
    <w:rPr>
      <w:rFonts w:ascii="Tahoma" w:hAnsi="Tahoma"/>
      <w:sz w:val="28"/>
      <w:szCs w:val="20"/>
    </w:rPr>
  </w:style>
  <w:style w:type="paragraph" w:customStyle="1" w:styleId="820">
    <w:name w:val="8"/>
    <w:basedOn w:val="1"/>
    <w:qFormat/>
    <w:uiPriority w:val="0"/>
    <w:pPr>
      <w:spacing w:line="360" w:lineRule="auto"/>
      <w:ind w:firstLine="480" w:firstLineChars="200"/>
    </w:pPr>
    <w:rPr>
      <w:kern w:val="10"/>
    </w:rPr>
  </w:style>
  <w:style w:type="paragraph" w:customStyle="1" w:styleId="821">
    <w:name w:val="普通 (Web)"/>
    <w:basedOn w:val="1"/>
    <w:qFormat/>
    <w:uiPriority w:val="0"/>
    <w:pPr>
      <w:widowControl/>
      <w:spacing w:before="100" w:beforeAutospacing="1" w:after="100" w:afterAutospacing="1"/>
      <w:jc w:val="left"/>
    </w:pPr>
    <w:rPr>
      <w:rFonts w:ascii="宋体" w:hAnsi="宋体" w:cs="宋体"/>
      <w:kern w:val="0"/>
    </w:rPr>
  </w:style>
  <w:style w:type="paragraph" w:customStyle="1" w:styleId="822">
    <w:name w:val="1.1.1"/>
    <w:next w:val="1"/>
    <w:qFormat/>
    <w:uiPriority w:val="0"/>
    <w:pPr>
      <w:widowControl w:val="0"/>
      <w:adjustRightInd w:val="0"/>
      <w:snapToGrid w:val="0"/>
      <w:spacing w:before="50" w:beforeLines="50" w:after="50" w:afterLines="50" w:line="300" w:lineRule="auto"/>
      <w:jc w:val="both"/>
    </w:pPr>
    <w:rPr>
      <w:rFonts w:ascii="宋体" w:hAnsi="Times New Roman" w:eastAsia="宋体" w:cs="Times New Roman"/>
      <w:b/>
      <w:spacing w:val="10"/>
      <w:sz w:val="24"/>
      <w:lang w:val="en-US" w:eastAsia="zh-CN" w:bidi="ar-SA"/>
    </w:rPr>
  </w:style>
  <w:style w:type="paragraph" w:customStyle="1" w:styleId="823">
    <w:name w:val=" Char Char Char Char Char Char1 Char Char Char1 Char Char Char Char Char Char Char Char Char Char Char Char Char Char Char1 Char Char Char1 Char Char Char Char Char Char1 Char1"/>
    <w:basedOn w:val="1"/>
    <w:qFormat/>
    <w:uiPriority w:val="0"/>
    <w:pPr>
      <w:spacing w:line="360" w:lineRule="auto"/>
      <w:ind w:firstLine="200" w:firstLineChars="200"/>
    </w:pPr>
    <w:rPr>
      <w:rFonts w:ascii="宋体" w:hAnsi="宋体" w:cs="宋体"/>
    </w:rPr>
  </w:style>
  <w:style w:type="paragraph" w:customStyle="1" w:styleId="824">
    <w:name w:val="xl166"/>
    <w:basedOn w:val="1"/>
    <w:qFormat/>
    <w:uiPriority w:val="0"/>
    <w:pPr>
      <w:widowControl/>
      <w:pBdr>
        <w:top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黑体" w:hAnsi="黑体" w:eastAsia="黑体" w:cs="宋体"/>
      <w:kern w:val="0"/>
      <w:sz w:val="18"/>
      <w:szCs w:val="18"/>
    </w:rPr>
  </w:style>
  <w:style w:type="paragraph" w:customStyle="1" w:styleId="825">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黑体" w:hAnsi="Arial Unicode MS" w:eastAsia="黑体" w:cs="Arial Unicode MS"/>
      <w:kern w:val="0"/>
      <w:sz w:val="18"/>
      <w:szCs w:val="18"/>
    </w:rPr>
  </w:style>
  <w:style w:type="paragraph" w:customStyle="1" w:styleId="826">
    <w:name w:val=" Char Char Char Char Char Char Char"/>
    <w:basedOn w:val="1"/>
    <w:qFormat/>
    <w:uiPriority w:val="0"/>
    <w:pPr>
      <w:spacing w:line="360" w:lineRule="auto"/>
      <w:ind w:firstLine="200" w:firstLineChars="200"/>
    </w:pPr>
    <w:rPr>
      <w:rFonts w:ascii="宋体" w:hAnsi="宋体" w:cs="宋体"/>
    </w:rPr>
  </w:style>
  <w:style w:type="paragraph" w:customStyle="1" w:styleId="827">
    <w:name w:val="CM75"/>
    <w:basedOn w:val="721"/>
    <w:next w:val="721"/>
    <w:qFormat/>
    <w:uiPriority w:val="99"/>
    <w:pPr>
      <w:spacing w:after="530" w:line="276" w:lineRule="auto"/>
      <w:jc w:val="both"/>
      <w:textAlignment w:val="baseline"/>
    </w:pPr>
    <w:rPr>
      <w:rFonts w:ascii="华文中宋" w:hAnsi="Calibri" w:eastAsia="华文中宋" w:cs="Times New Roman"/>
      <w:color w:val="auto"/>
      <w:kern w:val="2"/>
    </w:rPr>
  </w:style>
  <w:style w:type="paragraph" w:customStyle="1" w:styleId="828">
    <w:name w:val="正文文本 21"/>
    <w:basedOn w:val="1"/>
    <w:qFormat/>
    <w:uiPriority w:val="0"/>
    <w:pPr>
      <w:tabs>
        <w:tab w:val="left" w:pos="510"/>
      </w:tabs>
      <w:adjustRightInd w:val="0"/>
      <w:spacing w:line="460" w:lineRule="atLeast"/>
      <w:ind w:firstLine="664"/>
      <w:textAlignment w:val="baseline"/>
    </w:pPr>
    <w:rPr>
      <w:spacing w:val="26"/>
      <w:kern w:val="0"/>
      <w:sz w:val="28"/>
      <w:szCs w:val="20"/>
    </w:rPr>
  </w:style>
  <w:style w:type="paragraph" w:customStyle="1" w:styleId="829">
    <w:name w:val="xl171"/>
    <w:basedOn w:val="1"/>
    <w:qFormat/>
    <w:uiPriority w:val="0"/>
    <w:pPr>
      <w:widowControl/>
      <w:pBdr>
        <w:top w:val="single" w:color="auto" w:sz="4" w:space="0"/>
        <w:left w:val="single" w:color="auto" w:sz="4" w:space="0"/>
        <w:bottom w:val="single" w:color="auto" w:sz="4" w:space="0"/>
      </w:pBdr>
      <w:shd w:val="clear" w:color="000000" w:fill="FFFF00"/>
      <w:spacing w:before="100" w:beforeAutospacing="1" w:after="100" w:afterAutospacing="1"/>
      <w:jc w:val="center"/>
      <w:textAlignment w:val="center"/>
    </w:pPr>
    <w:rPr>
      <w:rFonts w:ascii="黑体" w:hAnsi="黑体" w:eastAsia="黑体" w:cs="宋体"/>
      <w:kern w:val="0"/>
      <w:sz w:val="18"/>
      <w:szCs w:val="18"/>
    </w:rPr>
  </w:style>
  <w:style w:type="paragraph" w:customStyle="1" w:styleId="830">
    <w:name w:val="样式 样式 正文缩进s4 + 首行缩进:  2 字符 + 首行缩进:  2 字符"/>
    <w:basedOn w:val="1"/>
    <w:qFormat/>
    <w:uiPriority w:val="0"/>
    <w:pPr>
      <w:adjustRightInd w:val="0"/>
      <w:snapToGrid w:val="0"/>
      <w:spacing w:line="560" w:lineRule="exact"/>
      <w:ind w:firstLine="600" w:firstLineChars="250"/>
    </w:pPr>
  </w:style>
  <w:style w:type="paragraph" w:customStyle="1" w:styleId="831">
    <w:name w:val="font10"/>
    <w:basedOn w:val="1"/>
    <w:qFormat/>
    <w:uiPriority w:val="0"/>
    <w:pPr>
      <w:widowControl/>
      <w:spacing w:before="100" w:beforeAutospacing="1" w:after="100" w:afterAutospacing="1"/>
      <w:jc w:val="left"/>
    </w:pPr>
    <w:rPr>
      <w:kern w:val="0"/>
      <w:sz w:val="22"/>
      <w:szCs w:val="22"/>
    </w:rPr>
  </w:style>
  <w:style w:type="paragraph" w:customStyle="1" w:styleId="832">
    <w:name w:val="p20"/>
    <w:basedOn w:val="1"/>
    <w:qFormat/>
    <w:uiPriority w:val="0"/>
    <w:pPr>
      <w:widowControl/>
    </w:pPr>
    <w:rPr>
      <w:rFonts w:ascii="宋体" w:hAnsi="宋体" w:cs="宋体"/>
      <w:kern w:val="0"/>
      <w:szCs w:val="21"/>
    </w:rPr>
  </w:style>
  <w:style w:type="paragraph" w:customStyle="1" w:styleId="833">
    <w:name w:val="Char Char Char Char Char Char1 Char Char Char Char Char Char Char"/>
    <w:basedOn w:val="5"/>
    <w:qFormat/>
    <w:uiPriority w:val="0"/>
    <w:pPr>
      <w:numPr>
        <w:ilvl w:val="0"/>
        <w:numId w:val="0"/>
      </w:numPr>
      <w:tabs>
        <w:tab w:val="left" w:pos="900"/>
      </w:tabs>
      <w:snapToGrid w:val="0"/>
      <w:spacing w:line="360" w:lineRule="auto"/>
      <w:jc w:val="left"/>
    </w:pPr>
    <w:rPr>
      <w:rFonts w:eastAsia="黑体"/>
      <w:b w:val="0"/>
      <w:bCs w:val="0"/>
      <w:snapToGrid w:val="0"/>
      <w:sz w:val="24"/>
      <w:szCs w:val="24"/>
    </w:rPr>
  </w:style>
  <w:style w:type="paragraph" w:customStyle="1" w:styleId="834">
    <w:name w:val="3 Char Char Char Char Char Char Char Char Char Char"/>
    <w:basedOn w:val="1"/>
    <w:qFormat/>
    <w:uiPriority w:val="0"/>
    <w:pPr>
      <w:snapToGrid w:val="0"/>
      <w:spacing w:line="360" w:lineRule="auto"/>
      <w:ind w:firstLine="200" w:firstLineChars="200"/>
    </w:pPr>
    <w:rPr>
      <w:rFonts w:eastAsia="仿宋_GB2312"/>
    </w:rPr>
  </w:style>
  <w:style w:type="paragraph" w:customStyle="1" w:styleId="835">
    <w:name w:val="xl2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黑体" w:eastAsia="黑体" w:cs="宋体"/>
      <w:kern w:val="0"/>
      <w:sz w:val="18"/>
      <w:szCs w:val="18"/>
    </w:rPr>
  </w:style>
  <w:style w:type="paragraph" w:customStyle="1" w:styleId="836">
    <w:name w:val="小表"/>
    <w:basedOn w:val="1"/>
    <w:qFormat/>
    <w:uiPriority w:val="0"/>
    <w:pPr>
      <w:overflowPunct w:val="0"/>
      <w:autoSpaceDE w:val="0"/>
      <w:autoSpaceDN w:val="0"/>
      <w:adjustRightInd w:val="0"/>
      <w:jc w:val="center"/>
      <w:textAlignment w:val="bottom"/>
    </w:pPr>
    <w:rPr>
      <w:kern w:val="0"/>
      <w:szCs w:val="21"/>
    </w:rPr>
  </w:style>
  <w:style w:type="paragraph" w:customStyle="1" w:styleId="837">
    <w:name w:val="样式 加粗 首行缩进:  2 字符"/>
    <w:basedOn w:val="1"/>
    <w:qFormat/>
    <w:uiPriority w:val="0"/>
    <w:pPr>
      <w:adjustRightInd w:val="0"/>
      <w:spacing w:line="360" w:lineRule="auto"/>
      <w:ind w:firstLine="482" w:firstLineChars="200"/>
    </w:pPr>
    <w:rPr>
      <w:rFonts w:cs="宋体"/>
      <w:b/>
      <w:bCs/>
      <w:szCs w:val="20"/>
    </w:rPr>
  </w:style>
  <w:style w:type="paragraph" w:customStyle="1" w:styleId="838">
    <w:name w:val="Char Char Char Char Char Char1 Char Char Char1 Char Char Char Char Char Char Char Char Char Char Char Char Char Char Char1 Char Char Char1 Char Char Char Char"/>
    <w:basedOn w:val="1"/>
    <w:qFormat/>
    <w:uiPriority w:val="0"/>
    <w:pPr>
      <w:spacing w:line="360" w:lineRule="auto"/>
      <w:ind w:firstLine="200" w:firstLineChars="200"/>
    </w:pPr>
    <w:rPr>
      <w:rFonts w:ascii="宋体" w:hAnsi="宋体" w:cs="宋体"/>
    </w:rPr>
  </w:style>
  <w:style w:type="paragraph" w:customStyle="1" w:styleId="839">
    <w:name w:val="xl6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黑体" w:hAnsi="宋体" w:eastAsia="黑体" w:cs="宋体"/>
      <w:kern w:val="0"/>
      <w:sz w:val="18"/>
      <w:szCs w:val="18"/>
    </w:rPr>
  </w:style>
  <w:style w:type="paragraph" w:customStyle="1" w:styleId="840">
    <w:name w:val="自制表格"/>
    <w:basedOn w:val="1"/>
    <w:next w:val="1"/>
    <w:qFormat/>
    <w:uiPriority w:val="0"/>
    <w:pPr>
      <w:spacing w:after="120"/>
    </w:pPr>
    <w:rPr>
      <w:rFonts w:ascii="宋体"/>
      <w:kern w:val="10"/>
      <w:sz w:val="28"/>
      <w:szCs w:val="20"/>
    </w:rPr>
  </w:style>
  <w:style w:type="paragraph" w:customStyle="1" w:styleId="841">
    <w:name w:val="Char Char Char1 Char3"/>
    <w:basedOn w:val="1"/>
    <w:next w:val="1"/>
    <w:semiHidden/>
    <w:qFormat/>
    <w:uiPriority w:val="0"/>
    <w:pPr>
      <w:spacing w:line="360" w:lineRule="auto"/>
      <w:ind w:firstLine="200" w:firstLineChars="200"/>
    </w:pPr>
    <w:rPr>
      <w:rFonts w:ascii="宋体" w:hAnsi="宋体" w:cs="宋体"/>
    </w:rPr>
  </w:style>
  <w:style w:type="paragraph" w:customStyle="1" w:styleId="842">
    <w:name w:val="Char Char Char Char Char Char Char Char Char Char Char Char Char Char Char Char Char Char Char Char Char Char Char Char Char Char Char Char Char Char Char Char Char Char Char Char Char Char Char Char Char Char Char Char Char Char8"/>
    <w:basedOn w:val="1"/>
    <w:next w:val="1"/>
    <w:semiHidden/>
    <w:qFormat/>
    <w:uiPriority w:val="0"/>
    <w:pPr>
      <w:pBdr>
        <w:right w:val="single" w:color="auto" w:sz="12" w:space="4"/>
      </w:pBdr>
      <w:spacing w:line="360" w:lineRule="auto"/>
      <w:ind w:firstLine="200" w:firstLineChars="200"/>
    </w:pPr>
    <w:rPr>
      <w:sz w:val="28"/>
      <w:szCs w:val="20"/>
    </w:rPr>
  </w:style>
  <w:style w:type="paragraph" w:customStyle="1" w:styleId="843">
    <w:name w:val="Char Char Char Char Char Char Char Char Char1 Char Char Char Char"/>
    <w:basedOn w:val="1"/>
    <w:semiHidden/>
    <w:qFormat/>
    <w:uiPriority w:val="0"/>
    <w:pPr>
      <w:spacing w:line="360" w:lineRule="auto"/>
      <w:ind w:firstLine="200" w:firstLineChars="200"/>
    </w:pPr>
    <w:rPr>
      <w:rFonts w:ascii="宋体" w:hAnsi="宋体"/>
      <w:szCs w:val="26"/>
    </w:rPr>
  </w:style>
  <w:style w:type="paragraph" w:customStyle="1" w:styleId="844">
    <w:name w:val="xl12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黑体" w:hAnsi="黑体" w:eastAsia="黑体" w:cs="宋体"/>
      <w:kern w:val="0"/>
      <w:sz w:val="18"/>
      <w:szCs w:val="18"/>
    </w:rPr>
  </w:style>
  <w:style w:type="paragraph" w:customStyle="1" w:styleId="845">
    <w:name w:val="表芯"/>
    <w:basedOn w:val="1"/>
    <w:next w:val="1"/>
    <w:qFormat/>
    <w:uiPriority w:val="0"/>
    <w:pPr>
      <w:keepNext/>
      <w:adjustRightInd w:val="0"/>
      <w:spacing w:before="20" w:line="0" w:lineRule="atLeast"/>
      <w:jc w:val="center"/>
      <w:textAlignment w:val="baseline"/>
    </w:pPr>
    <w:rPr>
      <w:rFonts w:ascii="宋体" w:hAnsi="宋体"/>
      <w:bCs/>
      <w:kern w:val="21"/>
      <w:szCs w:val="20"/>
    </w:rPr>
  </w:style>
  <w:style w:type="paragraph" w:customStyle="1" w:styleId="846">
    <w:name w:val="Char27"/>
    <w:basedOn w:val="1"/>
    <w:qFormat/>
    <w:uiPriority w:val="0"/>
    <w:pPr>
      <w:spacing w:line="360" w:lineRule="auto"/>
      <w:ind w:firstLine="200" w:firstLineChars="200"/>
    </w:pPr>
    <w:rPr>
      <w:rFonts w:ascii="宋体" w:hAnsi="宋体" w:cs="宋体"/>
    </w:rPr>
  </w:style>
  <w:style w:type="paragraph" w:customStyle="1" w:styleId="847">
    <w:name w:val="默认段落字体 Para Char Char Char Char Char Char Char Char Char Char Char"/>
    <w:basedOn w:val="5"/>
    <w:qFormat/>
    <w:uiPriority w:val="0"/>
    <w:pPr>
      <w:numPr>
        <w:ilvl w:val="0"/>
        <w:numId w:val="0"/>
      </w:numPr>
      <w:tabs>
        <w:tab w:val="left" w:pos="360"/>
        <w:tab w:val="left" w:pos="900"/>
      </w:tabs>
      <w:adjustRightInd w:val="0"/>
      <w:snapToGrid w:val="0"/>
      <w:spacing w:beforeLines="50" w:line="360" w:lineRule="auto"/>
      <w:ind w:left="542" w:leftChars="-12" w:firstLine="200" w:firstLineChars="200"/>
    </w:pPr>
    <w:rPr>
      <w:rFonts w:eastAsia="黑体"/>
      <w:bCs w:val="0"/>
      <w:sz w:val="24"/>
      <w:szCs w:val="24"/>
    </w:rPr>
  </w:style>
  <w:style w:type="paragraph" w:customStyle="1" w:styleId="848">
    <w:name w:val="xl133"/>
    <w:basedOn w:val="1"/>
    <w:qFormat/>
    <w:uiPriority w:val="0"/>
    <w:pPr>
      <w:widowControl/>
      <w:pBdr>
        <w:top w:val="single" w:color="auto" w:sz="4" w:space="0"/>
        <w:left w:val="single" w:color="auto" w:sz="4" w:space="0"/>
        <w:right w:val="single" w:color="auto" w:sz="4" w:space="0"/>
      </w:pBdr>
      <w:shd w:val="clear" w:color="000000" w:fill="92D050"/>
      <w:spacing w:before="100" w:beforeAutospacing="1" w:after="100" w:afterAutospacing="1"/>
      <w:jc w:val="center"/>
    </w:pPr>
    <w:rPr>
      <w:rFonts w:ascii="宋体" w:hAnsi="宋体" w:cs="宋体"/>
      <w:kern w:val="0"/>
      <w:sz w:val="20"/>
      <w:szCs w:val="20"/>
    </w:rPr>
  </w:style>
  <w:style w:type="paragraph" w:customStyle="1" w:styleId="849">
    <w:name w:val="xl131"/>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left"/>
    </w:pPr>
    <w:rPr>
      <w:rFonts w:ascii="宋体" w:hAnsi="宋体" w:cs="宋体"/>
      <w:kern w:val="0"/>
      <w:sz w:val="20"/>
      <w:szCs w:val="20"/>
    </w:rPr>
  </w:style>
  <w:style w:type="paragraph" w:customStyle="1" w:styleId="850">
    <w:name w:val="二期二级样式"/>
    <w:basedOn w:val="1"/>
    <w:qFormat/>
    <w:uiPriority w:val="0"/>
    <w:pPr>
      <w:widowControl/>
      <w:tabs>
        <w:tab w:val="left" w:pos="720"/>
      </w:tabs>
      <w:ind w:left="567" w:hanging="567"/>
      <w:jc w:val="left"/>
    </w:pPr>
    <w:rPr>
      <w:kern w:val="0"/>
    </w:rPr>
  </w:style>
  <w:style w:type="paragraph" w:customStyle="1" w:styleId="851">
    <w:name w:val="样式 正文 + 宋体"/>
    <w:basedOn w:val="209"/>
    <w:qFormat/>
    <w:uiPriority w:val="0"/>
    <w:pPr>
      <w:widowControl/>
      <w:overflowPunct w:val="0"/>
      <w:adjustRightInd/>
      <w:spacing w:line="500" w:lineRule="exact"/>
      <w:ind w:firstLine="539"/>
      <w:textAlignment w:val="auto"/>
    </w:pPr>
    <w:rPr>
      <w:rFonts w:ascii="Calibri" w:hAnsi="Calibri" w:cs="Arial"/>
      <w:sz w:val="28"/>
      <w:szCs w:val="28"/>
      <w:lang w:val="zh-CN"/>
    </w:rPr>
  </w:style>
  <w:style w:type="paragraph" w:customStyle="1" w:styleId="852">
    <w:name w:val="xl62"/>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rPr>
  </w:style>
  <w:style w:type="paragraph" w:customStyle="1" w:styleId="853">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22"/>
      <w:szCs w:val="22"/>
    </w:rPr>
  </w:style>
  <w:style w:type="paragraph" w:customStyle="1" w:styleId="854">
    <w:name w:val="Char28"/>
    <w:basedOn w:val="1"/>
    <w:qFormat/>
    <w:uiPriority w:val="0"/>
    <w:pPr>
      <w:spacing w:line="360" w:lineRule="auto"/>
      <w:ind w:firstLine="200" w:firstLineChars="200"/>
    </w:pPr>
    <w:rPr>
      <w:rFonts w:ascii="宋体" w:hAnsi="宋体" w:cs="宋体"/>
    </w:rPr>
  </w:style>
  <w:style w:type="paragraph" w:customStyle="1" w:styleId="855">
    <w:name w:val="xl41"/>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pPr>
    <w:rPr>
      <w:rFonts w:eastAsia="Arial Unicode MS"/>
      <w:kern w:val="0"/>
      <w:szCs w:val="21"/>
    </w:rPr>
  </w:style>
  <w:style w:type="paragraph" w:customStyle="1" w:styleId="856">
    <w:name w:val="标2"/>
    <w:basedOn w:val="1"/>
    <w:next w:val="32"/>
    <w:qFormat/>
    <w:uiPriority w:val="0"/>
    <w:pPr>
      <w:tabs>
        <w:tab w:val="left" w:pos="7875"/>
      </w:tabs>
      <w:adjustRightInd w:val="0"/>
      <w:snapToGrid w:val="0"/>
      <w:spacing w:before="240" w:after="120" w:line="460" w:lineRule="atLeast"/>
      <w:ind w:firstLine="510"/>
      <w:outlineLvl w:val="1"/>
    </w:pPr>
    <w:rPr>
      <w:rFonts w:ascii="黑体" w:eastAsia="黑体" w:cs="宋体"/>
      <w:b/>
      <w:bCs/>
      <w:color w:val="000000"/>
    </w:rPr>
  </w:style>
  <w:style w:type="paragraph" w:customStyle="1" w:styleId="857">
    <w:name w:val="0"/>
    <w:basedOn w:val="1"/>
    <w:qFormat/>
    <w:uiPriority w:val="0"/>
    <w:pPr>
      <w:widowControl/>
      <w:snapToGrid w:val="0"/>
    </w:pPr>
    <w:rPr>
      <w:kern w:val="0"/>
      <w:sz w:val="20"/>
      <w:szCs w:val="20"/>
    </w:rPr>
  </w:style>
  <w:style w:type="paragraph" w:customStyle="1" w:styleId="858">
    <w:name w:val="xl66"/>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Cs w:val="21"/>
    </w:rPr>
  </w:style>
  <w:style w:type="paragraph" w:customStyle="1" w:styleId="859">
    <w:name w:val="91"/>
    <w:basedOn w:val="860"/>
    <w:qFormat/>
    <w:uiPriority w:val="0"/>
    <w:pPr>
      <w:spacing w:before="62" w:after="62"/>
      <w:ind w:left="1" w:leftChars="-2" w:hanging="5" w:hangingChars="2"/>
    </w:pPr>
  </w:style>
  <w:style w:type="paragraph" w:customStyle="1" w:styleId="860">
    <w:name w:val="9"/>
    <w:basedOn w:val="1"/>
    <w:qFormat/>
    <w:uiPriority w:val="0"/>
    <w:pPr>
      <w:spacing w:beforeLines="20" w:afterLines="20" w:line="360" w:lineRule="auto"/>
      <w:ind w:firstLine="540" w:firstLineChars="225"/>
    </w:pPr>
    <w:rPr>
      <w:szCs w:val="20"/>
    </w:rPr>
  </w:style>
  <w:style w:type="paragraph" w:customStyle="1" w:styleId="861">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rPr>
  </w:style>
  <w:style w:type="paragraph" w:customStyle="1" w:styleId="862">
    <w:name w:val="1 Char Char Char Char Char Char Char Char Char Char Char Char1"/>
    <w:basedOn w:val="1"/>
    <w:qFormat/>
    <w:uiPriority w:val="0"/>
    <w:pPr>
      <w:widowControl/>
      <w:jc w:val="left"/>
    </w:pPr>
    <w:rPr>
      <w:rFonts w:ascii="宋体" w:hAnsi="宋体" w:cs="宋体"/>
      <w:kern w:val="0"/>
    </w:rPr>
  </w:style>
  <w:style w:type="paragraph" w:customStyle="1" w:styleId="863">
    <w:name w:val="图表格式"/>
    <w:basedOn w:val="1"/>
    <w:qFormat/>
    <w:uiPriority w:val="0"/>
    <w:pPr>
      <w:adjustRightInd w:val="0"/>
      <w:snapToGrid w:val="0"/>
      <w:spacing w:line="360" w:lineRule="auto"/>
      <w:ind w:firstLine="250" w:firstLineChars="250"/>
    </w:pPr>
    <w:rPr>
      <w:rFonts w:eastAsia="黑体"/>
      <w:snapToGrid w:val="0"/>
      <w:kern w:val="0"/>
    </w:rPr>
  </w:style>
  <w:style w:type="paragraph" w:customStyle="1" w:styleId="864">
    <w:name w:val="111表格"/>
    <w:basedOn w:val="1"/>
    <w:qFormat/>
    <w:uiPriority w:val="0"/>
    <w:pPr>
      <w:widowControl/>
      <w:adjustRightInd w:val="0"/>
      <w:snapToGrid w:val="0"/>
      <w:jc w:val="center"/>
    </w:pPr>
    <w:rPr>
      <w:sz w:val="21"/>
    </w:rPr>
  </w:style>
  <w:style w:type="paragraph" w:customStyle="1" w:styleId="865">
    <w:name w:val="正文22磅"/>
    <w:basedOn w:val="1"/>
    <w:qFormat/>
    <w:uiPriority w:val="0"/>
    <w:pPr>
      <w:widowControl/>
      <w:spacing w:line="420" w:lineRule="exact"/>
      <w:ind w:firstLine="480" w:firstLineChars="200"/>
      <w:jc w:val="left"/>
    </w:pPr>
    <w:rPr>
      <w:rFonts w:ascii="宋体" w:hAnsi="宋体" w:cs="宋体"/>
      <w:kern w:val="0"/>
    </w:rPr>
  </w:style>
  <w:style w:type="paragraph" w:customStyle="1" w:styleId="866">
    <w:name w:val="正文首行缩进2"/>
    <w:basedOn w:val="32"/>
    <w:qFormat/>
    <w:uiPriority w:val="0"/>
    <w:pPr>
      <w:autoSpaceDE w:val="0"/>
      <w:autoSpaceDN w:val="0"/>
      <w:adjustRightInd w:val="0"/>
      <w:spacing w:line="312" w:lineRule="auto"/>
      <w:ind w:firstLine="567"/>
      <w:jc w:val="left"/>
      <w:textAlignment w:val="baseline"/>
    </w:pPr>
    <w:rPr>
      <w:rFonts w:ascii="宋体"/>
      <w:kern w:val="0"/>
      <w:sz w:val="28"/>
      <w:szCs w:val="20"/>
      <w:lang w:val="en-US" w:eastAsia="zh-CN"/>
    </w:rPr>
  </w:style>
  <w:style w:type="paragraph" w:customStyle="1" w:styleId="867">
    <w:name w:val="1 Char Char Char Char Char Char Char Char Char Char Char Char Char Char Char1"/>
    <w:basedOn w:val="1"/>
    <w:qFormat/>
    <w:uiPriority w:val="0"/>
    <w:pPr>
      <w:widowControl/>
      <w:jc w:val="left"/>
    </w:pPr>
    <w:rPr>
      <w:rFonts w:ascii="宋体" w:hAnsi="宋体" w:cs="宋体"/>
      <w:kern w:val="0"/>
    </w:rPr>
  </w:style>
  <w:style w:type="paragraph" w:customStyle="1" w:styleId="868">
    <w:name w:val="font6"/>
    <w:basedOn w:val="1"/>
    <w:qFormat/>
    <w:uiPriority w:val="0"/>
    <w:pPr>
      <w:widowControl/>
      <w:spacing w:before="100" w:beforeAutospacing="1" w:after="100" w:afterAutospacing="1"/>
      <w:jc w:val="left"/>
    </w:pPr>
    <w:rPr>
      <w:rFonts w:eastAsia="Arial Unicode MS"/>
      <w:kern w:val="0"/>
      <w:szCs w:val="21"/>
    </w:rPr>
  </w:style>
  <w:style w:type="paragraph" w:customStyle="1" w:styleId="869">
    <w:name w:val="Char Char Char Char Char Char1 Char Char Char1 Char Char Char Char Char Char Char Char Char Char Char Char Char Char Char1 Char Char Char1 Char Char Char Char Char Char1 Char Char Char Char Char1"/>
    <w:basedOn w:val="1"/>
    <w:qFormat/>
    <w:uiPriority w:val="0"/>
    <w:pPr>
      <w:spacing w:line="360" w:lineRule="auto"/>
      <w:ind w:firstLine="200" w:firstLineChars="200"/>
    </w:pPr>
    <w:rPr>
      <w:rFonts w:ascii="宋体" w:hAnsi="宋体" w:cs="宋体"/>
    </w:rPr>
  </w:style>
  <w:style w:type="paragraph" w:customStyle="1" w:styleId="870">
    <w:name w:val="样式 样式 样式 倾斜 居中 底端: (粗-细窄间隔 自动设置  3 磅 行宽) + 非倾斜 底端: (粗-细窄间隔 自动设置 ..."/>
    <w:basedOn w:val="772"/>
    <w:qFormat/>
    <w:uiPriority w:val="0"/>
    <w:pPr>
      <w:spacing w:line="240" w:lineRule="exact"/>
    </w:pPr>
    <w:rPr>
      <w:i/>
      <w:iCs/>
    </w:rPr>
  </w:style>
  <w:style w:type="paragraph" w:customStyle="1" w:styleId="871">
    <w:name w:val="Char Char Char Char1 Char Char Char Char Char Char Char Char1 Char Char Char"/>
    <w:basedOn w:val="1"/>
    <w:qFormat/>
    <w:uiPriority w:val="0"/>
    <w:pPr>
      <w:ind w:firstLine="200" w:firstLineChars="200"/>
    </w:pPr>
    <w:rPr>
      <w:rFonts w:ascii="宋体" w:hAnsi="宋体" w:cs="宋体"/>
    </w:rPr>
  </w:style>
  <w:style w:type="paragraph" w:customStyle="1" w:styleId="872">
    <w:name w:val="xl10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color w:val="000000"/>
      <w:kern w:val="0"/>
      <w:sz w:val="18"/>
      <w:szCs w:val="18"/>
    </w:rPr>
  </w:style>
  <w:style w:type="paragraph" w:customStyle="1" w:styleId="873">
    <w:name w:val=" Char Char Char Char Char Char1 Char Char Char1 Char Char Char Char Char Char Char Char Char Char Char Char Char Char Char1 Char Char Char1 Char Char Char Char Char Char"/>
    <w:basedOn w:val="1"/>
    <w:qFormat/>
    <w:uiPriority w:val="0"/>
    <w:pPr>
      <w:spacing w:line="360" w:lineRule="auto"/>
      <w:ind w:firstLine="200" w:firstLineChars="200"/>
    </w:pPr>
    <w:rPr>
      <w:rFonts w:ascii="宋体" w:hAnsi="宋体" w:cs="宋体"/>
    </w:rPr>
  </w:style>
  <w:style w:type="paragraph" w:customStyle="1" w:styleId="874">
    <w:name w:val="xl32"/>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eastAsia="Arial Unicode MS" w:cs="Arial Unicode MS"/>
      <w:kern w:val="0"/>
      <w:szCs w:val="21"/>
    </w:rPr>
  </w:style>
  <w:style w:type="paragraph" w:customStyle="1" w:styleId="875">
    <w:name w:val="xl192"/>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876">
    <w:name w:val="文章正文文字"/>
    <w:basedOn w:val="1"/>
    <w:semiHidden/>
    <w:qFormat/>
    <w:uiPriority w:val="0"/>
    <w:pPr>
      <w:spacing w:line="520" w:lineRule="exact"/>
      <w:jc w:val="left"/>
    </w:pPr>
    <w:rPr>
      <w:szCs w:val="24"/>
    </w:rPr>
  </w:style>
  <w:style w:type="paragraph" w:customStyle="1" w:styleId="877">
    <w:name w:val="Char Char Char Char16"/>
    <w:basedOn w:val="1"/>
    <w:qFormat/>
    <w:uiPriority w:val="0"/>
    <w:rPr>
      <w:sz w:val="21"/>
      <w:szCs w:val="21"/>
    </w:rPr>
  </w:style>
  <w:style w:type="paragraph" w:customStyle="1" w:styleId="878">
    <w:name w:val="Char Char Char Char Char Char1 Char Char Char1 Char Char Char Char Char Char Char Char Char Char Char Char Char Char Char1 Char Char Char Char Char Char"/>
    <w:basedOn w:val="1"/>
    <w:qFormat/>
    <w:uiPriority w:val="0"/>
    <w:pPr>
      <w:widowControl/>
      <w:spacing w:line="360" w:lineRule="auto"/>
      <w:ind w:firstLine="200" w:firstLineChars="200"/>
      <w:jc w:val="left"/>
    </w:pPr>
    <w:rPr>
      <w:rFonts w:ascii="宋体" w:hAnsi="宋体" w:cs="宋体"/>
      <w:kern w:val="0"/>
    </w:rPr>
  </w:style>
  <w:style w:type="paragraph" w:customStyle="1" w:styleId="879">
    <w:name w:val="正文缩进 Char Char Char"/>
    <w:basedOn w:val="1"/>
    <w:next w:val="44"/>
    <w:qFormat/>
    <w:uiPriority w:val="0"/>
    <w:rPr>
      <w:rFonts w:ascii="宋体" w:hAnsi="Courier New" w:cs="Courier New"/>
      <w:szCs w:val="21"/>
    </w:rPr>
  </w:style>
  <w:style w:type="paragraph" w:customStyle="1" w:styleId="880">
    <w:name w:val="xl184"/>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881">
    <w:name w:val="Char39"/>
    <w:basedOn w:val="1"/>
    <w:qFormat/>
    <w:uiPriority w:val="0"/>
    <w:pPr>
      <w:spacing w:line="360" w:lineRule="auto"/>
      <w:ind w:firstLine="200" w:firstLineChars="200"/>
    </w:pPr>
    <w:rPr>
      <w:rFonts w:ascii="宋体" w:hAnsi="宋体" w:cs="宋体"/>
    </w:rPr>
  </w:style>
  <w:style w:type="paragraph" w:customStyle="1" w:styleId="882">
    <w:name w:val="xl10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color w:val="0000FF"/>
      <w:kern w:val="0"/>
      <w:sz w:val="18"/>
      <w:szCs w:val="18"/>
    </w:rPr>
  </w:style>
  <w:style w:type="paragraph" w:customStyle="1" w:styleId="883">
    <w:name w:val=" Char Char Char Char Char"/>
    <w:basedOn w:val="1"/>
    <w:next w:val="1"/>
    <w:semiHidden/>
    <w:qFormat/>
    <w:uiPriority w:val="0"/>
    <w:pPr>
      <w:spacing w:line="336" w:lineRule="auto"/>
      <w:ind w:firstLine="200" w:firstLineChars="200"/>
    </w:pPr>
    <w:rPr>
      <w:rFonts w:ascii="宋体" w:hAnsi="宋体" w:eastAsia="汉鼎简书宋" w:cs="宋体"/>
    </w:rPr>
  </w:style>
  <w:style w:type="paragraph" w:customStyle="1" w:styleId="884">
    <w:name w:val="Char Char4 Char Char Char Char Char Char Char Char"/>
    <w:basedOn w:val="1"/>
    <w:qFormat/>
    <w:uiPriority w:val="0"/>
    <w:pPr>
      <w:spacing w:line="360" w:lineRule="auto"/>
      <w:ind w:firstLine="200" w:firstLineChars="200"/>
    </w:pPr>
    <w:rPr>
      <w:rFonts w:ascii="宋体" w:hAnsi="宋体" w:cs="宋体"/>
    </w:rPr>
  </w:style>
  <w:style w:type="paragraph" w:customStyle="1" w:styleId="885">
    <w:name w:val="xl221"/>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886">
    <w:name w:val="Char Char Char Char Char Char1 Char Char Char1 Char Char Char Char Char Char Char Char Char Char Char Char Char Char Char"/>
    <w:basedOn w:val="1"/>
    <w:qFormat/>
    <w:uiPriority w:val="0"/>
    <w:pPr>
      <w:widowControl/>
      <w:spacing w:line="360" w:lineRule="auto"/>
      <w:ind w:firstLine="200" w:firstLineChars="200"/>
      <w:jc w:val="left"/>
    </w:pPr>
    <w:rPr>
      <w:rFonts w:ascii="宋体" w:hAnsi="宋体" w:cs="宋体"/>
      <w:kern w:val="0"/>
    </w:rPr>
  </w:style>
  <w:style w:type="paragraph" w:customStyle="1" w:styleId="887">
    <w:name w:val="样式 标题 4 + 首行缩进:  2 字符"/>
    <w:basedOn w:val="6"/>
    <w:qFormat/>
    <w:uiPriority w:val="0"/>
    <w:pPr>
      <w:numPr>
        <w:ilvl w:val="0"/>
        <w:numId w:val="0"/>
      </w:numPr>
      <w:tabs>
        <w:tab w:val="left" w:pos="755"/>
      </w:tabs>
      <w:ind w:firstLine="480" w:firstLineChars="200"/>
      <w:jc w:val="left"/>
    </w:pPr>
    <w:rPr>
      <w:rFonts w:ascii="Times New Roman" w:hAnsi="Times New Roman" w:cs="宋体"/>
      <w:bCs w:val="0"/>
      <w:kern w:val="44"/>
      <w:sz w:val="28"/>
      <w:szCs w:val="20"/>
      <w:lang w:val="en-US" w:eastAsia="zh-CN"/>
    </w:rPr>
  </w:style>
  <w:style w:type="paragraph" w:customStyle="1" w:styleId="888">
    <w:name w:val=" Char Char Char Char Char Char1 Char Char Char1 Char Char Char Char Char Char Char Char Char Char Char Char Char Char Char1 Char Char Char1 Char Char Char Char Char Char1 Char Char Char"/>
    <w:basedOn w:val="1"/>
    <w:qFormat/>
    <w:uiPriority w:val="0"/>
    <w:pPr>
      <w:spacing w:line="360" w:lineRule="auto"/>
      <w:ind w:firstLine="200" w:firstLineChars="200"/>
    </w:pPr>
    <w:rPr>
      <w:rFonts w:ascii="宋体" w:hAnsi="宋体" w:cs="宋体"/>
    </w:rPr>
  </w:style>
  <w:style w:type="paragraph" w:customStyle="1" w:styleId="889">
    <w:name w:val="xl152"/>
    <w:basedOn w:val="1"/>
    <w:qFormat/>
    <w:uiPriority w:val="0"/>
    <w:pPr>
      <w:widowControl/>
      <w:pBdr>
        <w:bottom w:val="single" w:color="auto" w:sz="4" w:space="0"/>
      </w:pBdr>
      <w:shd w:val="clear" w:color="000000" w:fill="FFFFFF"/>
      <w:spacing w:before="100" w:beforeAutospacing="1" w:after="100" w:afterAutospacing="1"/>
      <w:jc w:val="right"/>
      <w:textAlignment w:val="center"/>
    </w:pPr>
    <w:rPr>
      <w:rFonts w:ascii="黑体" w:hAnsi="黑体" w:eastAsia="黑体" w:cs="宋体"/>
      <w:kern w:val="0"/>
      <w:sz w:val="18"/>
      <w:szCs w:val="18"/>
    </w:rPr>
  </w:style>
  <w:style w:type="paragraph" w:customStyle="1" w:styleId="890">
    <w:name w:val="xl281"/>
    <w:basedOn w:val="1"/>
    <w:qFormat/>
    <w:uiPriority w:val="0"/>
    <w:pPr>
      <w:widowControl/>
      <w:pBdr>
        <w:top w:val="single" w:color="auto" w:sz="4" w:space="0"/>
        <w:left w:val="single" w:color="auto" w:sz="4" w:space="0"/>
      </w:pBdr>
      <w:shd w:val="clear" w:color="000000" w:fill="FFFFFF"/>
      <w:spacing w:before="100" w:beforeAutospacing="1" w:after="100" w:afterAutospacing="1"/>
      <w:jc w:val="left"/>
      <w:textAlignment w:val="center"/>
    </w:pPr>
    <w:rPr>
      <w:rFonts w:ascii="黑体" w:hAnsi="黑体" w:eastAsia="黑体" w:cs="宋体"/>
      <w:kern w:val="0"/>
      <w:sz w:val="18"/>
      <w:szCs w:val="18"/>
    </w:rPr>
  </w:style>
  <w:style w:type="paragraph" w:customStyle="1" w:styleId="891">
    <w:name w:val="Char1 Char Char Char Char Char Char Char Char Char Char Char Char Char Char Char Char Char Char Char Char Char Char Char Char Char Char Char Char Char3 Char Char Char Char Char Char Char Char Char Char Char Char Char Char Char Char"/>
    <w:basedOn w:val="1"/>
    <w:semiHidden/>
    <w:qFormat/>
    <w:uiPriority w:val="0"/>
    <w:rPr>
      <w:sz w:val="21"/>
    </w:rPr>
  </w:style>
  <w:style w:type="paragraph" w:customStyle="1" w:styleId="892">
    <w:name w:val="xl126"/>
    <w:basedOn w:val="1"/>
    <w:qFormat/>
    <w:uiPriority w:val="0"/>
    <w:pPr>
      <w:widowControl/>
      <w:pBdr>
        <w:left w:val="single" w:color="auto" w:sz="4" w:space="0"/>
        <w:right w:val="single" w:color="auto" w:sz="4" w:space="0"/>
      </w:pBdr>
      <w:spacing w:before="100" w:beforeAutospacing="1" w:after="100" w:afterAutospacing="1"/>
      <w:jc w:val="center"/>
    </w:pPr>
    <w:rPr>
      <w:rFonts w:ascii="黑体" w:hAnsi="黑体" w:eastAsia="黑体" w:cs="宋体"/>
      <w:color w:val="0000FF"/>
      <w:kern w:val="0"/>
      <w:sz w:val="18"/>
      <w:szCs w:val="18"/>
    </w:rPr>
  </w:style>
  <w:style w:type="paragraph" w:customStyle="1" w:styleId="893">
    <w:name w:val="样式 样式 宋体 小四 段前: 5 磅 段后: 5 磅 行距: 1.5 倍行距 + 首行缩进:  2 字符"/>
    <w:basedOn w:val="1"/>
    <w:qFormat/>
    <w:uiPriority w:val="0"/>
    <w:pPr>
      <w:spacing w:line="360" w:lineRule="auto"/>
      <w:ind w:firstLine="200" w:firstLineChars="200"/>
    </w:pPr>
    <w:rPr>
      <w:rFonts w:ascii="宋体" w:hAnsi="宋体" w:cs="宋体"/>
      <w:szCs w:val="20"/>
    </w:rPr>
  </w:style>
  <w:style w:type="paragraph" w:customStyle="1" w:styleId="894">
    <w:name w:val="标题4"/>
    <w:basedOn w:val="1"/>
    <w:qFormat/>
    <w:uiPriority w:val="0"/>
    <w:pPr>
      <w:outlineLvl w:val="0"/>
    </w:pPr>
    <w:rPr>
      <w:b/>
      <w:bCs/>
      <w:sz w:val="28"/>
      <w:szCs w:val="28"/>
    </w:rPr>
  </w:style>
  <w:style w:type="paragraph" w:customStyle="1" w:styleId="895">
    <w:name w:val="xl3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2"/>
      <w:szCs w:val="22"/>
    </w:rPr>
  </w:style>
  <w:style w:type="paragraph" w:customStyle="1" w:styleId="896">
    <w:name w:val="表内5中"/>
    <w:basedOn w:val="44"/>
    <w:qFormat/>
    <w:uiPriority w:val="0"/>
    <w:pPr>
      <w:adjustRightInd w:val="0"/>
      <w:snapToGrid w:val="0"/>
      <w:jc w:val="center"/>
    </w:pPr>
    <w:rPr>
      <w:rFonts w:ascii="Times New Roman" w:hAnsi="Times New Roman"/>
      <w:szCs w:val="24"/>
    </w:rPr>
  </w:style>
  <w:style w:type="paragraph" w:customStyle="1" w:styleId="897">
    <w:name w:val="font7"/>
    <w:basedOn w:val="1"/>
    <w:qFormat/>
    <w:uiPriority w:val="0"/>
    <w:pPr>
      <w:widowControl/>
      <w:spacing w:before="100" w:beforeAutospacing="1" w:after="100" w:afterAutospacing="1"/>
      <w:jc w:val="left"/>
    </w:pPr>
    <w:rPr>
      <w:rFonts w:hint="eastAsia" w:ascii="宋体" w:hAnsi="宋体" w:cs="Arial Unicode MS"/>
      <w:kern w:val="0"/>
      <w:szCs w:val="21"/>
    </w:rPr>
  </w:style>
  <w:style w:type="paragraph" w:customStyle="1" w:styleId="898">
    <w:name w:val="font1"/>
    <w:basedOn w:val="1"/>
    <w:qFormat/>
    <w:uiPriority w:val="0"/>
    <w:pPr>
      <w:widowControl/>
      <w:spacing w:before="100" w:beforeAutospacing="1" w:after="100" w:afterAutospacing="1"/>
      <w:jc w:val="left"/>
    </w:pPr>
    <w:rPr>
      <w:rFonts w:hint="eastAsia" w:ascii="宋体" w:hAnsi="宋体" w:cs="Arial Unicode MS"/>
      <w:kern w:val="0"/>
    </w:rPr>
  </w:style>
  <w:style w:type="paragraph" w:customStyle="1" w:styleId="899">
    <w:name w:val="Char51"/>
    <w:basedOn w:val="1"/>
    <w:qFormat/>
    <w:uiPriority w:val="0"/>
    <w:pPr>
      <w:spacing w:line="360" w:lineRule="auto"/>
      <w:ind w:firstLine="200" w:firstLineChars="200"/>
    </w:pPr>
    <w:rPr>
      <w:rFonts w:ascii="宋体" w:hAnsi="宋体" w:cs="宋体"/>
    </w:rPr>
  </w:style>
  <w:style w:type="paragraph" w:customStyle="1" w:styleId="900">
    <w:name w:val="Char23"/>
    <w:basedOn w:val="1"/>
    <w:qFormat/>
    <w:uiPriority w:val="0"/>
    <w:pPr>
      <w:spacing w:line="360" w:lineRule="auto"/>
      <w:ind w:firstLine="200" w:firstLineChars="200"/>
    </w:pPr>
    <w:rPr>
      <w:rFonts w:ascii="宋体" w:hAnsi="宋体" w:cs="宋体"/>
    </w:rPr>
  </w:style>
  <w:style w:type="paragraph" w:customStyle="1" w:styleId="901">
    <w:name w:val="样式 正文首行缩进 + (符号) 宋体 四号 首行缩进:  2 字符"/>
    <w:basedOn w:val="410"/>
    <w:qFormat/>
    <w:uiPriority w:val="0"/>
    <w:pPr>
      <w:tabs>
        <w:tab w:val="left" w:pos="628"/>
        <w:tab w:val="left" w:pos="1727"/>
        <w:tab w:val="left" w:pos="1884"/>
        <w:tab w:val="left" w:pos="4900"/>
      </w:tabs>
      <w:autoSpaceDE w:val="0"/>
      <w:autoSpaceDN w:val="0"/>
      <w:adjustRightInd w:val="0"/>
      <w:snapToGrid w:val="0"/>
      <w:spacing w:line="600" w:lineRule="exact"/>
      <w:ind w:firstLine="560" w:firstLineChars="200"/>
      <w:jc w:val="left"/>
    </w:pPr>
    <w:rPr>
      <w:rFonts w:ascii="宋体" w:hAnsi="宋体" w:cs="宋体"/>
      <w:kern w:val="0"/>
      <w:sz w:val="28"/>
      <w:szCs w:val="20"/>
      <w:lang w:val="zh-CN"/>
    </w:rPr>
  </w:style>
  <w:style w:type="paragraph" w:customStyle="1" w:styleId="902">
    <w:name w:val="Char49"/>
    <w:basedOn w:val="1"/>
    <w:qFormat/>
    <w:uiPriority w:val="0"/>
    <w:pPr>
      <w:spacing w:line="360" w:lineRule="auto"/>
      <w:ind w:firstLine="200" w:firstLineChars="200"/>
    </w:pPr>
    <w:rPr>
      <w:rFonts w:ascii="宋体" w:hAnsi="宋体" w:cs="宋体"/>
    </w:rPr>
  </w:style>
  <w:style w:type="paragraph" w:customStyle="1" w:styleId="903">
    <w:name w:val="表格11111"/>
    <w:basedOn w:val="1"/>
    <w:qFormat/>
    <w:uiPriority w:val="0"/>
    <w:pPr>
      <w:widowControl/>
      <w:snapToGrid w:val="0"/>
      <w:spacing w:line="0" w:lineRule="atLeast"/>
      <w:jc w:val="center"/>
    </w:pPr>
    <w:rPr>
      <w:kern w:val="0"/>
      <w:sz w:val="18"/>
      <w:szCs w:val="18"/>
    </w:rPr>
  </w:style>
  <w:style w:type="paragraph" w:customStyle="1" w:styleId="904">
    <w:name w:val="Char Char Char Char Char Char Char3"/>
    <w:basedOn w:val="1"/>
    <w:qFormat/>
    <w:uiPriority w:val="0"/>
    <w:pPr>
      <w:spacing w:line="360" w:lineRule="auto"/>
      <w:ind w:firstLine="200" w:firstLineChars="200"/>
    </w:pPr>
    <w:rPr>
      <w:rFonts w:ascii="宋体" w:hAnsi="宋体" w:cs="宋体"/>
    </w:rPr>
  </w:style>
  <w:style w:type="paragraph" w:customStyle="1" w:styleId="905">
    <w:name w:val="表标题"/>
    <w:basedOn w:val="1"/>
    <w:qFormat/>
    <w:uiPriority w:val="0"/>
    <w:pPr>
      <w:adjustRightInd w:val="0"/>
      <w:snapToGrid w:val="0"/>
      <w:spacing w:line="360" w:lineRule="auto"/>
      <w:ind w:firstLine="472" w:firstLineChars="200"/>
      <w:jc w:val="center"/>
    </w:pPr>
    <w:rPr>
      <w:color w:val="000000"/>
      <w:spacing w:val="-2"/>
      <w:kern w:val="0"/>
      <w:szCs w:val="20"/>
    </w:rPr>
  </w:style>
  <w:style w:type="paragraph" w:customStyle="1" w:styleId="906">
    <w:name w:val="Char Char Char Char Char Char Char Char Char Char Char Char Char Char Char Char Char Char Char Char Char Char Char Char Char Char Char Char Char Char Char Char Char Char Char Char Char Char Char Char Char Char Char Char Char Char1"/>
    <w:basedOn w:val="1"/>
    <w:next w:val="1"/>
    <w:semiHidden/>
    <w:qFormat/>
    <w:uiPriority w:val="0"/>
    <w:pPr>
      <w:pBdr>
        <w:right w:val="single" w:color="auto" w:sz="12" w:space="4"/>
      </w:pBdr>
      <w:spacing w:line="360" w:lineRule="auto"/>
      <w:ind w:firstLine="200" w:firstLineChars="200"/>
    </w:pPr>
    <w:rPr>
      <w:sz w:val="28"/>
      <w:szCs w:val="20"/>
    </w:rPr>
  </w:style>
  <w:style w:type="paragraph" w:customStyle="1" w:styleId="907">
    <w:name w:val="xl6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kern w:val="0"/>
      <w:sz w:val="18"/>
      <w:szCs w:val="18"/>
    </w:rPr>
  </w:style>
  <w:style w:type="paragraph" w:customStyle="1" w:styleId="908">
    <w:name w:val="中文报告书样式"/>
    <w:basedOn w:val="1"/>
    <w:qFormat/>
    <w:uiPriority w:val="0"/>
    <w:pPr>
      <w:adjustRightInd w:val="0"/>
      <w:spacing w:line="360" w:lineRule="auto"/>
      <w:ind w:firstLine="482"/>
      <w:textAlignment w:val="baseline"/>
    </w:pPr>
    <w:rPr>
      <w:kern w:val="24"/>
      <w:szCs w:val="20"/>
    </w:rPr>
  </w:style>
  <w:style w:type="paragraph" w:customStyle="1" w:styleId="909">
    <w:name w:val="正文文字 3"/>
    <w:basedOn w:val="1"/>
    <w:qFormat/>
    <w:uiPriority w:val="0"/>
    <w:pPr>
      <w:spacing w:after="120"/>
    </w:pPr>
    <w:rPr>
      <w:sz w:val="16"/>
      <w:szCs w:val="16"/>
    </w:rPr>
  </w:style>
  <w:style w:type="paragraph" w:customStyle="1" w:styleId="910">
    <w:name w:val="表格标题"/>
    <w:basedOn w:val="1"/>
    <w:qFormat/>
    <w:uiPriority w:val="0"/>
    <w:pPr>
      <w:ind w:firstLine="482"/>
    </w:pPr>
    <w:rPr>
      <w:rFonts w:ascii="宋体" w:hAnsi="宋体"/>
    </w:rPr>
  </w:style>
  <w:style w:type="paragraph" w:customStyle="1" w:styleId="911">
    <w:name w:val="Char Char Char Char1"/>
    <w:basedOn w:val="1"/>
    <w:qFormat/>
    <w:uiPriority w:val="0"/>
    <w:pPr>
      <w:ind w:firstLine="200" w:firstLineChars="200"/>
    </w:pPr>
    <w:rPr>
      <w:rFonts w:ascii="宋体" w:hAnsi="宋体" w:cs="宋体"/>
    </w:rPr>
  </w:style>
  <w:style w:type="paragraph" w:customStyle="1" w:styleId="912">
    <w:name w:val="Char18"/>
    <w:basedOn w:val="1"/>
    <w:qFormat/>
    <w:uiPriority w:val="0"/>
    <w:pPr>
      <w:spacing w:line="360" w:lineRule="auto"/>
      <w:ind w:firstLine="200" w:firstLineChars="200"/>
    </w:pPr>
    <w:rPr>
      <w:rFonts w:ascii="宋体" w:hAnsi="宋体" w:cs="宋体"/>
    </w:rPr>
  </w:style>
  <w:style w:type="paragraph" w:customStyle="1" w:styleId="913">
    <w:name w:val="样式 左侧:  0.98 厘米"/>
    <w:basedOn w:val="1"/>
    <w:qFormat/>
    <w:uiPriority w:val="0"/>
    <w:pPr>
      <w:adjustRightInd w:val="0"/>
      <w:snapToGrid w:val="0"/>
      <w:spacing w:line="490" w:lineRule="exact"/>
      <w:ind w:firstLine="560" w:firstLineChars="200"/>
    </w:pPr>
    <w:rPr>
      <w:rFonts w:eastAsia="仿宋_GB2312"/>
      <w:sz w:val="28"/>
      <w:szCs w:val="20"/>
    </w:rPr>
  </w:style>
  <w:style w:type="paragraph" w:customStyle="1" w:styleId="914">
    <w:name w:val="样式10"/>
    <w:basedOn w:val="1"/>
    <w:qFormat/>
    <w:uiPriority w:val="0"/>
    <w:pPr>
      <w:framePr w:hSpace="181" w:vSpace="181" w:wrap="around" w:vAnchor="text" w:hAnchor="text" w:y="1"/>
      <w:jc w:val="center"/>
    </w:pPr>
    <w:rPr>
      <w:rFonts w:ascii="宋体" w:hAnsi="宋体" w:cs="宋体"/>
      <w:sz w:val="22"/>
      <w:szCs w:val="22"/>
    </w:rPr>
  </w:style>
  <w:style w:type="paragraph" w:customStyle="1" w:styleId="915">
    <w:name w:val="默认段落字体 Para Char Char Char Char Char Char Char Char Char1 Char Char Char Char Char Char Char"/>
    <w:basedOn w:val="1"/>
    <w:qFormat/>
    <w:uiPriority w:val="0"/>
    <w:rPr>
      <w:b/>
      <w:bCs/>
      <w:sz w:val="36"/>
      <w:szCs w:val="32"/>
    </w:rPr>
  </w:style>
  <w:style w:type="paragraph" w:customStyle="1" w:styleId="916">
    <w:name w:val="段落样式"/>
    <w:basedOn w:val="1"/>
    <w:qFormat/>
    <w:uiPriority w:val="0"/>
    <w:pPr>
      <w:keepNext/>
      <w:suppressLineNumbers/>
      <w:suppressAutoHyphens/>
      <w:topLinePunct/>
      <w:adjustRightInd w:val="0"/>
      <w:snapToGrid w:val="0"/>
      <w:spacing w:line="300" w:lineRule="auto"/>
      <w:textAlignment w:val="baseline"/>
    </w:pPr>
    <w:rPr>
      <w:rFonts w:ascii="宋体" w:hAnsi="宋体"/>
      <w:snapToGrid w:val="0"/>
      <w:color w:val="000000"/>
      <w:w w:val="80"/>
      <w:kern w:val="0"/>
      <w:sz w:val="28"/>
      <w:szCs w:val="20"/>
    </w:rPr>
  </w:style>
  <w:style w:type="paragraph" w:customStyle="1" w:styleId="917">
    <w:name w:val="Body Text Indent"/>
    <w:basedOn w:val="1"/>
    <w:qFormat/>
    <w:uiPriority w:val="0"/>
    <w:pPr>
      <w:spacing w:line="360" w:lineRule="auto"/>
      <w:ind w:firstLine="480" w:firstLineChars="204"/>
    </w:pPr>
  </w:style>
  <w:style w:type="paragraph" w:customStyle="1" w:styleId="918">
    <w:name w:val="xl173"/>
    <w:basedOn w:val="1"/>
    <w:qFormat/>
    <w:uiPriority w:val="0"/>
    <w:pPr>
      <w:widowControl/>
      <w:pBdr>
        <w:top w:val="single" w:color="auto" w:sz="4" w:space="0"/>
        <w:bottom w:val="single" w:color="auto" w:sz="4" w:space="0"/>
      </w:pBdr>
      <w:shd w:val="clear" w:color="000000" w:fill="FFFF00"/>
      <w:spacing w:before="100" w:beforeAutospacing="1" w:after="100" w:afterAutospacing="1"/>
      <w:jc w:val="left"/>
      <w:textAlignment w:val="center"/>
    </w:pPr>
    <w:rPr>
      <w:rFonts w:ascii="黑体" w:hAnsi="黑体" w:eastAsia="黑体" w:cs="宋体"/>
      <w:kern w:val="0"/>
      <w:sz w:val="18"/>
      <w:szCs w:val="18"/>
    </w:rPr>
  </w:style>
  <w:style w:type="paragraph" w:customStyle="1" w:styleId="919">
    <w:name w:val="_Style 917"/>
    <w:basedOn w:val="3"/>
    <w:next w:val="1"/>
    <w:qFormat/>
    <w:uiPriority w:val="39"/>
    <w:pPr>
      <w:widowControl/>
      <w:numPr>
        <w:ilvl w:val="0"/>
        <w:numId w:val="0"/>
      </w:numPr>
      <w:spacing w:before="480" w:after="0" w:line="276" w:lineRule="auto"/>
      <w:jc w:val="left"/>
      <w:outlineLvl w:val="9"/>
    </w:pPr>
    <w:rPr>
      <w:rFonts w:ascii="Cambria" w:hAnsi="Cambria"/>
      <w:color w:val="365F91"/>
      <w:kern w:val="0"/>
      <w:sz w:val="28"/>
      <w:szCs w:val="28"/>
    </w:rPr>
  </w:style>
  <w:style w:type="paragraph" w:customStyle="1" w:styleId="920">
    <w:name w:val="Char22"/>
    <w:basedOn w:val="1"/>
    <w:qFormat/>
    <w:uiPriority w:val="0"/>
  </w:style>
  <w:style w:type="paragraph" w:customStyle="1" w:styleId="921">
    <w:name w:val="Char6"/>
    <w:basedOn w:val="1"/>
    <w:qFormat/>
    <w:uiPriority w:val="0"/>
    <w:pPr>
      <w:spacing w:line="360" w:lineRule="auto"/>
      <w:ind w:firstLine="200" w:firstLineChars="200"/>
    </w:pPr>
    <w:rPr>
      <w:rFonts w:ascii="宋体" w:hAnsi="宋体" w:cs="宋体"/>
    </w:rPr>
  </w:style>
  <w:style w:type="paragraph" w:customStyle="1" w:styleId="922">
    <w:name w:val="Char Char Char Char Char Char Char Char Char Char Char Char Char Char Char Char Char Char Char Char Char Char Char Char Char Char Char Char Char Char Char Char Char Char Char Char Char Char Char Char Char Char Char Char Char Char9"/>
    <w:basedOn w:val="1"/>
    <w:next w:val="1"/>
    <w:semiHidden/>
    <w:qFormat/>
    <w:uiPriority w:val="0"/>
    <w:pPr>
      <w:pBdr>
        <w:right w:val="single" w:color="auto" w:sz="12" w:space="4"/>
      </w:pBdr>
      <w:spacing w:line="360" w:lineRule="auto"/>
      <w:ind w:firstLine="200" w:firstLineChars="200"/>
    </w:pPr>
    <w:rPr>
      <w:sz w:val="28"/>
      <w:szCs w:val="20"/>
    </w:rPr>
  </w:style>
  <w:style w:type="paragraph" w:customStyle="1" w:styleId="923">
    <w:name w:val="2级标题"/>
    <w:basedOn w:val="1"/>
    <w:qFormat/>
    <w:uiPriority w:val="0"/>
    <w:pPr>
      <w:spacing w:line="480" w:lineRule="auto"/>
      <w:jc w:val="left"/>
      <w:outlineLvl w:val="1"/>
    </w:pPr>
    <w:rPr>
      <w:rFonts w:eastAsia="黑体"/>
      <w:b/>
      <w:color w:val="000000"/>
      <w:sz w:val="30"/>
      <w:szCs w:val="32"/>
    </w:rPr>
  </w:style>
  <w:style w:type="paragraph" w:customStyle="1" w:styleId="924">
    <w:name w:val=" Char Char Char1 Char Char Char Char Char Char Char Char Char Char"/>
    <w:basedOn w:val="1"/>
    <w:qFormat/>
    <w:uiPriority w:val="0"/>
    <w:pPr>
      <w:snapToGrid w:val="0"/>
      <w:spacing w:line="440" w:lineRule="atLeast"/>
      <w:ind w:firstLine="200" w:firstLineChars="200"/>
    </w:pPr>
    <w:rPr>
      <w:sz w:val="21"/>
      <w:szCs w:val="20"/>
    </w:rPr>
  </w:style>
  <w:style w:type="paragraph" w:customStyle="1" w:styleId="925">
    <w:name w:val="样式 表格 + 左侧:  0.98 厘米"/>
    <w:basedOn w:val="1"/>
    <w:qFormat/>
    <w:uiPriority w:val="0"/>
    <w:pPr>
      <w:adjustRightInd w:val="0"/>
      <w:snapToGrid w:val="0"/>
      <w:spacing w:before="100" w:beforeAutospacing="1" w:after="100" w:afterAutospacing="1" w:line="300" w:lineRule="auto"/>
    </w:pPr>
    <w:rPr>
      <w:rFonts w:ascii="Arial" w:hAnsi="Arial"/>
      <w:snapToGrid w:val="0"/>
      <w:kern w:val="0"/>
      <w:sz w:val="21"/>
      <w:szCs w:val="20"/>
    </w:rPr>
  </w:style>
  <w:style w:type="paragraph" w:customStyle="1" w:styleId="926">
    <w:name w:val=" Char Char Char Char Char Char1 Char Char Char1 Char Char Char Char Char Char Char Char Char Char"/>
    <w:basedOn w:val="1"/>
    <w:semiHidden/>
    <w:qFormat/>
    <w:uiPriority w:val="0"/>
    <w:pPr>
      <w:spacing w:line="360" w:lineRule="auto"/>
      <w:ind w:firstLine="200" w:firstLineChars="200"/>
    </w:pPr>
    <w:rPr>
      <w:rFonts w:ascii="宋体" w:hAnsi="宋体" w:cs="宋体"/>
    </w:rPr>
  </w:style>
  <w:style w:type="paragraph" w:customStyle="1" w:styleId="927">
    <w:name w:val="正文段落"/>
    <w:basedOn w:val="410"/>
    <w:qFormat/>
    <w:uiPriority w:val="0"/>
    <w:pPr>
      <w:topLinePunct/>
      <w:adjustRightInd w:val="0"/>
      <w:spacing w:line="360" w:lineRule="auto"/>
      <w:ind w:firstLine="525"/>
      <w:textAlignment w:val="baseline"/>
    </w:pPr>
    <w:rPr>
      <w:kern w:val="0"/>
      <w:sz w:val="28"/>
      <w:szCs w:val="20"/>
    </w:rPr>
  </w:style>
  <w:style w:type="paragraph" w:customStyle="1" w:styleId="928">
    <w:name w:val="xl8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黑体" w:hAnsi="宋体" w:eastAsia="黑体" w:cs="宋体"/>
      <w:color w:val="0000FF"/>
      <w:kern w:val="0"/>
      <w:sz w:val="18"/>
      <w:szCs w:val="18"/>
    </w:rPr>
  </w:style>
  <w:style w:type="paragraph" w:customStyle="1" w:styleId="929">
    <w:name w:val="Char Char Char Char Char Char1 Char Char Char Char Char Char Char1"/>
    <w:basedOn w:val="5"/>
    <w:semiHidden/>
    <w:qFormat/>
    <w:uiPriority w:val="0"/>
    <w:pPr>
      <w:numPr>
        <w:ilvl w:val="0"/>
        <w:numId w:val="0"/>
      </w:numPr>
      <w:tabs>
        <w:tab w:val="left" w:pos="900"/>
      </w:tabs>
      <w:snapToGrid w:val="0"/>
      <w:spacing w:line="360" w:lineRule="auto"/>
      <w:jc w:val="left"/>
    </w:pPr>
    <w:rPr>
      <w:rFonts w:eastAsia="黑体"/>
      <w:b w:val="0"/>
      <w:bCs w:val="0"/>
      <w:snapToGrid w:val="0"/>
      <w:sz w:val="24"/>
      <w:szCs w:val="24"/>
    </w:rPr>
  </w:style>
  <w:style w:type="paragraph" w:customStyle="1" w:styleId="930">
    <w:name w:val="Char5"/>
    <w:basedOn w:val="1"/>
    <w:qFormat/>
    <w:uiPriority w:val="0"/>
    <w:pPr>
      <w:spacing w:line="360" w:lineRule="auto"/>
      <w:ind w:firstLine="200" w:firstLineChars="200"/>
    </w:pPr>
    <w:rPr>
      <w:rFonts w:ascii="宋体" w:hAnsi="宋体" w:cs="宋体"/>
    </w:rPr>
  </w:style>
  <w:style w:type="paragraph" w:customStyle="1" w:styleId="931">
    <w:name w:val="Char21"/>
    <w:basedOn w:val="1"/>
    <w:qFormat/>
    <w:uiPriority w:val="0"/>
    <w:pPr>
      <w:spacing w:line="360" w:lineRule="auto"/>
      <w:ind w:firstLine="200" w:firstLineChars="200"/>
    </w:pPr>
    <w:rPr>
      <w:rFonts w:ascii="宋体" w:hAnsi="宋体" w:cs="宋体"/>
    </w:rPr>
  </w:style>
  <w:style w:type="paragraph" w:customStyle="1" w:styleId="932">
    <w:name w:val="xl9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color w:val="000000"/>
      <w:kern w:val="0"/>
      <w:sz w:val="18"/>
      <w:szCs w:val="18"/>
    </w:rPr>
  </w:style>
  <w:style w:type="paragraph" w:customStyle="1" w:styleId="933">
    <w:name w:val="Char20"/>
    <w:basedOn w:val="1"/>
    <w:qFormat/>
    <w:uiPriority w:val="0"/>
    <w:pPr>
      <w:spacing w:line="360" w:lineRule="auto"/>
      <w:ind w:firstLine="200" w:firstLineChars="200"/>
    </w:pPr>
    <w:rPr>
      <w:rFonts w:ascii="宋体" w:hAnsi="宋体" w:cs="宋体"/>
    </w:rPr>
  </w:style>
  <w:style w:type="paragraph" w:customStyle="1" w:styleId="934">
    <w:name w:val="宇宏正文"/>
    <w:basedOn w:val="1"/>
    <w:qFormat/>
    <w:uiPriority w:val="0"/>
    <w:pPr>
      <w:spacing w:line="480" w:lineRule="exact"/>
      <w:ind w:firstLine="200" w:firstLineChars="200"/>
    </w:pPr>
  </w:style>
  <w:style w:type="paragraph" w:customStyle="1" w:styleId="935">
    <w:name w:val="样式 样式 样式 样式 标题 3 + 宋体 四号 段前: 6 磅 段后: 0 磅 行距: 1.5 倍行距 + 首行缩进:  2 ..."/>
    <w:basedOn w:val="1"/>
    <w:qFormat/>
    <w:uiPriority w:val="0"/>
    <w:pPr>
      <w:keepNext/>
      <w:keepLines/>
      <w:spacing w:before="120" w:beforeLines="50" w:line="360" w:lineRule="auto"/>
      <w:ind w:firstLine="560" w:firstLineChars="200"/>
      <w:outlineLvl w:val="2"/>
    </w:pPr>
    <w:rPr>
      <w:rFonts w:ascii="仿宋_GB2312" w:eastAsia="仿宋_GB2312"/>
      <w:sz w:val="28"/>
      <w:szCs w:val="28"/>
    </w:rPr>
  </w:style>
  <w:style w:type="paragraph" w:customStyle="1" w:styleId="936">
    <w:name w:val="正文 New New New New New New New New New New New New New New New New New New New New New New New New New"/>
    <w:next w:val="937"/>
    <w:qFormat/>
    <w:uiPriority w:val="0"/>
    <w:pPr>
      <w:widowControl w:val="0"/>
      <w:jc w:val="both"/>
    </w:pPr>
    <w:rPr>
      <w:rFonts w:ascii="Times New Roman" w:hAnsi="Times New Roman" w:eastAsia="宋体" w:cs="Times New Roman"/>
      <w:sz w:val="21"/>
      <w:lang w:val="en-US" w:eastAsia="zh-CN" w:bidi="ar-SA"/>
    </w:rPr>
  </w:style>
  <w:style w:type="paragraph" w:customStyle="1" w:styleId="937">
    <w:name w:val="xl48"/>
    <w:basedOn w:val="1"/>
    <w:next w:val="938"/>
    <w:qFormat/>
    <w:uiPriority w:val="0"/>
    <w:pPr>
      <w:widowControl/>
      <w:pBdr>
        <w:top w:val="single" w:color="auto" w:sz="4" w:space="0"/>
        <w:left w:val="double" w:color="auto" w:sz="6" w:space="0"/>
        <w:bottom w:val="single" w:color="auto" w:sz="4" w:space="0"/>
      </w:pBdr>
      <w:spacing w:before="100" w:beforeAutospacing="1" w:after="100" w:afterAutospacing="1"/>
      <w:jc w:val="center"/>
      <w:textAlignment w:val="center"/>
    </w:pPr>
    <w:rPr>
      <w:rFonts w:ascii="Arial Unicode MS" w:hAnsi="Arial Unicode MS" w:eastAsia="Arial Unicode MS" w:cs="Arial Unicode MS"/>
      <w:kern w:val="0"/>
    </w:rPr>
  </w:style>
  <w:style w:type="paragraph" w:customStyle="1" w:styleId="938">
    <w:name w:val="我的标题2"/>
    <w:basedOn w:val="1"/>
    <w:next w:val="939"/>
    <w:qFormat/>
    <w:uiPriority w:val="0"/>
    <w:pPr>
      <w:ind w:firstLine="576" w:firstLineChars="192"/>
    </w:pPr>
    <w:rPr>
      <w:rFonts w:ascii="黑体" w:eastAsia="黑体"/>
      <w:sz w:val="30"/>
    </w:rPr>
  </w:style>
  <w:style w:type="paragraph" w:customStyle="1" w:styleId="939">
    <w:name w:val="List 5"/>
    <w:basedOn w:val="1"/>
    <w:next w:val="940"/>
    <w:qFormat/>
    <w:uiPriority w:val="0"/>
    <w:pPr>
      <w:widowControl/>
      <w:autoSpaceDE/>
      <w:autoSpaceDN/>
      <w:spacing w:before="0" w:beforeLines="0" w:after="0" w:afterLines="0" w:line="440" w:lineRule="exact"/>
      <w:ind w:left="100" w:hanging="200"/>
    </w:pPr>
    <w:rPr>
      <w:rFonts w:ascii="宋体" w:eastAsia="宋体"/>
      <w:sz w:val="24"/>
    </w:rPr>
  </w:style>
  <w:style w:type="paragraph" w:customStyle="1" w:styleId="940">
    <w:name w:val="大华农正文"/>
    <w:basedOn w:val="1"/>
    <w:next w:val="941"/>
    <w:qFormat/>
    <w:uiPriority w:val="0"/>
    <w:pPr>
      <w:spacing w:line="360" w:lineRule="auto"/>
      <w:ind w:firstLine="200"/>
    </w:pPr>
  </w:style>
  <w:style w:type="paragraph" w:customStyle="1" w:styleId="941">
    <w:name w:val=" Char Char Char Char Char Char1 Char Char Char1 Char Char Char Char Char Char Char"/>
    <w:basedOn w:val="1"/>
    <w:next w:val="942"/>
    <w:qFormat/>
    <w:uiPriority w:val="0"/>
    <w:pPr>
      <w:spacing w:line="360" w:lineRule="auto"/>
      <w:ind w:firstLine="200" w:firstLineChars="200"/>
    </w:pPr>
    <w:rPr>
      <w:rFonts w:ascii="宋体" w:hAnsi="宋体" w:cs="宋体"/>
    </w:rPr>
  </w:style>
  <w:style w:type="paragraph" w:customStyle="1" w:styleId="942">
    <w:name w:val="标准"/>
    <w:basedOn w:val="1"/>
    <w:next w:val="943"/>
    <w:qFormat/>
    <w:uiPriority w:val="0"/>
    <w:pPr>
      <w:suppressAutoHyphens/>
      <w:adjustRightInd w:val="0"/>
      <w:textAlignment w:val="baseline"/>
    </w:pPr>
    <w:rPr>
      <w:spacing w:val="-4"/>
      <w:kern w:val="0"/>
      <w:sz w:val="28"/>
      <w:szCs w:val="20"/>
    </w:rPr>
  </w:style>
  <w:style w:type="paragraph" w:customStyle="1" w:styleId="943">
    <w:name w:val="MTDisplayEquation"/>
    <w:basedOn w:val="1"/>
    <w:next w:val="1"/>
    <w:qFormat/>
    <w:uiPriority w:val="0"/>
    <w:pPr>
      <w:widowControl w:val="0"/>
      <w:autoSpaceDE/>
      <w:autoSpaceDN/>
      <w:spacing w:before="0" w:after="0" w:line="360" w:lineRule="auto"/>
      <w:ind w:left="0" w:firstLine="480"/>
    </w:pPr>
    <w:rPr>
      <w:rFonts w:ascii="Times New Roman" w:eastAsia="宋体"/>
      <w:sz w:val="24"/>
    </w:rPr>
  </w:style>
  <w:style w:type="paragraph" w:customStyle="1" w:styleId="944">
    <w:name w:val="Char Char Char Char Char Char Char Char Char Char Char Char Char Char Char Char Char Char Char Char Char Char Char Char Char Char Char Char Char Char Char Char Char Char Char Char Char Char Char Char Char Char Char Char Char Char3"/>
    <w:basedOn w:val="1"/>
    <w:next w:val="1"/>
    <w:semiHidden/>
    <w:qFormat/>
    <w:uiPriority w:val="0"/>
    <w:pPr>
      <w:pBdr>
        <w:right w:val="single" w:color="auto" w:sz="12" w:space="4"/>
      </w:pBdr>
      <w:spacing w:line="360" w:lineRule="auto"/>
      <w:ind w:firstLine="200" w:firstLineChars="200"/>
    </w:pPr>
    <w:rPr>
      <w:sz w:val="28"/>
      <w:szCs w:val="20"/>
    </w:rPr>
  </w:style>
  <w:style w:type="paragraph" w:customStyle="1" w:styleId="945">
    <w:name w:val="album-div"/>
    <w:basedOn w:val="1"/>
    <w:qFormat/>
    <w:uiPriority w:val="0"/>
    <w:pPr>
      <w:widowControl/>
      <w:spacing w:before="100" w:beforeAutospacing="1" w:after="100" w:afterAutospacing="1"/>
      <w:jc w:val="left"/>
    </w:pPr>
    <w:rPr>
      <w:rFonts w:ascii="宋体" w:hAnsi="宋体" w:cs="宋体"/>
      <w:kern w:val="0"/>
    </w:rPr>
  </w:style>
  <w:style w:type="paragraph" w:customStyle="1" w:styleId="946">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8"/>
      <w:szCs w:val="28"/>
    </w:rPr>
  </w:style>
  <w:style w:type="paragraph" w:customStyle="1" w:styleId="947">
    <w:name w:val="Body Text 2"/>
    <w:basedOn w:val="1"/>
    <w:qFormat/>
    <w:uiPriority w:val="0"/>
    <w:pPr>
      <w:tabs>
        <w:tab w:val="left" w:pos="510"/>
      </w:tabs>
      <w:adjustRightInd w:val="0"/>
      <w:spacing w:line="460" w:lineRule="atLeast"/>
      <w:ind w:firstLine="664"/>
      <w:textAlignment w:val="baseline"/>
    </w:pPr>
    <w:rPr>
      <w:spacing w:val="26"/>
      <w:kern w:val="0"/>
      <w:sz w:val="28"/>
      <w:szCs w:val="20"/>
    </w:rPr>
  </w:style>
  <w:style w:type="paragraph" w:customStyle="1" w:styleId="948">
    <w:name w:val="第一章"/>
    <w:basedOn w:val="3"/>
    <w:qFormat/>
    <w:uiPriority w:val="0"/>
    <w:pPr>
      <w:numPr>
        <w:ilvl w:val="0"/>
        <w:numId w:val="0"/>
      </w:numPr>
      <w:spacing w:before="0" w:after="0" w:line="720" w:lineRule="auto"/>
    </w:pPr>
    <w:rPr>
      <w:rFonts w:eastAsia="黑体"/>
      <w:szCs w:val="36"/>
    </w:rPr>
  </w:style>
  <w:style w:type="paragraph" w:customStyle="1" w:styleId="949">
    <w:name w:val="样式 样式 样式 报告书正文 + 倾斜 居中 底端: (粗-细窄间隔 自动设置  3 磅 行宽) + 底端: (粗-细窄间隔 自...1"/>
    <w:basedOn w:val="1"/>
    <w:qFormat/>
    <w:uiPriority w:val="0"/>
    <w:pPr>
      <w:pBdr>
        <w:bottom w:val="thickThinSmallGap" w:color="auto" w:sz="24" w:space="1"/>
      </w:pBdr>
      <w:tabs>
        <w:tab w:val="center" w:pos="4153"/>
        <w:tab w:val="right" w:pos="8306"/>
      </w:tabs>
      <w:adjustRightInd w:val="0"/>
      <w:snapToGrid w:val="0"/>
      <w:spacing w:line="400" w:lineRule="atLeast"/>
      <w:ind w:firstLine="567"/>
      <w:jc w:val="center"/>
    </w:pPr>
    <w:rPr>
      <w:i/>
      <w:szCs w:val="20"/>
    </w:rPr>
  </w:style>
  <w:style w:type="paragraph" w:customStyle="1" w:styleId="950">
    <w:name w:val="样式2 Char Char Char Char Char1"/>
    <w:basedOn w:val="1"/>
    <w:qFormat/>
    <w:uiPriority w:val="0"/>
    <w:pPr>
      <w:widowControl/>
      <w:jc w:val="left"/>
    </w:pPr>
    <w:rPr>
      <w:color w:val="000000"/>
    </w:rPr>
  </w:style>
  <w:style w:type="paragraph" w:customStyle="1" w:styleId="951">
    <w:name w:val="表格（小）"/>
    <w:basedOn w:val="1"/>
    <w:qFormat/>
    <w:uiPriority w:val="0"/>
    <w:pPr>
      <w:adjustRightInd w:val="0"/>
      <w:snapToGrid w:val="0"/>
    </w:pPr>
    <w:rPr>
      <w:snapToGrid w:val="0"/>
      <w:kern w:val="0"/>
      <w:szCs w:val="20"/>
    </w:rPr>
  </w:style>
  <w:style w:type="paragraph" w:customStyle="1" w:styleId="952">
    <w:name w:val="+正文"/>
    <w:basedOn w:val="1"/>
    <w:qFormat/>
    <w:uiPriority w:val="0"/>
    <w:pPr>
      <w:spacing w:line="360" w:lineRule="auto"/>
      <w:ind w:firstLine="200" w:firstLineChars="200"/>
    </w:pPr>
    <w:rPr>
      <w:sz w:val="28"/>
      <w:szCs w:val="28"/>
    </w:rPr>
  </w:style>
  <w:style w:type="paragraph" w:customStyle="1" w:styleId="953">
    <w:name w:val="Char2"/>
    <w:basedOn w:val="1"/>
    <w:qFormat/>
    <w:uiPriority w:val="0"/>
    <w:pPr>
      <w:spacing w:line="360" w:lineRule="auto"/>
      <w:ind w:firstLine="200" w:firstLineChars="200"/>
    </w:pPr>
    <w:rPr>
      <w:rFonts w:ascii="宋体" w:hAnsi="宋体" w:cs="宋体"/>
    </w:rPr>
  </w:style>
  <w:style w:type="paragraph" w:customStyle="1" w:styleId="954">
    <w:name w:val="3"/>
    <w:basedOn w:val="1"/>
    <w:next w:val="80"/>
    <w:qFormat/>
    <w:uiPriority w:val="0"/>
  </w:style>
  <w:style w:type="paragraph" w:customStyle="1" w:styleId="955">
    <w:name w:val="样式 样式 样式 报告书正文 + 倾斜 居中 底端: (粗-细窄间隔 自动设置  3 磅 行宽) + 底端: (粗-细窄间隔 自..."/>
    <w:basedOn w:val="1"/>
    <w:qFormat/>
    <w:uiPriority w:val="0"/>
    <w:pPr>
      <w:pBdr>
        <w:bottom w:val="thickThinSmallGap" w:color="auto" w:sz="24" w:space="1"/>
      </w:pBdr>
      <w:tabs>
        <w:tab w:val="center" w:pos="4153"/>
        <w:tab w:val="right" w:pos="8306"/>
      </w:tabs>
      <w:adjustRightInd w:val="0"/>
      <w:snapToGrid w:val="0"/>
      <w:spacing w:line="400" w:lineRule="atLeast"/>
      <w:ind w:firstLine="567"/>
      <w:jc w:val="center"/>
    </w:pPr>
    <w:rPr>
      <w:iCs/>
      <w:szCs w:val="20"/>
    </w:rPr>
  </w:style>
  <w:style w:type="paragraph" w:customStyle="1" w:styleId="956">
    <w:name w:val=" Char3"/>
    <w:basedOn w:val="1"/>
    <w:qFormat/>
    <w:uiPriority w:val="0"/>
    <w:rPr>
      <w:sz w:val="21"/>
    </w:rPr>
  </w:style>
  <w:style w:type="paragraph" w:customStyle="1" w:styleId="957">
    <w:name w:val="xl11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color w:val="FF00FF"/>
      <w:kern w:val="0"/>
      <w:sz w:val="18"/>
      <w:szCs w:val="18"/>
    </w:rPr>
  </w:style>
  <w:style w:type="paragraph" w:customStyle="1" w:styleId="958">
    <w:name w:val="Char Char Char1 Char Char Char Char"/>
    <w:basedOn w:val="1"/>
    <w:next w:val="1"/>
    <w:qFormat/>
    <w:uiPriority w:val="0"/>
    <w:pPr>
      <w:spacing w:line="360" w:lineRule="auto"/>
      <w:ind w:firstLine="200" w:firstLineChars="200"/>
    </w:pPr>
    <w:rPr>
      <w:rFonts w:ascii="宋体" w:hAnsi="宋体" w:cs="宋体"/>
    </w:rPr>
  </w:style>
  <w:style w:type="paragraph" w:customStyle="1" w:styleId="959">
    <w:name w:val="Char Char Char Char Char Char Char12"/>
    <w:basedOn w:val="1"/>
    <w:semiHidden/>
    <w:qFormat/>
    <w:uiPriority w:val="0"/>
    <w:pPr>
      <w:spacing w:line="360" w:lineRule="auto"/>
      <w:ind w:firstLine="200" w:firstLineChars="200"/>
    </w:pPr>
    <w:rPr>
      <w:rFonts w:ascii="宋体" w:hAnsi="宋体" w:cs="宋体"/>
    </w:rPr>
  </w:style>
  <w:style w:type="paragraph" w:customStyle="1" w:styleId="960">
    <w:name w:val="xl216"/>
    <w:basedOn w:val="1"/>
    <w:qFormat/>
    <w:uiPriority w:val="0"/>
    <w:pPr>
      <w:widowControl/>
      <w:pBdr>
        <w:top w:val="single" w:color="auto" w:sz="4" w:space="0"/>
        <w:left w:val="single" w:color="auto" w:sz="4" w:space="0"/>
        <w:bottom w:val="single" w:color="auto" w:sz="4" w:space="0"/>
      </w:pBdr>
      <w:shd w:val="clear" w:color="000000" w:fill="FF0000"/>
      <w:spacing w:before="100" w:beforeAutospacing="1" w:after="100" w:afterAutospacing="1"/>
      <w:jc w:val="center"/>
      <w:textAlignment w:val="center"/>
    </w:pPr>
    <w:rPr>
      <w:rFonts w:ascii="黑体" w:hAnsi="黑体" w:eastAsia="黑体" w:cs="宋体"/>
      <w:kern w:val="0"/>
      <w:sz w:val="18"/>
      <w:szCs w:val="18"/>
    </w:rPr>
  </w:style>
  <w:style w:type="paragraph" w:customStyle="1" w:styleId="96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color w:val="000000"/>
      <w:kern w:val="0"/>
      <w:sz w:val="18"/>
      <w:szCs w:val="18"/>
    </w:rPr>
  </w:style>
  <w:style w:type="paragraph" w:customStyle="1" w:styleId="962">
    <w:name w:val="Char42"/>
    <w:basedOn w:val="1"/>
    <w:qFormat/>
    <w:uiPriority w:val="0"/>
    <w:pPr>
      <w:spacing w:line="360" w:lineRule="auto"/>
      <w:ind w:firstLine="200" w:firstLineChars="200"/>
    </w:pPr>
    <w:rPr>
      <w:rFonts w:ascii="宋体" w:hAnsi="宋体" w:cs="宋体"/>
    </w:rPr>
  </w:style>
  <w:style w:type="paragraph" w:customStyle="1" w:styleId="963">
    <w:name w:val="Char Char Char Char Char Char1 Char Char Char1 Char Char Char Char Char Char Char Char Char Char Char Char1"/>
    <w:basedOn w:val="1"/>
    <w:qFormat/>
    <w:uiPriority w:val="0"/>
    <w:pPr>
      <w:widowControl/>
      <w:spacing w:line="360" w:lineRule="auto"/>
      <w:ind w:firstLine="200" w:firstLineChars="200"/>
      <w:jc w:val="left"/>
    </w:pPr>
    <w:rPr>
      <w:rFonts w:ascii="宋体" w:hAnsi="宋体" w:cs="宋体"/>
      <w:kern w:val="0"/>
    </w:rPr>
  </w:style>
  <w:style w:type="paragraph" w:customStyle="1" w:styleId="964">
    <w:name w:val="font8"/>
    <w:basedOn w:val="1"/>
    <w:qFormat/>
    <w:uiPriority w:val="0"/>
    <w:pPr>
      <w:widowControl/>
      <w:spacing w:before="100" w:beforeAutospacing="1" w:after="100" w:afterAutospacing="1"/>
      <w:jc w:val="left"/>
    </w:pPr>
    <w:rPr>
      <w:rFonts w:hint="eastAsia" w:ascii="宋体" w:hAnsi="宋体" w:cs="Arial Unicode MS"/>
      <w:b/>
      <w:bCs/>
      <w:kern w:val="0"/>
    </w:rPr>
  </w:style>
  <w:style w:type="paragraph" w:customStyle="1" w:styleId="965">
    <w:name w:val="p18"/>
    <w:basedOn w:val="1"/>
    <w:qFormat/>
    <w:uiPriority w:val="0"/>
    <w:pPr>
      <w:widowControl/>
      <w:spacing w:line="480" w:lineRule="atLeast"/>
    </w:pPr>
    <w:rPr>
      <w:spacing w:val="20"/>
      <w:kern w:val="0"/>
      <w:sz w:val="28"/>
      <w:szCs w:val="28"/>
    </w:rPr>
  </w:style>
  <w:style w:type="paragraph" w:customStyle="1" w:styleId="966">
    <w:name w:val="Char Char Char Char Char Char Char Char Char Char"/>
    <w:basedOn w:val="1"/>
    <w:qFormat/>
    <w:uiPriority w:val="0"/>
    <w:pPr>
      <w:spacing w:beforeLines="50" w:afterLines="50"/>
    </w:pPr>
    <w:rPr>
      <w:rFonts w:ascii="Tahoma" w:hAnsi="Tahoma"/>
      <w:szCs w:val="20"/>
    </w:rPr>
  </w:style>
  <w:style w:type="paragraph" w:customStyle="1" w:styleId="967">
    <w:name w:val="正文报告"/>
    <w:basedOn w:val="1"/>
    <w:qFormat/>
    <w:uiPriority w:val="0"/>
    <w:pPr>
      <w:topLinePunct/>
      <w:snapToGrid w:val="0"/>
      <w:spacing w:line="480" w:lineRule="exact"/>
      <w:ind w:firstLine="567"/>
    </w:pPr>
    <w:rPr>
      <w:sz w:val="28"/>
      <w:szCs w:val="28"/>
    </w:rPr>
  </w:style>
  <w:style w:type="paragraph" w:customStyle="1" w:styleId="968">
    <w:name w:val="xl144"/>
    <w:basedOn w:val="1"/>
    <w:qFormat/>
    <w:uiPriority w:val="0"/>
    <w:pPr>
      <w:widowControl/>
      <w:pBdr>
        <w:left w:val="single" w:color="auto" w:sz="4" w:space="0"/>
        <w:right w:val="single" w:color="auto" w:sz="4" w:space="0"/>
      </w:pBdr>
      <w:shd w:val="clear" w:color="000000" w:fill="92D050"/>
      <w:spacing w:before="100" w:beforeAutospacing="1" w:after="100" w:afterAutospacing="1"/>
      <w:jc w:val="left"/>
    </w:pPr>
    <w:rPr>
      <w:rFonts w:ascii="宋体" w:hAnsi="宋体" w:cs="宋体"/>
      <w:kern w:val="0"/>
      <w:sz w:val="20"/>
      <w:szCs w:val="20"/>
    </w:rPr>
  </w:style>
  <w:style w:type="paragraph" w:customStyle="1" w:styleId="969">
    <w:name w:val="正文文字缩进 3"/>
    <w:basedOn w:val="1"/>
    <w:qFormat/>
    <w:uiPriority w:val="0"/>
    <w:pPr>
      <w:ind w:firstLine="555"/>
    </w:pPr>
    <w:rPr>
      <w:rFonts w:ascii="宋体" w:cs="宋体"/>
    </w:rPr>
  </w:style>
  <w:style w:type="paragraph" w:customStyle="1" w:styleId="970">
    <w:name w:val="xl59"/>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rPr>
  </w:style>
  <w:style w:type="paragraph" w:customStyle="1" w:styleId="971">
    <w:name w:val="样式 标题 31.1.1条标题 3 Char Char标题 3 Char三级标题，黑粗，四号，序号Heading 3..."/>
    <w:basedOn w:val="5"/>
    <w:qFormat/>
    <w:uiPriority w:val="0"/>
    <w:pPr>
      <w:numPr>
        <w:ilvl w:val="0"/>
        <w:numId w:val="0"/>
      </w:numPr>
      <w:snapToGrid w:val="0"/>
      <w:spacing w:before="156" w:beforeLines="50" w:after="0" w:line="336" w:lineRule="auto"/>
    </w:pPr>
    <w:rPr>
      <w:rFonts w:ascii="宋体" w:hAnsi="宋体" w:cs="宋体"/>
      <w:b w:val="0"/>
      <w:szCs w:val="28"/>
    </w:rPr>
  </w:style>
  <w:style w:type="paragraph" w:customStyle="1" w:styleId="972">
    <w:name w:val="CM17"/>
    <w:basedOn w:val="721"/>
    <w:next w:val="721"/>
    <w:qFormat/>
    <w:uiPriority w:val="99"/>
    <w:pPr>
      <w:spacing w:after="200" w:line="536" w:lineRule="atLeast"/>
      <w:jc w:val="both"/>
      <w:textAlignment w:val="baseline"/>
    </w:pPr>
    <w:rPr>
      <w:rFonts w:ascii="华文中宋" w:hAnsi="Calibri" w:eastAsia="华文中宋" w:cs="Times New Roman"/>
      <w:color w:val="auto"/>
      <w:kern w:val="2"/>
    </w:rPr>
  </w:style>
  <w:style w:type="paragraph" w:customStyle="1" w:styleId="973">
    <w:name w:val="1标题1级"/>
    <w:basedOn w:val="1"/>
    <w:semiHidden/>
    <w:qFormat/>
    <w:uiPriority w:val="0"/>
    <w:pPr>
      <w:keepNext/>
      <w:snapToGrid w:val="0"/>
      <w:spacing w:line="360" w:lineRule="auto"/>
      <w:outlineLvl w:val="0"/>
    </w:pPr>
    <w:rPr>
      <w:rFonts w:ascii="黑体" w:eastAsia="黑体"/>
      <w:bCs/>
      <w:sz w:val="44"/>
    </w:rPr>
  </w:style>
  <w:style w:type="paragraph" w:customStyle="1" w:styleId="974">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color w:val="000000"/>
      <w:kern w:val="0"/>
      <w:sz w:val="18"/>
      <w:szCs w:val="18"/>
    </w:rPr>
  </w:style>
  <w:style w:type="paragraph" w:customStyle="1" w:styleId="975">
    <w:name w:val="Char Char Char Char"/>
    <w:basedOn w:val="1"/>
    <w:next w:val="936"/>
    <w:qFormat/>
    <w:uiPriority w:val="0"/>
    <w:pPr>
      <w:widowControl/>
      <w:spacing w:after="160" w:line="240" w:lineRule="exact"/>
      <w:jc w:val="left"/>
    </w:pPr>
    <w:rPr>
      <w:rFonts w:ascii="Arial" w:hAnsi="Arial" w:eastAsia="Times New Roman" w:cs="Verdana"/>
      <w:b/>
      <w:kern w:val="0"/>
      <w:szCs w:val="20"/>
      <w:lang w:eastAsia="en-US"/>
    </w:rPr>
  </w:style>
  <w:style w:type="paragraph" w:customStyle="1" w:styleId="976">
    <w:name w:val="xl63"/>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rPr>
  </w:style>
  <w:style w:type="paragraph" w:customStyle="1" w:styleId="977">
    <w:name w:val="Char Char Char1 Char Char Char Char Char Char Char Char Char Char Char Char Char Char Char Char Char Char Char Char Char Char Char Char1"/>
    <w:basedOn w:val="1"/>
    <w:qFormat/>
    <w:uiPriority w:val="0"/>
    <w:pPr>
      <w:widowControl/>
      <w:ind w:firstLine="200" w:firstLineChars="200"/>
      <w:jc w:val="left"/>
    </w:pPr>
    <w:rPr>
      <w:rFonts w:ascii="宋体" w:hAnsi="宋体" w:cs="宋体"/>
      <w:kern w:val="0"/>
    </w:rPr>
  </w:style>
  <w:style w:type="paragraph" w:customStyle="1" w:styleId="978">
    <w:name w:val="HZZH图名"/>
    <w:basedOn w:val="1"/>
    <w:qFormat/>
    <w:uiPriority w:val="0"/>
    <w:pPr>
      <w:jc w:val="center"/>
    </w:pPr>
    <w:rPr>
      <w:rFonts w:ascii="宋体" w:hAnsi="宋体"/>
      <w:b/>
      <w:szCs w:val="28"/>
    </w:rPr>
  </w:style>
  <w:style w:type="paragraph" w:customStyle="1" w:styleId="979">
    <w:name w:val="xl2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黑体" w:eastAsia="黑体" w:cs="宋体"/>
      <w:kern w:val="0"/>
      <w:sz w:val="18"/>
      <w:szCs w:val="18"/>
    </w:rPr>
  </w:style>
  <w:style w:type="paragraph" w:customStyle="1" w:styleId="980">
    <w:name w:val="font12"/>
    <w:basedOn w:val="1"/>
    <w:qFormat/>
    <w:uiPriority w:val="0"/>
    <w:pPr>
      <w:widowControl/>
      <w:spacing w:before="100" w:beforeAutospacing="1" w:after="100" w:afterAutospacing="1"/>
      <w:jc w:val="left"/>
    </w:pPr>
    <w:rPr>
      <w:b/>
      <w:bCs/>
      <w:kern w:val="0"/>
      <w:sz w:val="22"/>
      <w:szCs w:val="22"/>
    </w:rPr>
  </w:style>
  <w:style w:type="paragraph" w:customStyle="1" w:styleId="981">
    <w:name w:val="xl7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color w:val="FF0000"/>
      <w:kern w:val="0"/>
      <w:sz w:val="18"/>
      <w:szCs w:val="18"/>
    </w:rPr>
  </w:style>
  <w:style w:type="paragraph" w:customStyle="1" w:styleId="982">
    <w:name w:val="Char Char Char Char1 Char Char Char Char Char Char Char Char"/>
    <w:basedOn w:val="1"/>
    <w:qFormat/>
    <w:uiPriority w:val="0"/>
    <w:pPr>
      <w:ind w:firstLine="200" w:firstLineChars="200"/>
    </w:pPr>
    <w:rPr>
      <w:rFonts w:ascii="宋体" w:hAnsi="宋体" w:cs="宋体"/>
    </w:rPr>
  </w:style>
  <w:style w:type="paragraph" w:customStyle="1" w:styleId="983">
    <w:name w:val="Char Char Char Char1 Char Char Char Char Char Char Char Char Char"/>
    <w:basedOn w:val="1"/>
    <w:qFormat/>
    <w:uiPriority w:val="0"/>
    <w:pPr>
      <w:ind w:firstLine="200" w:firstLineChars="200"/>
    </w:pPr>
    <w:rPr>
      <w:rFonts w:ascii="宋体" w:hAnsi="宋体" w:cs="宋体"/>
    </w:rPr>
  </w:style>
  <w:style w:type="paragraph" w:customStyle="1" w:styleId="984">
    <w:name w:val="标题 4.1"/>
    <w:basedOn w:val="6"/>
    <w:qFormat/>
    <w:uiPriority w:val="0"/>
    <w:pPr>
      <w:numPr>
        <w:ilvl w:val="0"/>
        <w:numId w:val="0"/>
      </w:numPr>
      <w:adjustRightInd w:val="0"/>
      <w:textAlignment w:val="baseline"/>
      <w:outlineLvl w:val="4"/>
    </w:pPr>
    <w:rPr>
      <w:rFonts w:ascii="宋体" w:hAnsi="宋体" w:eastAsia="宋体"/>
      <w:kern w:val="0"/>
      <w:szCs w:val="20"/>
    </w:rPr>
  </w:style>
  <w:style w:type="paragraph" w:customStyle="1" w:styleId="985">
    <w:name w:val="Char48"/>
    <w:basedOn w:val="1"/>
    <w:qFormat/>
    <w:uiPriority w:val="0"/>
    <w:pPr>
      <w:spacing w:line="360" w:lineRule="auto"/>
      <w:ind w:firstLine="200" w:firstLineChars="200"/>
    </w:pPr>
    <w:rPr>
      <w:rFonts w:ascii="宋体" w:hAnsi="宋体" w:cs="宋体"/>
    </w:rPr>
  </w:style>
  <w:style w:type="paragraph" w:customStyle="1" w:styleId="986">
    <w:name w:val="Char Char Char Char1 Char Char"/>
    <w:basedOn w:val="1"/>
    <w:qFormat/>
    <w:uiPriority w:val="0"/>
    <w:pPr>
      <w:ind w:firstLine="200" w:firstLineChars="200"/>
    </w:pPr>
    <w:rPr>
      <w:rFonts w:ascii="宋体" w:hAnsi="宋体" w:cs="宋体"/>
    </w:rPr>
  </w:style>
  <w:style w:type="paragraph" w:customStyle="1" w:styleId="987">
    <w:name w:val="xl191"/>
    <w:basedOn w:val="1"/>
    <w:qFormat/>
    <w:uiPriority w:val="0"/>
    <w:pPr>
      <w:widowControl/>
      <w:pBdr>
        <w:top w:val="single" w:color="auto" w:sz="8" w:space="0"/>
        <w:bottom w:val="single" w:color="auto" w:sz="4" w:space="0"/>
        <w:right w:val="single" w:color="auto" w:sz="8" w:space="0"/>
      </w:pBdr>
      <w:shd w:val="clear" w:color="000000" w:fill="FFFFFF"/>
      <w:spacing w:before="100" w:beforeAutospacing="1" w:after="100" w:afterAutospacing="1"/>
      <w:jc w:val="center"/>
      <w:textAlignment w:val="center"/>
    </w:pPr>
    <w:rPr>
      <w:rFonts w:ascii="黑体" w:hAnsi="黑体" w:eastAsia="黑体" w:cs="宋体"/>
      <w:kern w:val="0"/>
      <w:sz w:val="20"/>
      <w:szCs w:val="20"/>
    </w:rPr>
  </w:style>
  <w:style w:type="paragraph" w:customStyle="1" w:styleId="988">
    <w:name w:val="默认段落字体 Para Char"/>
    <w:basedOn w:val="1"/>
    <w:qFormat/>
    <w:uiPriority w:val="0"/>
    <w:pPr>
      <w:spacing w:line="360" w:lineRule="auto"/>
      <w:ind w:firstLine="200" w:firstLineChars="200"/>
    </w:pPr>
    <w:rPr>
      <w:rFonts w:ascii="宋体" w:hAnsi="宋体" w:cs="宋体"/>
    </w:rPr>
  </w:style>
  <w:style w:type="paragraph" w:customStyle="1" w:styleId="989">
    <w:name w:val="Char Char Char Char Char Char1 Char Char Char1"/>
    <w:basedOn w:val="1"/>
    <w:qFormat/>
    <w:uiPriority w:val="0"/>
    <w:pPr>
      <w:widowControl/>
      <w:spacing w:line="360" w:lineRule="auto"/>
      <w:ind w:firstLine="200" w:firstLineChars="200"/>
      <w:jc w:val="left"/>
    </w:pPr>
    <w:rPr>
      <w:rFonts w:ascii="宋体" w:hAnsi="宋体" w:cs="宋体"/>
      <w:kern w:val="0"/>
    </w:rPr>
  </w:style>
  <w:style w:type="paragraph" w:customStyle="1" w:styleId="990">
    <w:name w:val="xl51"/>
    <w:basedOn w:val="1"/>
    <w:qFormat/>
    <w:uiPriority w:val="0"/>
    <w:pPr>
      <w:widowControl/>
      <w:pBdr>
        <w:top w:val="single" w:color="auto" w:sz="4" w:space="0"/>
        <w:left w:val="single" w:color="auto" w:sz="4" w:space="0"/>
        <w:bottom w:val="double" w:color="auto" w:sz="6" w:space="0"/>
      </w:pBdr>
      <w:spacing w:before="100" w:beforeAutospacing="1" w:after="100" w:afterAutospacing="1"/>
      <w:jc w:val="center"/>
      <w:textAlignment w:val="center"/>
    </w:pPr>
    <w:rPr>
      <w:rFonts w:eastAsia="Arial Unicode MS"/>
      <w:kern w:val="0"/>
    </w:rPr>
  </w:style>
  <w:style w:type="paragraph" w:customStyle="1" w:styleId="991">
    <w:name w:val="Char Char Char1 Char9"/>
    <w:basedOn w:val="1"/>
    <w:next w:val="1"/>
    <w:semiHidden/>
    <w:qFormat/>
    <w:uiPriority w:val="0"/>
    <w:pPr>
      <w:spacing w:line="360" w:lineRule="auto"/>
      <w:ind w:firstLine="200" w:firstLineChars="200"/>
    </w:pPr>
    <w:rPr>
      <w:rFonts w:ascii="宋体" w:hAnsi="宋体" w:cs="宋体"/>
    </w:rPr>
  </w:style>
  <w:style w:type="paragraph" w:customStyle="1" w:styleId="992">
    <w:name w:val="Char Char Char1 Char2"/>
    <w:basedOn w:val="1"/>
    <w:next w:val="1"/>
    <w:semiHidden/>
    <w:qFormat/>
    <w:uiPriority w:val="0"/>
    <w:pPr>
      <w:spacing w:line="360" w:lineRule="auto"/>
      <w:ind w:firstLine="200" w:firstLineChars="200"/>
    </w:pPr>
    <w:rPr>
      <w:rFonts w:ascii="宋体" w:hAnsi="宋体" w:cs="宋体"/>
    </w:rPr>
  </w:style>
  <w:style w:type="paragraph" w:customStyle="1" w:styleId="993">
    <w:name w:val="7"/>
    <w:basedOn w:val="1"/>
    <w:next w:val="32"/>
    <w:qFormat/>
    <w:uiPriority w:val="0"/>
    <w:pPr>
      <w:autoSpaceDE w:val="0"/>
      <w:autoSpaceDN w:val="0"/>
      <w:adjustRightInd w:val="0"/>
    </w:pPr>
    <w:rPr>
      <w:color w:val="000000"/>
      <w:sz w:val="18"/>
      <w:szCs w:val="18"/>
      <w:lang w:val="zh-CN"/>
    </w:rPr>
  </w:style>
  <w:style w:type="paragraph" w:customStyle="1" w:styleId="994">
    <w:name w:val=" Char Char Char1 Char Char Char"/>
    <w:basedOn w:val="1"/>
    <w:next w:val="1"/>
    <w:semiHidden/>
    <w:qFormat/>
    <w:uiPriority w:val="0"/>
    <w:pPr>
      <w:widowControl/>
      <w:spacing w:line="360" w:lineRule="auto"/>
      <w:ind w:firstLine="200" w:firstLineChars="200"/>
      <w:jc w:val="left"/>
    </w:pPr>
    <w:rPr>
      <w:rFonts w:ascii="宋体" w:hAnsi="宋体" w:cs="宋体"/>
      <w:kern w:val="0"/>
    </w:rPr>
  </w:style>
  <w:style w:type="paragraph" w:customStyle="1" w:styleId="995">
    <w:name w:val=" Char Char Char Char Char Char Char Char Char Char Char Char1 Char"/>
    <w:basedOn w:val="1"/>
    <w:qFormat/>
    <w:uiPriority w:val="0"/>
    <w:rPr>
      <w:sz w:val="21"/>
    </w:rPr>
  </w:style>
  <w:style w:type="paragraph" w:customStyle="1" w:styleId="996">
    <w:name w:val="xl65"/>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rPr>
  </w:style>
  <w:style w:type="paragraph" w:customStyle="1" w:styleId="997">
    <w:name w:val="Plain Text"/>
    <w:basedOn w:val="1"/>
    <w:qFormat/>
    <w:uiPriority w:val="0"/>
    <w:pPr>
      <w:adjustRightInd w:val="0"/>
      <w:jc w:val="left"/>
      <w:textAlignment w:val="baseline"/>
    </w:pPr>
    <w:rPr>
      <w:rFonts w:ascii="宋体"/>
      <w:kern w:val="0"/>
      <w:szCs w:val="20"/>
    </w:rPr>
  </w:style>
  <w:style w:type="paragraph" w:customStyle="1" w:styleId="998">
    <w:name w:val="报告正文格式"/>
    <w:basedOn w:val="1"/>
    <w:qFormat/>
    <w:uiPriority w:val="0"/>
    <w:pPr>
      <w:spacing w:line="360" w:lineRule="auto"/>
      <w:ind w:firstLine="480" w:firstLineChars="200"/>
    </w:pPr>
    <w:rPr>
      <w:szCs w:val="20"/>
    </w:rPr>
  </w:style>
  <w:style w:type="paragraph" w:customStyle="1" w:styleId="999">
    <w:name w:val="font0"/>
    <w:basedOn w:val="1"/>
    <w:qFormat/>
    <w:uiPriority w:val="0"/>
    <w:pPr>
      <w:widowControl/>
      <w:spacing w:before="100" w:beforeAutospacing="1" w:after="100" w:afterAutospacing="1"/>
      <w:jc w:val="left"/>
    </w:pPr>
    <w:rPr>
      <w:rFonts w:hint="eastAsia" w:ascii="宋体" w:hAnsi="宋体" w:cs="Arial Unicode MS"/>
      <w:kern w:val="0"/>
    </w:rPr>
  </w:style>
  <w:style w:type="paragraph" w:customStyle="1" w:styleId="1000">
    <w:name w:val="样式8"/>
    <w:basedOn w:val="1"/>
    <w:next w:val="1"/>
    <w:qFormat/>
    <w:uiPriority w:val="0"/>
    <w:pPr>
      <w:adjustRightInd w:val="0"/>
      <w:snapToGrid w:val="0"/>
      <w:spacing w:line="360" w:lineRule="auto"/>
      <w:ind w:firstLine="200" w:firstLineChars="200"/>
    </w:pPr>
  </w:style>
  <w:style w:type="paragraph" w:customStyle="1" w:styleId="1001">
    <w:name w:val="样式 行距: 1.5 倍行距"/>
    <w:basedOn w:val="1"/>
    <w:qFormat/>
    <w:uiPriority w:val="0"/>
    <w:pPr>
      <w:tabs>
        <w:tab w:val="left" w:pos="3407"/>
      </w:tabs>
      <w:adjustRightInd w:val="0"/>
      <w:snapToGrid w:val="0"/>
      <w:spacing w:line="600" w:lineRule="exact"/>
      <w:ind w:firstLine="560" w:firstLineChars="200"/>
      <w:jc w:val="left"/>
      <w:textAlignment w:val="center"/>
    </w:pPr>
    <w:rPr>
      <w:color w:val="0000FF"/>
      <w:sz w:val="28"/>
      <w:szCs w:val="20"/>
    </w:rPr>
  </w:style>
  <w:style w:type="paragraph" w:customStyle="1" w:styleId="1002">
    <w:name w:val="xl24"/>
    <w:basedOn w:val="1"/>
    <w:qFormat/>
    <w:uiPriority w:val="0"/>
    <w:pPr>
      <w:widowControl/>
      <w:spacing w:before="100" w:beforeAutospacing="1" w:after="100" w:afterAutospacing="1"/>
      <w:jc w:val="center"/>
      <w:textAlignment w:val="center"/>
    </w:pPr>
    <w:rPr>
      <w:rFonts w:ascii="宋体" w:hAnsi="宋体"/>
      <w:kern w:val="0"/>
    </w:rPr>
  </w:style>
  <w:style w:type="paragraph" w:customStyle="1" w:styleId="1003">
    <w:name w:val="xl87"/>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黑体" w:hAnsi="宋体" w:eastAsia="黑体" w:cs="宋体"/>
      <w:color w:val="000000"/>
      <w:kern w:val="0"/>
      <w:sz w:val="18"/>
      <w:szCs w:val="18"/>
    </w:rPr>
  </w:style>
  <w:style w:type="paragraph" w:customStyle="1" w:styleId="1004">
    <w:name w:val="普通文字"/>
    <w:basedOn w:val="1"/>
    <w:qFormat/>
    <w:uiPriority w:val="0"/>
    <w:pPr>
      <w:adjustRightInd w:val="0"/>
      <w:spacing w:line="312" w:lineRule="atLeast"/>
      <w:textAlignment w:val="baseline"/>
    </w:pPr>
    <w:rPr>
      <w:rFonts w:ascii="宋体" w:hAnsi="Courier New" w:cs="宋体"/>
      <w:kern w:val="0"/>
      <w:szCs w:val="21"/>
    </w:rPr>
  </w:style>
  <w:style w:type="paragraph" w:customStyle="1" w:styleId="1005">
    <w:name w:val="Char Char Char"/>
    <w:basedOn w:val="1"/>
    <w:qFormat/>
    <w:uiPriority w:val="0"/>
    <w:pPr>
      <w:widowControl/>
      <w:spacing w:after="160" w:line="240" w:lineRule="exact"/>
      <w:jc w:val="left"/>
    </w:pPr>
    <w:rPr>
      <w:sz w:val="21"/>
    </w:rPr>
  </w:style>
  <w:style w:type="paragraph" w:customStyle="1" w:styleId="1006">
    <w:name w:val="样式 正文缩进 + 首行缩进:  0 厘米 行距: 固定值 26 磅1"/>
    <w:basedOn w:val="20"/>
    <w:qFormat/>
    <w:uiPriority w:val="0"/>
    <w:pPr>
      <w:spacing w:line="520" w:lineRule="exact"/>
      <w:ind w:firstLine="200" w:firstLineChars="200"/>
    </w:pPr>
    <w:rPr>
      <w:sz w:val="28"/>
    </w:rPr>
  </w:style>
  <w:style w:type="paragraph" w:customStyle="1" w:styleId="1007">
    <w:name w:val="xl5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rPr>
  </w:style>
  <w:style w:type="paragraph" w:customStyle="1" w:styleId="1008">
    <w:name w:val="表内文字 Char Char"/>
    <w:basedOn w:val="1"/>
    <w:next w:val="1"/>
    <w:qFormat/>
    <w:uiPriority w:val="0"/>
    <w:pPr>
      <w:spacing w:line="400" w:lineRule="exact"/>
      <w:jc w:val="center"/>
    </w:pPr>
    <w:rPr>
      <w:rFonts w:eastAsia="仿宋_GB2312"/>
      <w:sz w:val="21"/>
      <w:szCs w:val="20"/>
    </w:rPr>
  </w:style>
  <w:style w:type="paragraph" w:customStyle="1" w:styleId="1009">
    <w:name w:val="xl175"/>
    <w:basedOn w:val="1"/>
    <w:qFormat/>
    <w:uiPriority w:val="0"/>
    <w:pPr>
      <w:widowControl/>
      <w:pBdr>
        <w:top w:val="single" w:color="auto" w:sz="4" w:space="0"/>
        <w:bottom w:val="single" w:color="auto" w:sz="4" w:space="0"/>
      </w:pBdr>
      <w:shd w:val="clear" w:color="000000" w:fill="FFFF00"/>
      <w:spacing w:before="100" w:beforeAutospacing="1" w:after="100" w:afterAutospacing="1"/>
      <w:jc w:val="center"/>
      <w:textAlignment w:val="center"/>
    </w:pPr>
    <w:rPr>
      <w:rFonts w:ascii="黑体" w:hAnsi="黑体" w:eastAsia="黑体" w:cs="宋体"/>
      <w:kern w:val="0"/>
      <w:sz w:val="18"/>
      <w:szCs w:val="18"/>
    </w:rPr>
  </w:style>
  <w:style w:type="paragraph" w:customStyle="1" w:styleId="1010">
    <w:name w:val="Char Char Char1 Char Char Char Char Char Char Char Char Char Char Char Char Char Char Char Char Char Char Char Char Char Char Char Char Char"/>
    <w:basedOn w:val="1"/>
    <w:qFormat/>
    <w:uiPriority w:val="0"/>
    <w:pPr>
      <w:ind w:firstLine="200" w:firstLineChars="200"/>
    </w:pPr>
    <w:rPr>
      <w:rFonts w:ascii="宋体" w:hAnsi="宋体" w:cs="宋体"/>
    </w:rPr>
  </w:style>
  <w:style w:type="paragraph" w:customStyle="1" w:styleId="1011">
    <w:name w:val="样式 样式 样式 标题 3标题 33 + 段前: 0.5 行 + 段前: 0.5 行 + 段前: 6 磅 段后: 6 磅"/>
    <w:basedOn w:val="793"/>
    <w:qFormat/>
    <w:uiPriority w:val="0"/>
    <w:rPr>
      <w:color w:val="auto"/>
    </w:rPr>
  </w:style>
  <w:style w:type="paragraph" w:customStyle="1" w:styleId="1012">
    <w:name w:val="xl98"/>
    <w:basedOn w:val="1"/>
    <w:qFormat/>
    <w:uiPriority w:val="0"/>
    <w:pPr>
      <w:widowControl/>
      <w:spacing w:before="100" w:beforeAutospacing="1" w:after="100" w:afterAutospacing="1"/>
      <w:jc w:val="left"/>
    </w:pPr>
    <w:rPr>
      <w:rFonts w:ascii="Arial Unicode MS" w:hAnsi="Arial Unicode MS" w:eastAsia="Arial Unicode MS" w:cs="Arial Unicode MS"/>
      <w:color w:val="FF0000"/>
      <w:kern w:val="0"/>
    </w:rPr>
  </w:style>
  <w:style w:type="paragraph" w:customStyle="1" w:styleId="1013">
    <w:name w:val="Char31"/>
    <w:basedOn w:val="1"/>
    <w:qFormat/>
    <w:uiPriority w:val="0"/>
    <w:pPr>
      <w:spacing w:line="360" w:lineRule="auto"/>
      <w:ind w:firstLine="200" w:firstLineChars="200"/>
    </w:pPr>
    <w:rPr>
      <w:rFonts w:ascii="宋体" w:hAnsi="宋体" w:cs="宋体"/>
    </w:rPr>
  </w:style>
  <w:style w:type="paragraph" w:customStyle="1" w:styleId="1014">
    <w:name w:val="Char Char Char Char Char Char Char7"/>
    <w:basedOn w:val="1"/>
    <w:qFormat/>
    <w:uiPriority w:val="0"/>
    <w:pPr>
      <w:spacing w:line="360" w:lineRule="auto"/>
      <w:ind w:firstLine="200" w:firstLineChars="200"/>
    </w:pPr>
    <w:rPr>
      <w:rFonts w:ascii="宋体" w:hAnsi="宋体" w:cs="宋体"/>
    </w:rPr>
  </w:style>
  <w:style w:type="paragraph" w:customStyle="1" w:styleId="1015">
    <w:name w:val="Char Char16 Char Char"/>
    <w:basedOn w:val="1"/>
    <w:qFormat/>
    <w:uiPriority w:val="0"/>
    <w:pPr>
      <w:spacing w:line="360" w:lineRule="auto"/>
      <w:ind w:firstLine="200" w:firstLineChars="200"/>
    </w:pPr>
    <w:rPr>
      <w:rFonts w:ascii="宋体" w:hAnsi="宋体" w:cs="宋体"/>
    </w:rPr>
  </w:style>
  <w:style w:type="paragraph" w:customStyle="1" w:styleId="1016">
    <w:name w:val="xl2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黑体" w:eastAsia="黑体" w:cs="宋体"/>
      <w:kern w:val="0"/>
      <w:sz w:val="18"/>
      <w:szCs w:val="18"/>
    </w:rPr>
  </w:style>
  <w:style w:type="paragraph" w:customStyle="1" w:styleId="1017">
    <w:name w:val="xl7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黑体" w:hAnsi="宋体" w:eastAsia="黑体" w:cs="宋体"/>
      <w:color w:val="FF0000"/>
      <w:kern w:val="0"/>
      <w:sz w:val="18"/>
      <w:szCs w:val="18"/>
    </w:rPr>
  </w:style>
  <w:style w:type="paragraph" w:customStyle="1" w:styleId="1018">
    <w:name w:val="正文文字缩进 2"/>
    <w:basedOn w:val="1"/>
    <w:qFormat/>
    <w:uiPriority w:val="0"/>
    <w:pPr>
      <w:spacing w:line="360" w:lineRule="auto"/>
      <w:ind w:firstLine="480"/>
    </w:pPr>
    <w:rPr>
      <w:rFonts w:ascii="宋体" w:hAnsi="宋体" w:cs="宋体"/>
    </w:rPr>
  </w:style>
  <w:style w:type="paragraph" w:customStyle="1" w:styleId="1019">
    <w:name w:val=" Char"/>
    <w:basedOn w:val="1"/>
    <w:qFormat/>
    <w:uiPriority w:val="0"/>
    <w:pPr>
      <w:spacing w:line="360" w:lineRule="auto"/>
      <w:ind w:firstLine="200" w:firstLineChars="200"/>
    </w:pPr>
    <w:rPr>
      <w:rFonts w:ascii="宋体" w:hAnsi="宋体" w:cs="宋体"/>
    </w:rPr>
  </w:style>
  <w:style w:type="paragraph" w:customStyle="1" w:styleId="1020">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rPr>
  </w:style>
  <w:style w:type="paragraph" w:customStyle="1" w:styleId="1021">
    <w:name w:val="Char Char1 Char"/>
    <w:basedOn w:val="1"/>
    <w:qFormat/>
    <w:uiPriority w:val="0"/>
  </w:style>
  <w:style w:type="paragraph" w:customStyle="1" w:styleId="1022">
    <w:name w:val="xl180"/>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023">
    <w:name w:val="二级正文"/>
    <w:basedOn w:val="1"/>
    <w:qFormat/>
    <w:uiPriority w:val="0"/>
    <w:pPr>
      <w:tabs>
        <w:tab w:val="left" w:pos="3280"/>
      </w:tabs>
      <w:adjustRightInd w:val="0"/>
      <w:snapToGrid w:val="0"/>
      <w:spacing w:after="240"/>
      <w:ind w:left="578"/>
      <w:textAlignment w:val="baseline"/>
    </w:pPr>
    <w:rPr>
      <w:kern w:val="0"/>
      <w:sz w:val="21"/>
    </w:rPr>
  </w:style>
  <w:style w:type="paragraph" w:customStyle="1" w:styleId="1024">
    <w:name w:val="xl149"/>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黑体" w:hAnsi="黑体" w:eastAsia="黑体" w:cs="宋体"/>
      <w:color w:val="FF0000"/>
      <w:kern w:val="0"/>
      <w:sz w:val="18"/>
      <w:szCs w:val="18"/>
    </w:rPr>
  </w:style>
  <w:style w:type="paragraph" w:customStyle="1" w:styleId="1025">
    <w:name w:val="Char4"/>
    <w:basedOn w:val="1"/>
    <w:qFormat/>
    <w:uiPriority w:val="0"/>
    <w:pPr>
      <w:spacing w:line="360" w:lineRule="auto"/>
      <w:ind w:firstLine="200" w:firstLineChars="200"/>
    </w:pPr>
    <w:rPr>
      <w:rFonts w:ascii="宋体" w:hAnsi="宋体" w:cs="宋体"/>
    </w:rPr>
  </w:style>
  <w:style w:type="paragraph" w:customStyle="1" w:styleId="1026">
    <w:name w:val=" Char Char Char Char Char Char1 Char Char Char1 Char Char Char Char Char Char Char Char Char Char Char Char Char Char Char1 Char Char Char Char Char Char"/>
    <w:basedOn w:val="1"/>
    <w:qFormat/>
    <w:uiPriority w:val="0"/>
    <w:pPr>
      <w:widowControl/>
      <w:spacing w:line="360" w:lineRule="auto"/>
      <w:ind w:firstLine="200" w:firstLineChars="200"/>
      <w:jc w:val="left"/>
    </w:pPr>
    <w:rPr>
      <w:rFonts w:ascii="宋体" w:hAnsi="宋体" w:cs="宋体"/>
      <w:kern w:val="0"/>
    </w:rPr>
  </w:style>
  <w:style w:type="paragraph" w:customStyle="1" w:styleId="1027">
    <w:name w:val="Char26"/>
    <w:basedOn w:val="1"/>
    <w:qFormat/>
    <w:uiPriority w:val="0"/>
    <w:pPr>
      <w:spacing w:line="360" w:lineRule="auto"/>
      <w:ind w:firstLine="200" w:firstLineChars="200"/>
    </w:pPr>
    <w:rPr>
      <w:rFonts w:ascii="宋体" w:hAnsi="宋体" w:cs="宋体"/>
    </w:rPr>
  </w:style>
  <w:style w:type="paragraph" w:customStyle="1" w:styleId="1028">
    <w:name w:val="xl211"/>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黑体" w:hAnsi="黑体" w:eastAsia="黑体" w:cs="宋体"/>
      <w:kern w:val="0"/>
      <w:sz w:val="18"/>
      <w:szCs w:val="18"/>
    </w:rPr>
  </w:style>
  <w:style w:type="paragraph" w:customStyle="1" w:styleId="1029">
    <w:name w:val="样式2"/>
    <w:basedOn w:val="85"/>
    <w:qFormat/>
    <w:uiPriority w:val="0"/>
    <w:pPr>
      <w:pBdr>
        <w:top w:val="thickThinSmallGap" w:color="auto" w:sz="24" w:space="1"/>
      </w:pBdr>
      <w:tabs>
        <w:tab w:val="center" w:pos="4153"/>
        <w:tab w:val="right" w:pos="8306"/>
      </w:tabs>
    </w:pPr>
    <w:rPr>
      <w:sz w:val="21"/>
      <w:szCs w:val="21"/>
    </w:rPr>
  </w:style>
  <w:style w:type="paragraph" w:customStyle="1" w:styleId="1030">
    <w:name w:val="Char Char Char Char Char Char Char4"/>
    <w:basedOn w:val="1"/>
    <w:qFormat/>
    <w:uiPriority w:val="0"/>
    <w:pPr>
      <w:spacing w:line="360" w:lineRule="auto"/>
      <w:ind w:firstLine="200" w:firstLineChars="200"/>
    </w:pPr>
    <w:rPr>
      <w:rFonts w:ascii="宋体" w:hAnsi="宋体" w:cs="宋体"/>
    </w:rPr>
  </w:style>
  <w:style w:type="paragraph" w:customStyle="1" w:styleId="1031">
    <w:name w:val="textstyle1"/>
    <w:basedOn w:val="1"/>
    <w:qFormat/>
    <w:uiPriority w:val="0"/>
    <w:pPr>
      <w:widowControl/>
      <w:overflowPunct w:val="0"/>
      <w:autoSpaceDE w:val="0"/>
      <w:autoSpaceDN w:val="0"/>
      <w:adjustRightInd w:val="0"/>
      <w:spacing w:before="120"/>
      <w:ind w:left="288" w:firstLine="432"/>
      <w:textAlignment w:val="baseline"/>
    </w:pPr>
    <w:rPr>
      <w:rFonts w:ascii="楷体" w:eastAsia="楷体" w:cs="仿宋体"/>
      <w:kern w:val="0"/>
    </w:rPr>
  </w:style>
  <w:style w:type="paragraph" w:customStyle="1" w:styleId="1032">
    <w:name w:val="xl49"/>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eastAsia="Arial Unicode MS"/>
      <w:kern w:val="0"/>
    </w:rPr>
  </w:style>
  <w:style w:type="paragraph" w:customStyle="1" w:styleId="1033">
    <w:name w:val="表格样式"/>
    <w:qFormat/>
    <w:uiPriority w:val="0"/>
    <w:pPr>
      <w:widowControl w:val="0"/>
      <w:ind w:right="105" w:rightChars="50"/>
      <w:jc w:val="center"/>
    </w:pPr>
    <w:rPr>
      <w:rFonts w:ascii="宋体" w:hAnsi="宋体" w:eastAsia="宋体" w:cs="宋体"/>
      <w:sz w:val="24"/>
      <w:szCs w:val="24"/>
      <w:lang w:val="en-US" w:eastAsia="zh-CN" w:bidi="ar-SA"/>
    </w:rPr>
  </w:style>
  <w:style w:type="paragraph" w:customStyle="1" w:styleId="1034">
    <w:name w:val="样式"/>
    <w:basedOn w:val="1"/>
    <w:next w:val="909"/>
    <w:qFormat/>
    <w:uiPriority w:val="0"/>
    <w:pPr>
      <w:snapToGrid w:val="0"/>
      <w:jc w:val="left"/>
    </w:pPr>
    <w:rPr>
      <w:color w:val="FF0000"/>
      <w:szCs w:val="21"/>
    </w:rPr>
  </w:style>
  <w:style w:type="paragraph" w:customStyle="1" w:styleId="1035">
    <w:name w:val="xl11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黑体" w:hAnsi="宋体" w:eastAsia="黑体" w:cs="宋体"/>
      <w:color w:val="000000"/>
      <w:kern w:val="0"/>
      <w:sz w:val="18"/>
      <w:szCs w:val="18"/>
    </w:rPr>
  </w:style>
  <w:style w:type="paragraph" w:customStyle="1" w:styleId="1036">
    <w:name w:val="Char Char Char Char Char Char Char5"/>
    <w:basedOn w:val="1"/>
    <w:qFormat/>
    <w:uiPriority w:val="0"/>
    <w:pPr>
      <w:spacing w:line="360" w:lineRule="auto"/>
      <w:ind w:firstLine="200" w:firstLineChars="200"/>
    </w:pPr>
    <w:rPr>
      <w:rFonts w:ascii="宋体" w:hAnsi="宋体" w:cs="宋体"/>
    </w:rPr>
  </w:style>
  <w:style w:type="paragraph" w:customStyle="1" w:styleId="1037">
    <w:name w:val="Char Char Char Char1 Char Char Char Char Char Char"/>
    <w:basedOn w:val="1"/>
    <w:qFormat/>
    <w:uiPriority w:val="0"/>
    <w:pPr>
      <w:ind w:firstLine="200" w:firstLineChars="200"/>
    </w:pPr>
    <w:rPr>
      <w:rFonts w:ascii="宋体" w:hAnsi="宋体" w:cs="宋体"/>
    </w:rPr>
  </w:style>
  <w:style w:type="paragraph" w:customStyle="1" w:styleId="1038">
    <w:name w:val="样式2 Char Char1"/>
    <w:basedOn w:val="1"/>
    <w:qFormat/>
    <w:uiPriority w:val="0"/>
  </w:style>
  <w:style w:type="paragraph" w:customStyle="1" w:styleId="1039">
    <w:name w:val="页眉1"/>
    <w:basedOn w:val="56"/>
    <w:qFormat/>
    <w:uiPriority w:val="0"/>
    <w:pPr>
      <w:pBdr>
        <w:bottom w:val="none" w:color="auto" w:sz="0" w:space="0"/>
      </w:pBdr>
      <w:tabs>
        <w:tab w:val="left" w:pos="1727"/>
        <w:tab w:val="left" w:pos="1884"/>
      </w:tabs>
      <w:outlineLvl w:val="0"/>
    </w:pPr>
    <w:rPr>
      <w:rFonts w:ascii="宋体" w:hAnsi="宋体"/>
      <w:sz w:val="21"/>
      <w:szCs w:val="20"/>
    </w:rPr>
  </w:style>
  <w:style w:type="paragraph" w:customStyle="1" w:styleId="1040">
    <w:name w:val="Char45"/>
    <w:basedOn w:val="1"/>
    <w:qFormat/>
    <w:uiPriority w:val="0"/>
  </w:style>
  <w:style w:type="paragraph" w:customStyle="1" w:styleId="1041">
    <w:name w:val="Char43"/>
    <w:basedOn w:val="1"/>
    <w:qFormat/>
    <w:uiPriority w:val="0"/>
    <w:pPr>
      <w:spacing w:line="360" w:lineRule="auto"/>
      <w:ind w:firstLine="200" w:firstLineChars="200"/>
    </w:pPr>
    <w:rPr>
      <w:rFonts w:ascii="宋体" w:hAnsi="宋体" w:cs="宋体"/>
    </w:rPr>
  </w:style>
  <w:style w:type="paragraph" w:customStyle="1" w:styleId="1042">
    <w:name w:val="xl214"/>
    <w:basedOn w:val="1"/>
    <w:qFormat/>
    <w:uiPriority w:val="0"/>
    <w:pPr>
      <w:widowControl/>
      <w:pBdr>
        <w:top w:val="single" w:color="auto" w:sz="4" w:space="0"/>
        <w:bottom w:val="single" w:color="auto" w:sz="4" w:space="0"/>
      </w:pBdr>
      <w:spacing w:before="100" w:beforeAutospacing="1" w:after="100" w:afterAutospacing="1"/>
      <w:jc w:val="right"/>
      <w:textAlignment w:val="center"/>
    </w:pPr>
    <w:rPr>
      <w:rFonts w:ascii="黑体" w:hAnsi="黑体" w:eastAsia="黑体" w:cs="宋体"/>
      <w:kern w:val="0"/>
      <w:sz w:val="18"/>
      <w:szCs w:val="18"/>
    </w:rPr>
  </w:style>
  <w:style w:type="paragraph" w:customStyle="1" w:styleId="1043">
    <w:name w:val="二期四级样式"/>
    <w:basedOn w:val="1"/>
    <w:qFormat/>
    <w:uiPriority w:val="0"/>
    <w:pPr>
      <w:widowControl/>
      <w:tabs>
        <w:tab w:val="left" w:pos="1174"/>
      </w:tabs>
      <w:ind w:left="567" w:hanging="113"/>
      <w:jc w:val="left"/>
    </w:pPr>
    <w:rPr>
      <w:kern w:val="0"/>
    </w:rPr>
  </w:style>
  <w:style w:type="paragraph" w:customStyle="1" w:styleId="1044">
    <w:name w:val="正文文本 22"/>
    <w:basedOn w:val="1"/>
    <w:qFormat/>
    <w:uiPriority w:val="0"/>
    <w:pPr>
      <w:tabs>
        <w:tab w:val="left" w:pos="510"/>
      </w:tabs>
      <w:adjustRightInd w:val="0"/>
      <w:spacing w:line="460" w:lineRule="atLeast"/>
      <w:ind w:firstLine="664"/>
      <w:textAlignment w:val="baseline"/>
    </w:pPr>
    <w:rPr>
      <w:spacing w:val="26"/>
      <w:kern w:val="0"/>
      <w:sz w:val="28"/>
      <w:szCs w:val="20"/>
    </w:rPr>
  </w:style>
  <w:style w:type="paragraph" w:customStyle="1" w:styleId="1045">
    <w:name w:val="xl8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黑体" w:hAnsi="宋体" w:eastAsia="黑体" w:cs="宋体"/>
      <w:color w:val="0000FF"/>
      <w:kern w:val="0"/>
      <w:sz w:val="18"/>
      <w:szCs w:val="18"/>
    </w:rPr>
  </w:style>
  <w:style w:type="paragraph" w:customStyle="1" w:styleId="1046">
    <w:name w:val="Char Char Char Char1 Char Char Char"/>
    <w:basedOn w:val="1"/>
    <w:qFormat/>
    <w:uiPriority w:val="0"/>
    <w:pPr>
      <w:ind w:firstLine="200" w:firstLineChars="200"/>
    </w:pPr>
    <w:rPr>
      <w:rFonts w:ascii="宋体" w:hAnsi="宋体" w:cs="宋体"/>
    </w:rPr>
  </w:style>
  <w:style w:type="paragraph" w:customStyle="1" w:styleId="1047">
    <w:name w:val=" Char Char3 Char Char"/>
    <w:basedOn w:val="1"/>
    <w:qFormat/>
    <w:uiPriority w:val="0"/>
    <w:pPr>
      <w:spacing w:line="360" w:lineRule="auto"/>
      <w:ind w:firstLine="200" w:firstLineChars="200"/>
    </w:pPr>
    <w:rPr>
      <w:rFonts w:ascii="宋体" w:hAnsi="宋体" w:cs="宋体"/>
    </w:rPr>
  </w:style>
  <w:style w:type="paragraph" w:customStyle="1" w:styleId="1048">
    <w:name w:val="Char310"/>
    <w:basedOn w:val="1"/>
    <w:qFormat/>
    <w:uiPriority w:val="0"/>
    <w:pPr>
      <w:widowControl/>
      <w:spacing w:line="360" w:lineRule="auto"/>
      <w:ind w:firstLine="200" w:firstLineChars="200"/>
      <w:jc w:val="left"/>
    </w:pPr>
    <w:rPr>
      <w:rFonts w:ascii="宋体" w:hAnsi="宋体" w:cs="宋体"/>
      <w:kern w:val="0"/>
    </w:rPr>
  </w:style>
  <w:style w:type="paragraph" w:customStyle="1" w:styleId="1049">
    <w:name w:val=" Char Char Char Char Char Char Char Char Char Char Char Char Char Char Char Char Char Char Char Char Char Char Char Char Char Char Char Char Char Char Char Char Char Char Char Char"/>
    <w:basedOn w:val="1"/>
    <w:qFormat/>
    <w:uiPriority w:val="0"/>
    <w:pPr>
      <w:snapToGrid w:val="0"/>
      <w:spacing w:line="440" w:lineRule="atLeast"/>
      <w:ind w:firstLine="200" w:firstLineChars="200"/>
    </w:pPr>
    <w:rPr>
      <w:sz w:val="21"/>
      <w:szCs w:val="20"/>
    </w:rPr>
  </w:style>
  <w:style w:type="paragraph" w:customStyle="1" w:styleId="1050">
    <w:name w:val="_Style 1048"/>
    <w:semiHidden/>
    <w:qFormat/>
    <w:uiPriority w:val="99"/>
    <w:rPr>
      <w:rFonts w:ascii="宋体" w:hAnsi="宋体" w:eastAsia="宋体" w:cs="宋体"/>
      <w:sz w:val="24"/>
      <w:szCs w:val="24"/>
      <w:lang w:val="en-US" w:eastAsia="zh-CN" w:bidi="ar-SA"/>
    </w:rPr>
  </w:style>
  <w:style w:type="paragraph" w:customStyle="1" w:styleId="1051">
    <w:name w:val="公式"/>
    <w:next w:val="1"/>
    <w:qFormat/>
    <w:uiPriority w:val="0"/>
    <w:pPr>
      <w:jc w:val="center"/>
    </w:pPr>
    <w:rPr>
      <w:rFonts w:ascii="Times New Roman" w:hAnsi="Times New Roman" w:eastAsia="宋体" w:cs="Times New Roman"/>
      <w:kern w:val="2"/>
      <w:position w:val="-24"/>
      <w:sz w:val="21"/>
      <w:szCs w:val="24"/>
      <w:lang w:val="en-US" w:eastAsia="zh-CN" w:bidi="ar-SA"/>
    </w:rPr>
  </w:style>
  <w:style w:type="paragraph" w:customStyle="1" w:styleId="1052">
    <w:name w:val="小表中"/>
    <w:basedOn w:val="1"/>
    <w:qFormat/>
    <w:uiPriority w:val="0"/>
    <w:pPr>
      <w:ind w:left="-63" w:leftChars="-30" w:right="-63" w:rightChars="-30"/>
    </w:pPr>
    <w:rPr>
      <w:sz w:val="21"/>
    </w:rPr>
  </w:style>
  <w:style w:type="paragraph" w:customStyle="1" w:styleId="1053">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2"/>
      <w:szCs w:val="22"/>
    </w:rPr>
  </w:style>
  <w:style w:type="paragraph" w:customStyle="1" w:styleId="1054">
    <w:name w:val="Char Char Char Char1 Char Char Char Char Char Char Char Char Char Char Char Char Char"/>
    <w:basedOn w:val="1"/>
    <w:qFormat/>
    <w:uiPriority w:val="0"/>
    <w:pPr>
      <w:widowControl/>
      <w:ind w:firstLine="200" w:firstLineChars="200"/>
      <w:jc w:val="left"/>
    </w:pPr>
    <w:rPr>
      <w:rFonts w:ascii="宋体" w:hAnsi="宋体" w:cs="宋体"/>
      <w:kern w:val="0"/>
    </w:rPr>
  </w:style>
  <w:style w:type="paragraph" w:customStyle="1" w:styleId="1055">
    <w:name w:val="xl84"/>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黑体" w:hAnsi="宋体" w:eastAsia="黑体" w:cs="宋体"/>
      <w:color w:val="0000FF"/>
      <w:kern w:val="0"/>
      <w:sz w:val="18"/>
      <w:szCs w:val="18"/>
    </w:rPr>
  </w:style>
  <w:style w:type="paragraph" w:customStyle="1" w:styleId="1056">
    <w:name w:val="图表头"/>
    <w:basedOn w:val="1"/>
    <w:qFormat/>
    <w:uiPriority w:val="0"/>
    <w:pPr>
      <w:adjustRightInd w:val="0"/>
      <w:snapToGrid w:val="0"/>
      <w:jc w:val="center"/>
      <w:textAlignment w:val="baseline"/>
    </w:pPr>
    <w:rPr>
      <w:rFonts w:ascii="黑体" w:eastAsia="黑体"/>
      <w:bCs/>
      <w:kern w:val="0"/>
    </w:rPr>
  </w:style>
  <w:style w:type="paragraph" w:customStyle="1" w:styleId="1057">
    <w:name w:val="Char38"/>
    <w:basedOn w:val="1"/>
    <w:qFormat/>
    <w:uiPriority w:val="0"/>
    <w:pPr>
      <w:spacing w:line="360" w:lineRule="auto"/>
      <w:ind w:firstLine="200" w:firstLineChars="200"/>
    </w:pPr>
    <w:rPr>
      <w:rFonts w:ascii="宋体" w:hAnsi="宋体" w:cs="宋体"/>
    </w:rPr>
  </w:style>
  <w:style w:type="paragraph" w:customStyle="1" w:styleId="1058">
    <w:name w:val="xl188"/>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059">
    <w:name w:val=" Char Char Char Char Char Char1 Char Char Char1 Char Char Char Char Char Char Char Char Char Char Char Char Char Char Char1 Char Char Char1 Char Char Char Char Char Char1 Char Char Char Char Char Char Char Char Char Char Char"/>
    <w:basedOn w:val="1"/>
    <w:qFormat/>
    <w:uiPriority w:val="0"/>
    <w:pPr>
      <w:spacing w:line="360" w:lineRule="auto"/>
      <w:ind w:firstLine="200" w:firstLineChars="200"/>
    </w:pPr>
    <w:rPr>
      <w:rFonts w:cs="宋体"/>
    </w:rPr>
  </w:style>
  <w:style w:type="paragraph" w:customStyle="1" w:styleId="1060">
    <w:name w:val="Char40"/>
    <w:basedOn w:val="1"/>
    <w:qFormat/>
    <w:uiPriority w:val="0"/>
    <w:pPr>
      <w:spacing w:line="360" w:lineRule="auto"/>
      <w:ind w:firstLine="200" w:firstLineChars="200"/>
    </w:pPr>
    <w:rPr>
      <w:rFonts w:ascii="宋体" w:hAnsi="宋体" w:cs="宋体"/>
    </w:rPr>
  </w:style>
  <w:style w:type="paragraph" w:customStyle="1" w:styleId="1061">
    <w:name w:val="xl1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062">
    <w:name w:val="CM13"/>
    <w:basedOn w:val="721"/>
    <w:next w:val="721"/>
    <w:qFormat/>
    <w:uiPriority w:val="99"/>
    <w:pPr>
      <w:spacing w:line="420" w:lineRule="atLeast"/>
    </w:pPr>
    <w:rPr>
      <w:rFonts w:ascii="黑体" w:eastAsia="黑体" w:cs="Times New Roman"/>
      <w:color w:val="auto"/>
    </w:rPr>
  </w:style>
  <w:style w:type="paragraph" w:customStyle="1" w:styleId="1063">
    <w:name w:val="font9"/>
    <w:basedOn w:val="1"/>
    <w:qFormat/>
    <w:uiPriority w:val="0"/>
    <w:pPr>
      <w:widowControl/>
      <w:spacing w:before="100" w:beforeAutospacing="1" w:after="100" w:afterAutospacing="1"/>
      <w:jc w:val="left"/>
    </w:pPr>
    <w:rPr>
      <w:rFonts w:eastAsia="Arial Unicode MS"/>
      <w:kern w:val="0"/>
      <w:szCs w:val="21"/>
    </w:rPr>
  </w:style>
  <w:style w:type="paragraph" w:customStyle="1" w:styleId="1064">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黑体" w:hAnsi="Arial Unicode MS" w:eastAsia="黑体" w:cs="Arial Unicode MS"/>
      <w:kern w:val="0"/>
      <w:sz w:val="18"/>
      <w:szCs w:val="18"/>
    </w:rPr>
  </w:style>
  <w:style w:type="paragraph" w:customStyle="1" w:styleId="1065">
    <w:name w:val="Char Char Char Char Char Char1 Char Char Char1 Char Char Char Char Char Char Char Char Char Char Char Char Char"/>
    <w:basedOn w:val="1"/>
    <w:semiHidden/>
    <w:qFormat/>
    <w:uiPriority w:val="0"/>
    <w:pPr>
      <w:spacing w:line="360" w:lineRule="auto"/>
      <w:ind w:firstLine="200" w:firstLineChars="200"/>
    </w:pPr>
    <w:rPr>
      <w:rFonts w:ascii="宋体" w:hAnsi="宋体" w:cs="宋体"/>
    </w:rPr>
  </w:style>
  <w:style w:type="paragraph" w:customStyle="1" w:styleId="1066">
    <w:name w:val="xl9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color w:val="FF0000"/>
      <w:kern w:val="0"/>
      <w:sz w:val="18"/>
      <w:szCs w:val="18"/>
    </w:rPr>
  </w:style>
  <w:style w:type="paragraph" w:customStyle="1" w:styleId="1067">
    <w:name w:val="样式 标题 3 + 宋体 四号 非加粗 段前: 0 磅 段后: 0 磅 行距: 固定值 24 磅1"/>
    <w:basedOn w:val="5"/>
    <w:qFormat/>
    <w:uiPriority w:val="0"/>
    <w:pPr>
      <w:numPr>
        <w:ilvl w:val="0"/>
        <w:numId w:val="0"/>
      </w:numPr>
      <w:spacing w:before="0" w:after="0" w:line="560" w:lineRule="exact"/>
    </w:pPr>
    <w:rPr>
      <w:rFonts w:ascii="黑体" w:hAnsi="宋体" w:eastAsia="黑体" w:cs="宋体"/>
      <w:b w:val="0"/>
      <w:szCs w:val="28"/>
      <w:lang w:val="en-US" w:eastAsia="zh-CN"/>
    </w:rPr>
  </w:style>
  <w:style w:type="paragraph" w:customStyle="1" w:styleId="1068">
    <w:name w:val="Char Char Char Char Char Char1 Char Char Char1 Char Char Char Char Char Char Char Char Char Char Char Char Char Char Char1 Char"/>
    <w:basedOn w:val="1"/>
    <w:qFormat/>
    <w:uiPriority w:val="0"/>
    <w:pPr>
      <w:spacing w:line="360" w:lineRule="auto"/>
      <w:ind w:firstLine="200" w:firstLineChars="200"/>
    </w:pPr>
    <w:rPr>
      <w:rFonts w:ascii="宋体" w:hAnsi="宋体" w:cs="宋体"/>
    </w:rPr>
  </w:style>
  <w:style w:type="paragraph" w:customStyle="1" w:styleId="1069">
    <w:name w:val="xl8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color w:val="000000"/>
      <w:kern w:val="0"/>
      <w:sz w:val="18"/>
      <w:szCs w:val="18"/>
    </w:rPr>
  </w:style>
  <w:style w:type="paragraph" w:customStyle="1" w:styleId="1070">
    <w:name w:val="l_text Char Char"/>
    <w:basedOn w:val="1"/>
    <w:qFormat/>
    <w:uiPriority w:val="0"/>
    <w:pPr>
      <w:widowControl/>
      <w:overflowPunct w:val="0"/>
      <w:autoSpaceDE w:val="0"/>
      <w:autoSpaceDN w:val="0"/>
      <w:adjustRightInd w:val="0"/>
      <w:snapToGrid w:val="0"/>
      <w:spacing w:line="360" w:lineRule="auto"/>
      <w:ind w:firstLine="560" w:firstLineChars="200"/>
      <w:textAlignment w:val="baseline"/>
    </w:pPr>
    <w:rPr>
      <w:rFonts w:ascii="宋体" w:hAnsi="宋体" w:cs="仿宋体"/>
      <w:kern w:val="0"/>
      <w:sz w:val="28"/>
      <w:szCs w:val="28"/>
      <w:lang w:val="zh-CN"/>
    </w:rPr>
  </w:style>
  <w:style w:type="paragraph" w:customStyle="1" w:styleId="1071">
    <w:name w:val="Char Char Char Char Char Char1 Char Char Char1 Char Char Char Char Char Char Char Char Char Char Char Char Char Char Char1 Char Char Char2"/>
    <w:basedOn w:val="1"/>
    <w:qFormat/>
    <w:uiPriority w:val="0"/>
    <w:pPr>
      <w:widowControl/>
      <w:spacing w:line="360" w:lineRule="auto"/>
      <w:ind w:firstLine="200" w:firstLineChars="200"/>
      <w:jc w:val="left"/>
    </w:pPr>
    <w:rPr>
      <w:rFonts w:ascii="宋体" w:hAnsi="宋体" w:cs="宋体"/>
      <w:kern w:val="0"/>
    </w:rPr>
  </w:style>
  <w:style w:type="paragraph" w:customStyle="1" w:styleId="1072">
    <w:name w:val=" Char Char1 Char"/>
    <w:basedOn w:val="1"/>
    <w:qFormat/>
    <w:uiPriority w:val="0"/>
    <w:rPr>
      <w:rFonts w:eastAsia="黑体" w:cs="宋体"/>
      <w:b/>
      <w:bCs/>
      <w:color w:val="000000"/>
      <w:sz w:val="32"/>
      <w:szCs w:val="32"/>
    </w:rPr>
  </w:style>
  <w:style w:type="paragraph" w:customStyle="1" w:styleId="1073">
    <w:name w:val=" Char Char Char1 Char"/>
    <w:basedOn w:val="1"/>
    <w:qFormat/>
    <w:uiPriority w:val="0"/>
    <w:pPr>
      <w:spacing w:line="360" w:lineRule="auto"/>
      <w:ind w:firstLine="200" w:firstLineChars="200"/>
    </w:pPr>
    <w:rPr>
      <w:rFonts w:ascii="宋体" w:hAnsi="宋体" w:cs="宋体"/>
    </w:rPr>
  </w:style>
  <w:style w:type="paragraph" w:customStyle="1" w:styleId="1074">
    <w:name w:val="hzzh加粗正文"/>
    <w:basedOn w:val="278"/>
    <w:qFormat/>
    <w:uiPriority w:val="0"/>
    <w:pPr>
      <w:overflowPunct w:val="0"/>
      <w:ind w:left="420" w:leftChars="100" w:right="100" w:rightChars="100"/>
    </w:pPr>
    <w:rPr>
      <w:rFonts w:cs="宋体"/>
      <w:b/>
      <w:kern w:val="0"/>
      <w:szCs w:val="24"/>
    </w:rPr>
  </w:style>
  <w:style w:type="paragraph" w:customStyle="1" w:styleId="1075">
    <w:name w:val="Char34"/>
    <w:basedOn w:val="1"/>
    <w:qFormat/>
    <w:uiPriority w:val="0"/>
    <w:pPr>
      <w:spacing w:line="360" w:lineRule="auto"/>
      <w:ind w:firstLine="200" w:firstLineChars="200"/>
    </w:pPr>
    <w:rPr>
      <w:rFonts w:ascii="宋体" w:hAnsi="宋体" w:cs="宋体"/>
    </w:rPr>
  </w:style>
  <w:style w:type="paragraph" w:customStyle="1" w:styleId="1076">
    <w:name w:val="Char Char Char Char Char Char1 Char Char Char1 Char Char Char Char Char Char Char Char Char Char Char Char Char Char Char1 Char Char Char1 Char Char Char Char Char Char1 Char Char Char Char Char Char Char Char Char"/>
    <w:basedOn w:val="1"/>
    <w:qFormat/>
    <w:uiPriority w:val="0"/>
    <w:pPr>
      <w:spacing w:line="360" w:lineRule="auto"/>
      <w:ind w:firstLine="200" w:firstLineChars="200"/>
    </w:pPr>
    <w:rPr>
      <w:rFonts w:ascii="宋体" w:hAnsi="宋体" w:cs="宋体"/>
    </w:rPr>
  </w:style>
  <w:style w:type="paragraph" w:customStyle="1" w:styleId="1077">
    <w:name w:val="xl195"/>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黑体" w:hAnsi="黑体" w:eastAsia="黑体" w:cs="宋体"/>
      <w:kern w:val="0"/>
      <w:sz w:val="18"/>
      <w:szCs w:val="18"/>
    </w:rPr>
  </w:style>
  <w:style w:type="paragraph" w:customStyle="1" w:styleId="1078">
    <w:name w:val="报告表格内文"/>
    <w:basedOn w:val="38"/>
    <w:qFormat/>
    <w:uiPriority w:val="0"/>
    <w:pPr>
      <w:tabs>
        <w:tab w:val="left" w:pos="0"/>
      </w:tabs>
      <w:adjustRightInd w:val="0"/>
      <w:spacing w:after="0" w:line="440" w:lineRule="exact"/>
      <w:ind w:left="0" w:leftChars="0" w:right="0" w:rightChars="0"/>
      <w:jc w:val="center"/>
    </w:pPr>
    <w:rPr>
      <w:bCs/>
      <w:color w:val="000000"/>
      <w:sz w:val="21"/>
    </w:rPr>
  </w:style>
  <w:style w:type="paragraph" w:customStyle="1" w:styleId="1079">
    <w:name w:val="xl9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color w:val="000000"/>
      <w:kern w:val="0"/>
      <w:sz w:val="18"/>
      <w:szCs w:val="18"/>
    </w:rPr>
  </w:style>
  <w:style w:type="paragraph" w:customStyle="1" w:styleId="1080">
    <w:name w:val="xl10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黑体" w:hAnsi="宋体" w:eastAsia="黑体" w:cs="宋体"/>
      <w:color w:val="000000"/>
      <w:kern w:val="0"/>
      <w:sz w:val="18"/>
      <w:szCs w:val="18"/>
    </w:rPr>
  </w:style>
  <w:style w:type="paragraph" w:customStyle="1" w:styleId="1081">
    <w:name w:val="font14"/>
    <w:basedOn w:val="1"/>
    <w:qFormat/>
    <w:uiPriority w:val="0"/>
    <w:pPr>
      <w:widowControl/>
      <w:spacing w:before="100" w:beforeAutospacing="1" w:after="100" w:afterAutospacing="1"/>
      <w:jc w:val="left"/>
    </w:pPr>
    <w:rPr>
      <w:rFonts w:ascii="宋体" w:hAnsi="宋体" w:cs="宋体"/>
      <w:b/>
      <w:bCs/>
      <w:kern w:val="0"/>
      <w:sz w:val="28"/>
      <w:szCs w:val="28"/>
    </w:rPr>
  </w:style>
  <w:style w:type="paragraph" w:customStyle="1" w:styleId="1082">
    <w:name w:val="表格文字居中"/>
    <w:basedOn w:val="1"/>
    <w:qFormat/>
    <w:uiPriority w:val="0"/>
    <w:pPr>
      <w:widowControl/>
      <w:jc w:val="center"/>
    </w:pPr>
    <w:rPr>
      <w:rFonts w:ascii="宋体" w:hAnsi="宋体"/>
      <w:bCs/>
      <w:kern w:val="0"/>
    </w:rPr>
  </w:style>
  <w:style w:type="paragraph" w:customStyle="1" w:styleId="1083">
    <w:name w:val="Char Char Char Char Char Char Char Char Char Char8"/>
    <w:basedOn w:val="1"/>
    <w:semiHidden/>
    <w:qFormat/>
    <w:uiPriority w:val="0"/>
    <w:pPr>
      <w:spacing w:beforeLines="50" w:afterLines="50"/>
    </w:pPr>
    <w:rPr>
      <w:rFonts w:ascii="Tahoma" w:hAnsi="Tahoma"/>
      <w:szCs w:val="20"/>
    </w:rPr>
  </w:style>
  <w:style w:type="paragraph" w:customStyle="1" w:styleId="1084">
    <w:name w:val="xl7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黑体" w:hAnsi="宋体" w:eastAsia="黑体" w:cs="宋体"/>
      <w:color w:val="FF0000"/>
      <w:kern w:val="0"/>
      <w:sz w:val="18"/>
      <w:szCs w:val="18"/>
    </w:rPr>
  </w:style>
  <w:style w:type="paragraph" w:customStyle="1" w:styleId="1085">
    <w:name w:val="xl190"/>
    <w:basedOn w:val="1"/>
    <w:qFormat/>
    <w:uiPriority w:val="0"/>
    <w:pPr>
      <w:widowControl/>
      <w:pBdr>
        <w:top w:val="single" w:color="auto" w:sz="8" w:space="0"/>
        <w:bottom w:val="single" w:color="auto" w:sz="4" w:space="0"/>
      </w:pBdr>
      <w:shd w:val="clear" w:color="000000" w:fill="FFFFFF"/>
      <w:spacing w:before="100" w:beforeAutospacing="1" w:after="100" w:afterAutospacing="1"/>
      <w:jc w:val="right"/>
      <w:textAlignment w:val="center"/>
    </w:pPr>
    <w:rPr>
      <w:rFonts w:ascii="黑体" w:hAnsi="黑体" w:eastAsia="黑体" w:cs="宋体"/>
      <w:kern w:val="0"/>
      <w:sz w:val="18"/>
      <w:szCs w:val="18"/>
    </w:rPr>
  </w:style>
  <w:style w:type="paragraph" w:customStyle="1" w:styleId="1086">
    <w:name w:val=" Char Char4 Char Char Char Char Char Char Char Char"/>
    <w:basedOn w:val="1"/>
    <w:qFormat/>
    <w:uiPriority w:val="0"/>
    <w:pPr>
      <w:spacing w:line="360" w:lineRule="auto"/>
      <w:ind w:firstLine="200" w:firstLineChars="200"/>
    </w:pPr>
    <w:rPr>
      <w:rFonts w:cs="宋体"/>
    </w:rPr>
  </w:style>
  <w:style w:type="paragraph" w:customStyle="1" w:styleId="1087">
    <w:name w:val="已有表格"/>
    <w:basedOn w:val="1"/>
    <w:qFormat/>
    <w:uiPriority w:val="0"/>
    <w:pPr>
      <w:adjustRightInd w:val="0"/>
      <w:spacing w:before="40" w:after="40"/>
      <w:jc w:val="center"/>
      <w:textAlignment w:val="baseline"/>
    </w:pPr>
    <w:rPr>
      <w:b/>
      <w:kern w:val="0"/>
      <w:szCs w:val="20"/>
    </w:rPr>
  </w:style>
  <w:style w:type="paragraph" w:customStyle="1" w:styleId="1088">
    <w:name w:val="xl4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color w:val="FF0000"/>
      <w:kern w:val="0"/>
    </w:rPr>
  </w:style>
  <w:style w:type="paragraph" w:customStyle="1" w:styleId="1089">
    <w:name w:val="xl4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eastAsia="Arial Unicode MS"/>
      <w:kern w:val="0"/>
    </w:rPr>
  </w:style>
  <w:style w:type="paragraph" w:customStyle="1" w:styleId="1090">
    <w:name w:val="xl53"/>
    <w:basedOn w:val="1"/>
    <w:qFormat/>
    <w:uiPriority w:val="0"/>
    <w:pPr>
      <w:widowControl/>
      <w:pBdr>
        <w:top w:val="double" w:color="auto" w:sz="6" w:space="0"/>
        <w:left w:val="double" w:color="auto" w:sz="6"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rPr>
  </w:style>
  <w:style w:type="paragraph" w:customStyle="1" w:styleId="1091">
    <w:name w:val="Char110"/>
    <w:basedOn w:val="1"/>
    <w:qFormat/>
    <w:uiPriority w:val="0"/>
    <w:pPr>
      <w:widowControl/>
      <w:spacing w:line="360" w:lineRule="auto"/>
      <w:ind w:firstLine="200" w:firstLineChars="200"/>
      <w:jc w:val="left"/>
    </w:pPr>
    <w:rPr>
      <w:rFonts w:ascii="宋体" w:hAnsi="宋体" w:cs="宋体"/>
      <w:kern w:val="0"/>
    </w:rPr>
  </w:style>
  <w:style w:type="paragraph" w:customStyle="1" w:styleId="1092">
    <w:name w:val="Char Char Char Char Char Char1 Char Char Char1 Char Char Char Char Char Char Char Char Char Char Char Char Char Char Char1 Char Char Char1 Char Char Char1"/>
    <w:basedOn w:val="1"/>
    <w:qFormat/>
    <w:uiPriority w:val="0"/>
    <w:pPr>
      <w:widowControl/>
      <w:spacing w:line="360" w:lineRule="auto"/>
      <w:ind w:firstLine="200" w:firstLineChars="200"/>
      <w:jc w:val="left"/>
    </w:pPr>
    <w:rPr>
      <w:rFonts w:ascii="宋体" w:hAnsi="宋体" w:cs="宋体"/>
      <w:kern w:val="0"/>
    </w:rPr>
  </w:style>
  <w:style w:type="paragraph" w:customStyle="1" w:styleId="1093">
    <w:name w:val="Char Char Char Char Char"/>
    <w:basedOn w:val="1"/>
    <w:next w:val="1"/>
    <w:semiHidden/>
    <w:qFormat/>
    <w:uiPriority w:val="0"/>
    <w:pPr>
      <w:spacing w:line="336" w:lineRule="auto"/>
      <w:ind w:firstLine="200" w:firstLineChars="200"/>
    </w:pPr>
    <w:rPr>
      <w:rFonts w:ascii="宋体" w:hAnsi="宋体" w:eastAsia="汉鼎简书宋" w:cs="宋体"/>
    </w:rPr>
  </w:style>
  <w:style w:type="paragraph" w:customStyle="1" w:styleId="1094">
    <w:name w:val="xl215"/>
    <w:basedOn w:val="1"/>
    <w:qFormat/>
    <w:uiPriority w:val="0"/>
    <w:pPr>
      <w:widowControl/>
      <w:pBdr>
        <w:top w:val="single" w:color="auto" w:sz="4" w:space="0"/>
        <w:bottom w:val="single" w:color="auto" w:sz="4" w:space="0"/>
        <w:right w:val="single" w:color="auto" w:sz="8" w:space="0"/>
      </w:pBdr>
      <w:spacing w:before="100" w:beforeAutospacing="1" w:after="100" w:afterAutospacing="1"/>
      <w:jc w:val="center"/>
      <w:textAlignment w:val="center"/>
    </w:pPr>
    <w:rPr>
      <w:rFonts w:ascii="黑体" w:hAnsi="黑体" w:eastAsia="黑体" w:cs="宋体"/>
      <w:kern w:val="0"/>
      <w:sz w:val="20"/>
      <w:szCs w:val="20"/>
    </w:rPr>
  </w:style>
  <w:style w:type="paragraph" w:customStyle="1" w:styleId="1095">
    <w:name w:val="CM29"/>
    <w:basedOn w:val="721"/>
    <w:next w:val="721"/>
    <w:qFormat/>
    <w:uiPriority w:val="0"/>
    <w:pPr>
      <w:spacing w:line="546" w:lineRule="atLeast"/>
    </w:pPr>
    <w:rPr>
      <w:rFonts w:cs="Times New Roman"/>
      <w:color w:val="auto"/>
    </w:rPr>
  </w:style>
  <w:style w:type="paragraph" w:customStyle="1" w:styleId="1096">
    <w:name w:val="1 Char Char Char Char Char Char Char Char Char Char Char Char"/>
    <w:basedOn w:val="1"/>
    <w:qFormat/>
    <w:uiPriority w:val="0"/>
    <w:pPr>
      <w:widowControl/>
      <w:jc w:val="left"/>
    </w:pPr>
    <w:rPr>
      <w:rFonts w:ascii="宋体" w:hAnsi="宋体" w:cs="宋体"/>
      <w:kern w:val="0"/>
    </w:rPr>
  </w:style>
  <w:style w:type="paragraph" w:customStyle="1" w:styleId="1097">
    <w:name w:val="xl56"/>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rPr>
  </w:style>
  <w:style w:type="paragraph" w:customStyle="1" w:styleId="1098">
    <w:name w:val="Tblhead"/>
    <w:basedOn w:val="1"/>
    <w:next w:val="1"/>
    <w:qFormat/>
    <w:uiPriority w:val="0"/>
    <w:pPr>
      <w:pageBreakBefore/>
      <w:suppressAutoHyphens/>
      <w:autoSpaceDE w:val="0"/>
      <w:autoSpaceDN w:val="0"/>
      <w:adjustRightInd w:val="0"/>
      <w:jc w:val="center"/>
      <w:textAlignment w:val="baseline"/>
    </w:pPr>
    <w:rPr>
      <w:rFonts w:ascii="宋体"/>
      <w:spacing w:val="-3"/>
      <w:kern w:val="0"/>
      <w:szCs w:val="20"/>
    </w:rPr>
  </w:style>
  <w:style w:type="paragraph" w:customStyle="1" w:styleId="1099">
    <w:name w:val="正文样式1"/>
    <w:basedOn w:val="1"/>
    <w:qFormat/>
    <w:uiPriority w:val="0"/>
    <w:pPr>
      <w:adjustRightInd w:val="0"/>
      <w:spacing w:line="480" w:lineRule="atLeast"/>
      <w:ind w:firstLine="567"/>
      <w:jc w:val="left"/>
      <w:textAlignment w:val="baseline"/>
    </w:pPr>
    <w:rPr>
      <w:kern w:val="28"/>
      <w:sz w:val="28"/>
      <w:szCs w:val="20"/>
    </w:rPr>
  </w:style>
  <w:style w:type="paragraph" w:customStyle="1" w:styleId="1100">
    <w:name w:val="Char Char Char Char Char Char3 Char Char Char Char Char Char Char1"/>
    <w:basedOn w:val="1"/>
    <w:next w:val="1"/>
    <w:qFormat/>
    <w:uiPriority w:val="0"/>
    <w:pPr>
      <w:widowControl/>
      <w:jc w:val="left"/>
    </w:pPr>
    <w:rPr>
      <w:rFonts w:ascii="宋体" w:hAnsi="宋体" w:eastAsia="黑体" w:cs="宋体"/>
      <w:kern w:val="0"/>
      <w:sz w:val="28"/>
    </w:rPr>
  </w:style>
  <w:style w:type="paragraph" w:customStyle="1" w:styleId="1101">
    <w:name w:val="表号"/>
    <w:next w:val="1"/>
    <w:qFormat/>
    <w:uiPriority w:val="0"/>
    <w:pPr>
      <w:snapToGrid w:val="0"/>
      <w:jc w:val="right"/>
    </w:pPr>
    <w:rPr>
      <w:rFonts w:ascii="宋体" w:hAnsi="Times New Roman" w:eastAsia="宋体" w:cs="Times New Roman"/>
      <w:spacing w:val="10"/>
      <w:sz w:val="21"/>
      <w:szCs w:val="24"/>
      <w:lang w:val="en-US" w:eastAsia="zh-CN" w:bidi="ar-SA"/>
    </w:rPr>
  </w:style>
  <w:style w:type="paragraph" w:customStyle="1" w:styleId="1102">
    <w:name w:val="Char13"/>
    <w:basedOn w:val="1"/>
    <w:qFormat/>
    <w:uiPriority w:val="0"/>
    <w:pPr>
      <w:spacing w:line="360" w:lineRule="auto"/>
      <w:ind w:firstLine="200" w:firstLineChars="200"/>
    </w:pPr>
    <w:rPr>
      <w:rFonts w:ascii="宋体" w:hAnsi="宋体" w:cs="宋体"/>
    </w:rPr>
  </w:style>
  <w:style w:type="paragraph" w:customStyle="1" w:styleId="1103">
    <w:name w:val="Char25"/>
    <w:basedOn w:val="1"/>
    <w:qFormat/>
    <w:uiPriority w:val="0"/>
    <w:pPr>
      <w:spacing w:line="360" w:lineRule="auto"/>
      <w:ind w:firstLine="200" w:firstLineChars="200"/>
    </w:pPr>
    <w:rPr>
      <w:rFonts w:ascii="宋体" w:hAnsi="宋体" w:cs="宋体"/>
    </w:rPr>
  </w:style>
  <w:style w:type="paragraph" w:customStyle="1" w:styleId="1104">
    <w:name w:val="样式 样式 样式 标题 3标题 33 + 段前: 0.5 行 + 段前: 0.5 行 + 段前: 6 磅 段后: 0.5 行"/>
    <w:basedOn w:val="1"/>
    <w:qFormat/>
    <w:uiPriority w:val="0"/>
    <w:pPr>
      <w:keepNext/>
      <w:keepLines/>
      <w:adjustRightInd w:val="0"/>
      <w:snapToGrid w:val="0"/>
      <w:spacing w:line="360" w:lineRule="auto"/>
      <w:outlineLvl w:val="2"/>
    </w:pPr>
    <w:rPr>
      <w:rFonts w:ascii="黑体" w:hAnsi="宋体" w:eastAsia="黑体" w:cs="宋体"/>
      <w:snapToGrid w:val="0"/>
      <w:kern w:val="0"/>
      <w:szCs w:val="20"/>
    </w:rPr>
  </w:style>
  <w:style w:type="paragraph" w:customStyle="1" w:styleId="1105">
    <w:name w:val="样式 11 磅 首行缩进:  0.74 厘米 行距: 固定值 18 磅"/>
    <w:basedOn w:val="1"/>
    <w:qFormat/>
    <w:uiPriority w:val="0"/>
    <w:pPr>
      <w:spacing w:before="100" w:beforeAutospacing="1" w:after="100" w:afterAutospacing="1"/>
      <w:ind w:firstLine="454"/>
    </w:pPr>
    <w:rPr>
      <w:rFonts w:cs="宋体"/>
    </w:rPr>
  </w:style>
  <w:style w:type="paragraph" w:customStyle="1" w:styleId="1106">
    <w:name w:val="xl207"/>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黑体" w:hAnsi="黑体" w:eastAsia="黑体" w:cs="宋体"/>
      <w:kern w:val="0"/>
      <w:sz w:val="18"/>
      <w:szCs w:val="18"/>
    </w:rPr>
  </w:style>
  <w:style w:type="paragraph" w:customStyle="1" w:styleId="1107">
    <w:name w:val="Char Char Char1 Char Char Char Char Char Char Char"/>
    <w:basedOn w:val="1"/>
    <w:qFormat/>
    <w:uiPriority w:val="0"/>
    <w:pPr>
      <w:spacing w:line="360" w:lineRule="auto"/>
      <w:ind w:firstLine="200" w:firstLineChars="200"/>
    </w:pPr>
    <w:rPr>
      <w:rFonts w:ascii="宋体" w:hAnsi="宋体" w:cs="宋体"/>
    </w:rPr>
  </w:style>
  <w:style w:type="paragraph" w:customStyle="1" w:styleId="1108">
    <w:name w:val="xl11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color w:val="000000"/>
      <w:kern w:val="0"/>
      <w:sz w:val="18"/>
      <w:szCs w:val="18"/>
    </w:rPr>
  </w:style>
  <w:style w:type="paragraph" w:customStyle="1" w:styleId="1109">
    <w:name w:val="Char12"/>
    <w:basedOn w:val="1"/>
    <w:qFormat/>
    <w:uiPriority w:val="0"/>
    <w:pPr>
      <w:spacing w:line="360" w:lineRule="auto"/>
      <w:ind w:firstLine="200" w:firstLineChars="200"/>
    </w:pPr>
    <w:rPr>
      <w:rFonts w:ascii="宋体" w:hAnsi="宋体" w:cs="宋体"/>
    </w:rPr>
  </w:style>
  <w:style w:type="paragraph" w:customStyle="1" w:styleId="1110">
    <w:name w:val="xl2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黑体" w:eastAsia="黑体" w:cs="宋体"/>
      <w:kern w:val="0"/>
      <w:sz w:val="18"/>
      <w:szCs w:val="18"/>
    </w:rPr>
  </w:style>
  <w:style w:type="paragraph" w:customStyle="1" w:styleId="1111">
    <w:name w:val="正文001"/>
    <w:basedOn w:val="1"/>
    <w:qFormat/>
    <w:uiPriority w:val="0"/>
    <w:pPr>
      <w:spacing w:before="60" w:line="420" w:lineRule="exact"/>
      <w:ind w:firstLine="482"/>
    </w:pPr>
    <w:rPr>
      <w:szCs w:val="20"/>
    </w:rPr>
  </w:style>
  <w:style w:type="paragraph" w:customStyle="1" w:styleId="1112">
    <w:name w:val=" Char Char Char Char Char1 Char Char Char Char"/>
    <w:basedOn w:val="1"/>
    <w:qFormat/>
    <w:uiPriority w:val="0"/>
    <w:pPr>
      <w:tabs>
        <w:tab w:val="left" w:pos="360"/>
      </w:tabs>
    </w:pPr>
    <w:rPr>
      <w:sz w:val="21"/>
    </w:rPr>
  </w:style>
  <w:style w:type="paragraph" w:customStyle="1" w:styleId="1113">
    <w:name w:val=" Char1 Char Char Char Char Char Char Char Char Char Char Char Char Char Char Char Char Char Char Char Char Char Char Char Char Char Char Char Char Char3 Char Char Char Char Char Char Char Char Char Char Char Char Char Char Char Char"/>
    <w:basedOn w:val="1"/>
    <w:semiHidden/>
    <w:qFormat/>
    <w:uiPriority w:val="0"/>
    <w:rPr>
      <w:sz w:val="21"/>
    </w:rPr>
  </w:style>
  <w:style w:type="paragraph" w:customStyle="1" w:styleId="1114">
    <w:name w:val="样式 (西文) 黑体 (中文) 黑体 小初 加粗 居中 首行缩进:  1.47 厘米 段前: 12 磅 加宽量  ..."/>
    <w:basedOn w:val="1"/>
    <w:qFormat/>
    <w:uiPriority w:val="0"/>
    <w:pPr>
      <w:adjustRightInd w:val="0"/>
      <w:snapToGrid w:val="0"/>
      <w:spacing w:before="240" w:line="500" w:lineRule="atLeast"/>
      <w:jc w:val="center"/>
    </w:pPr>
    <w:rPr>
      <w:rFonts w:ascii="黑体" w:hAnsi="宋体" w:eastAsia="黑体"/>
      <w:b/>
      <w:bCs/>
      <w:spacing w:val="60"/>
      <w:sz w:val="72"/>
    </w:rPr>
  </w:style>
  <w:style w:type="paragraph" w:customStyle="1" w:styleId="1115">
    <w:name w:val="Char3"/>
    <w:basedOn w:val="1"/>
    <w:qFormat/>
    <w:uiPriority w:val="0"/>
    <w:pPr>
      <w:spacing w:line="360" w:lineRule="auto"/>
      <w:ind w:firstLine="200" w:firstLineChars="200"/>
    </w:pPr>
    <w:rPr>
      <w:rFonts w:ascii="宋体" w:hAnsi="宋体" w:cs="宋体"/>
    </w:rPr>
  </w:style>
  <w:style w:type="paragraph" w:customStyle="1" w:styleId="1116">
    <w:name w:val="xl10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黑体" w:hAnsi="宋体" w:eastAsia="黑体" w:cs="宋体"/>
      <w:color w:val="FF00FF"/>
      <w:kern w:val="0"/>
      <w:sz w:val="18"/>
      <w:szCs w:val="18"/>
    </w:rPr>
  </w:style>
  <w:style w:type="paragraph" w:customStyle="1" w:styleId="1117">
    <w:name w:val="大标题"/>
    <w:basedOn w:val="80"/>
    <w:qFormat/>
    <w:uiPriority w:val="0"/>
    <w:pPr>
      <w:spacing w:line="360" w:lineRule="auto"/>
      <w:ind w:firstLine="200" w:firstLineChars="200"/>
      <w:jc w:val="center"/>
    </w:pPr>
    <w:rPr>
      <w:rFonts w:eastAsia="楷体_GB2312" w:cs="Times New Roman"/>
      <w:b/>
      <w:snapToGrid w:val="0"/>
      <w:sz w:val="28"/>
      <w:szCs w:val="28"/>
      <w:lang w:val="zh-CN"/>
    </w:rPr>
  </w:style>
  <w:style w:type="paragraph" w:customStyle="1" w:styleId="1118">
    <w:name w:val="xl28"/>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18"/>
      <w:szCs w:val="18"/>
    </w:rPr>
  </w:style>
  <w:style w:type="paragraph" w:customStyle="1" w:styleId="1119">
    <w:name w:val="项标题"/>
    <w:basedOn w:val="6"/>
    <w:qFormat/>
    <w:uiPriority w:val="0"/>
    <w:pPr>
      <w:numPr>
        <w:ilvl w:val="0"/>
        <w:numId w:val="0"/>
      </w:numPr>
      <w:tabs>
        <w:tab w:val="left" w:pos="992"/>
      </w:tabs>
      <w:spacing w:before="60" w:line="240" w:lineRule="atLeast"/>
    </w:pPr>
    <w:rPr>
      <w:rFonts w:ascii="Arial Narrow" w:hAnsi="Arial Narrow" w:eastAsia="仿宋_GB2312"/>
      <w:bCs w:val="0"/>
      <w:sz w:val="26"/>
      <w:szCs w:val="20"/>
    </w:rPr>
  </w:style>
  <w:style w:type="paragraph" w:customStyle="1" w:styleId="1120">
    <w:name w:val="Char Char Char Char Char Char1 Char Char Char1 Char Char Char Char Char Char Char Char Char Char Char Char"/>
    <w:basedOn w:val="1"/>
    <w:qFormat/>
    <w:uiPriority w:val="0"/>
    <w:pPr>
      <w:widowControl/>
      <w:spacing w:line="360" w:lineRule="auto"/>
      <w:ind w:firstLine="200" w:firstLineChars="200"/>
      <w:jc w:val="left"/>
    </w:pPr>
    <w:rPr>
      <w:rFonts w:ascii="宋体" w:hAnsi="宋体" w:cs="宋体"/>
      <w:kern w:val="0"/>
    </w:rPr>
  </w:style>
  <w:style w:type="paragraph" w:customStyle="1" w:styleId="1121">
    <w:name w:val="前言"/>
    <w:basedOn w:val="3"/>
    <w:qFormat/>
    <w:uiPriority w:val="0"/>
    <w:pPr>
      <w:numPr>
        <w:ilvl w:val="0"/>
        <w:numId w:val="0"/>
      </w:numPr>
      <w:spacing w:after="480" w:line="240" w:lineRule="auto"/>
    </w:pPr>
    <w:rPr>
      <w:rFonts w:ascii="黑体" w:hAnsi="Arial" w:eastAsia="黑体"/>
      <w:b w:val="0"/>
      <w:sz w:val="32"/>
      <w:szCs w:val="32"/>
    </w:rPr>
  </w:style>
  <w:style w:type="paragraph" w:customStyle="1" w:styleId="1122">
    <w:name w:val="应填表格"/>
    <w:basedOn w:val="1087"/>
    <w:qFormat/>
    <w:uiPriority w:val="0"/>
    <w:pPr>
      <w:jc w:val="left"/>
    </w:pPr>
    <w:rPr>
      <w:b w:val="0"/>
    </w:rPr>
  </w:style>
  <w:style w:type="paragraph" w:customStyle="1" w:styleId="1123">
    <w:name w:val="样式正文"/>
    <w:basedOn w:val="1"/>
    <w:qFormat/>
    <w:uiPriority w:val="0"/>
    <w:pPr>
      <w:spacing w:line="600" w:lineRule="exact"/>
      <w:ind w:firstLine="200" w:firstLineChars="200"/>
    </w:pPr>
    <w:rPr>
      <w:sz w:val="28"/>
      <w:szCs w:val="28"/>
    </w:rPr>
  </w:style>
  <w:style w:type="paragraph" w:customStyle="1" w:styleId="1124">
    <w:name w:val="样式 标题 3 + 段前: 6 磅 段后: 0 磅 行距: 多倍行距 1.73 字行"/>
    <w:basedOn w:val="5"/>
    <w:qFormat/>
    <w:uiPriority w:val="0"/>
    <w:pPr>
      <w:numPr>
        <w:ilvl w:val="0"/>
        <w:numId w:val="0"/>
      </w:numPr>
      <w:spacing w:beforeLines="50" w:after="0" w:line="360" w:lineRule="auto"/>
      <w:jc w:val="left"/>
    </w:pPr>
    <w:rPr>
      <w:rFonts w:ascii="仿宋_GB2312" w:hAnsi="宋体" w:eastAsia="仿宋_GB2312"/>
      <w:b w:val="0"/>
      <w:color w:val="000000"/>
      <w:szCs w:val="28"/>
      <w:lang w:val="en-US" w:eastAsia="zh-CN"/>
    </w:rPr>
  </w:style>
  <w:style w:type="paragraph" w:customStyle="1" w:styleId="1125">
    <w:name w:val="目录"/>
    <w:basedOn w:val="1"/>
    <w:qFormat/>
    <w:uiPriority w:val="0"/>
    <w:pPr>
      <w:tabs>
        <w:tab w:val="left" w:pos="1440"/>
        <w:tab w:val="left" w:pos="1752"/>
        <w:tab w:val="right" w:leader="dot" w:pos="8165"/>
      </w:tabs>
      <w:adjustRightInd w:val="0"/>
      <w:snapToGrid w:val="0"/>
      <w:spacing w:line="288" w:lineRule="auto"/>
      <w:ind w:firstLine="612"/>
      <w:jc w:val="left"/>
      <w:textAlignment w:val="baseline"/>
    </w:pPr>
    <w:rPr>
      <w:spacing w:val="10"/>
      <w:kern w:val="0"/>
      <w:sz w:val="28"/>
      <w:szCs w:val="20"/>
    </w:rPr>
  </w:style>
  <w:style w:type="paragraph" w:customStyle="1" w:styleId="1126">
    <w:name w:val="2"/>
    <w:basedOn w:val="1"/>
    <w:next w:val="80"/>
    <w:qFormat/>
    <w:uiPriority w:val="0"/>
    <w:pPr>
      <w:widowControl/>
      <w:spacing w:before="100" w:beforeAutospacing="1" w:after="100" w:afterAutospacing="1"/>
      <w:jc w:val="left"/>
    </w:pPr>
    <w:rPr>
      <w:rFonts w:ascii="宋体" w:hAnsi="宋体" w:cs="宋体"/>
      <w:color w:val="000000"/>
      <w:kern w:val="0"/>
    </w:rPr>
  </w:style>
  <w:style w:type="paragraph" w:customStyle="1" w:styleId="1127">
    <w:name w:val="xl182"/>
    <w:basedOn w:val="1"/>
    <w:qFormat/>
    <w:uiPriority w:val="0"/>
    <w:pPr>
      <w:widowControl/>
      <w:pBdr>
        <w:top w:val="single" w:color="auto" w:sz="4" w:space="0"/>
        <w:lef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128">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1129">
    <w:name w:val="3级"/>
    <w:basedOn w:val="1"/>
    <w:qFormat/>
    <w:uiPriority w:val="0"/>
    <w:pPr>
      <w:spacing w:line="360" w:lineRule="auto"/>
      <w:outlineLvl w:val="2"/>
    </w:pPr>
    <w:rPr>
      <w:b/>
      <w:sz w:val="28"/>
      <w:szCs w:val="28"/>
    </w:rPr>
  </w:style>
  <w:style w:type="paragraph" w:customStyle="1" w:styleId="1130">
    <w:name w:val="Char Char Char Char Char Char Char Char Char Char Char Char Char Char Char Char Char Char Char Char Char Char"/>
    <w:basedOn w:val="1"/>
    <w:next w:val="1"/>
    <w:semiHidden/>
    <w:qFormat/>
    <w:uiPriority w:val="0"/>
    <w:pPr>
      <w:spacing w:line="360" w:lineRule="auto"/>
      <w:ind w:firstLine="200" w:firstLineChars="200"/>
    </w:pPr>
    <w:rPr>
      <w:rFonts w:ascii="宋体" w:hAnsi="宋体" w:cs="宋体"/>
    </w:rPr>
  </w:style>
  <w:style w:type="paragraph" w:customStyle="1" w:styleId="1131">
    <w:name w:val="Char14"/>
    <w:basedOn w:val="1"/>
    <w:qFormat/>
    <w:uiPriority w:val="0"/>
    <w:pPr>
      <w:spacing w:line="360" w:lineRule="auto"/>
      <w:ind w:firstLine="200" w:firstLineChars="200"/>
    </w:pPr>
    <w:rPr>
      <w:rFonts w:ascii="宋体" w:hAnsi="宋体" w:cs="宋体"/>
    </w:rPr>
  </w:style>
  <w:style w:type="paragraph" w:customStyle="1" w:styleId="1132">
    <w:name w:val="Char47"/>
    <w:basedOn w:val="1"/>
    <w:qFormat/>
    <w:uiPriority w:val="0"/>
    <w:pPr>
      <w:spacing w:line="360" w:lineRule="auto"/>
      <w:ind w:firstLine="200" w:firstLineChars="200"/>
    </w:pPr>
    <w:rPr>
      <w:rFonts w:ascii="宋体" w:hAnsi="宋体" w:cs="宋体"/>
    </w:rPr>
  </w:style>
  <w:style w:type="paragraph" w:customStyle="1" w:styleId="1133">
    <w:name w:val="xl7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color w:val="FF0000"/>
      <w:kern w:val="0"/>
      <w:sz w:val="18"/>
      <w:szCs w:val="18"/>
    </w:rPr>
  </w:style>
  <w:style w:type="paragraph" w:customStyle="1" w:styleId="1134">
    <w:name w:val="Char Char Char Char10"/>
    <w:basedOn w:val="1"/>
    <w:qFormat/>
    <w:uiPriority w:val="0"/>
  </w:style>
  <w:style w:type="paragraph" w:customStyle="1" w:styleId="1135">
    <w:name w:val="Char Char Char Char Char Char Char Char Char Char Char Char1 Char"/>
    <w:basedOn w:val="1"/>
    <w:qFormat/>
    <w:uiPriority w:val="0"/>
    <w:rPr>
      <w:sz w:val="21"/>
    </w:rPr>
  </w:style>
  <w:style w:type="paragraph" w:customStyle="1" w:styleId="1136">
    <w:name w:val="font2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137">
    <w:name w:val="GDCI表格文字"/>
    <w:basedOn w:val="1"/>
    <w:qFormat/>
    <w:uiPriority w:val="0"/>
    <w:pPr>
      <w:widowControl/>
      <w:adjustRightInd w:val="0"/>
      <w:snapToGrid w:val="0"/>
      <w:spacing w:line="240" w:lineRule="atLeast"/>
      <w:jc w:val="center"/>
    </w:pPr>
  </w:style>
  <w:style w:type="paragraph" w:customStyle="1" w:styleId="1138">
    <w:name w:val="Char Char Char1 Char7"/>
    <w:basedOn w:val="1"/>
    <w:next w:val="1"/>
    <w:semiHidden/>
    <w:qFormat/>
    <w:uiPriority w:val="0"/>
    <w:pPr>
      <w:spacing w:line="360" w:lineRule="auto"/>
      <w:ind w:firstLine="200" w:firstLineChars="200"/>
    </w:pPr>
    <w:rPr>
      <w:rFonts w:ascii="宋体" w:hAnsi="宋体" w:cs="宋体"/>
    </w:rPr>
  </w:style>
  <w:style w:type="paragraph" w:customStyle="1" w:styleId="1139">
    <w:name w:val="Pa0"/>
    <w:basedOn w:val="721"/>
    <w:next w:val="721"/>
    <w:qFormat/>
    <w:uiPriority w:val="0"/>
    <w:pPr>
      <w:spacing w:line="241" w:lineRule="atLeast"/>
    </w:pPr>
    <w:rPr>
      <w:rFonts w:cs="Times New Roman"/>
      <w:color w:val="auto"/>
    </w:rPr>
  </w:style>
  <w:style w:type="paragraph" w:customStyle="1" w:styleId="1140">
    <w:name w:val="样式 正文首行缩进 + 首行缩进:  2 字符1"/>
    <w:basedOn w:val="85"/>
    <w:qFormat/>
    <w:uiPriority w:val="0"/>
    <w:pPr>
      <w:adjustRightInd w:val="0"/>
      <w:snapToGrid w:val="0"/>
      <w:spacing w:line="480" w:lineRule="exact"/>
      <w:ind w:firstLine="560" w:firstLineChars="200"/>
    </w:pPr>
    <w:rPr>
      <w:rFonts w:ascii="宋体" w:hAnsi="Times New Roman"/>
      <w:sz w:val="28"/>
      <w:szCs w:val="20"/>
    </w:rPr>
  </w:style>
  <w:style w:type="paragraph" w:customStyle="1" w:styleId="1141">
    <w:name w:val="Char Char Char Char Char Char Char Char Char Char Char Char Char Char Char Char Char Char Char Char Char Char Char Char Char Char Char Char Char Char Char Char Char Char Char Char Char Char Char Char Char Char Char Char Char Char2"/>
    <w:basedOn w:val="1"/>
    <w:next w:val="1"/>
    <w:semiHidden/>
    <w:qFormat/>
    <w:uiPriority w:val="0"/>
    <w:pPr>
      <w:pBdr>
        <w:right w:val="single" w:color="auto" w:sz="12" w:space="4"/>
      </w:pBdr>
      <w:spacing w:line="360" w:lineRule="auto"/>
      <w:ind w:firstLine="200" w:firstLineChars="200"/>
    </w:pPr>
    <w:rPr>
      <w:sz w:val="28"/>
      <w:szCs w:val="20"/>
    </w:rPr>
  </w:style>
  <w:style w:type="paragraph" w:customStyle="1" w:styleId="1142">
    <w:name w:val="正文首行缩进1"/>
    <w:basedOn w:val="32"/>
    <w:qFormat/>
    <w:uiPriority w:val="0"/>
    <w:pPr>
      <w:autoSpaceDE w:val="0"/>
      <w:autoSpaceDN w:val="0"/>
      <w:adjustRightInd w:val="0"/>
      <w:spacing w:line="312" w:lineRule="auto"/>
      <w:ind w:firstLine="567"/>
      <w:jc w:val="left"/>
      <w:textAlignment w:val="baseline"/>
    </w:pPr>
    <w:rPr>
      <w:rFonts w:ascii="宋体"/>
      <w:kern w:val="0"/>
      <w:sz w:val="28"/>
      <w:szCs w:val="20"/>
      <w:lang w:val="en-US" w:eastAsia="zh-CN"/>
    </w:rPr>
  </w:style>
  <w:style w:type="paragraph" w:customStyle="1" w:styleId="1143">
    <w:name w:val="图表内文"/>
    <w:basedOn w:val="1"/>
    <w:qFormat/>
    <w:uiPriority w:val="0"/>
    <w:pPr>
      <w:spacing w:line="360" w:lineRule="exact"/>
      <w:jc w:val="center"/>
    </w:pPr>
  </w:style>
  <w:style w:type="paragraph" w:customStyle="1" w:styleId="1144">
    <w:name w:val="Char Char Char Char Char Char3 Char Char Char Char Char Char Char"/>
    <w:basedOn w:val="1"/>
    <w:next w:val="1"/>
    <w:qFormat/>
    <w:uiPriority w:val="0"/>
    <w:pPr>
      <w:widowControl/>
      <w:jc w:val="left"/>
    </w:pPr>
    <w:rPr>
      <w:rFonts w:ascii="宋体" w:hAnsi="宋体" w:eastAsia="黑体" w:cs="宋体"/>
      <w:kern w:val="0"/>
      <w:sz w:val="28"/>
    </w:rPr>
  </w:style>
  <w:style w:type="paragraph" w:customStyle="1" w:styleId="1145">
    <w:name w:val="Char Char Char Char Char Char Char9"/>
    <w:basedOn w:val="1"/>
    <w:qFormat/>
    <w:uiPriority w:val="0"/>
    <w:pPr>
      <w:spacing w:line="360" w:lineRule="auto"/>
      <w:ind w:firstLine="200" w:firstLineChars="200"/>
    </w:pPr>
    <w:rPr>
      <w:rFonts w:ascii="宋体" w:hAnsi="宋体"/>
      <w:szCs w:val="20"/>
    </w:rPr>
  </w:style>
  <w:style w:type="paragraph" w:customStyle="1" w:styleId="1146">
    <w:name w:val="1"/>
    <w:basedOn w:val="1"/>
    <w:next w:val="33"/>
    <w:qFormat/>
    <w:uiPriority w:val="0"/>
    <w:pPr>
      <w:spacing w:line="360" w:lineRule="auto"/>
      <w:ind w:firstLine="359" w:firstLineChars="171"/>
    </w:pPr>
    <w:rPr>
      <w:sz w:val="21"/>
    </w:rPr>
  </w:style>
  <w:style w:type="paragraph" w:customStyle="1" w:styleId="1147">
    <w:name w:val="03级标题"/>
    <w:basedOn w:val="5"/>
    <w:next w:val="1"/>
    <w:qFormat/>
    <w:uiPriority w:val="0"/>
    <w:pPr>
      <w:keepLines w:val="0"/>
      <w:kinsoku w:val="0"/>
      <w:overflowPunct w:val="0"/>
      <w:topLinePunct/>
      <w:autoSpaceDE w:val="0"/>
      <w:autoSpaceDN w:val="0"/>
      <w:adjustRightInd w:val="0"/>
      <w:snapToGrid w:val="0"/>
      <w:spacing w:before="0" w:after="0" w:line="360" w:lineRule="auto"/>
      <w:ind w:left="1004" w:hanging="720"/>
      <w:jc w:val="left"/>
    </w:pPr>
    <w:rPr>
      <w:kern w:val="0"/>
      <w:sz w:val="24"/>
      <w:szCs w:val="28"/>
      <w:lang w:val="zh-CN"/>
    </w:rPr>
  </w:style>
  <w:style w:type="paragraph" w:customStyle="1" w:styleId="1148">
    <w:name w:val=" Char Char Char Char Char Char1 Char Char Char Char Char Char Char Char Char Char Char Char Char"/>
    <w:basedOn w:val="1"/>
    <w:qFormat/>
    <w:uiPriority w:val="0"/>
    <w:pPr>
      <w:spacing w:line="360" w:lineRule="auto"/>
      <w:ind w:firstLine="200" w:firstLineChars="200"/>
    </w:pPr>
    <w:rPr>
      <w:rFonts w:ascii="宋体" w:hAnsi="宋体" w:cs="宋体"/>
    </w:rPr>
  </w:style>
  <w:style w:type="paragraph" w:customStyle="1" w:styleId="1149">
    <w:name w:val="xl3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kern w:val="0"/>
      <w:szCs w:val="21"/>
    </w:rPr>
  </w:style>
  <w:style w:type="paragraph" w:customStyle="1" w:styleId="1150">
    <w:name w:val="Char Char Char Char Char Char Char Char Char Char2"/>
    <w:basedOn w:val="1"/>
    <w:qFormat/>
    <w:uiPriority w:val="0"/>
    <w:pPr>
      <w:spacing w:beforeLines="50" w:afterLines="50"/>
    </w:pPr>
    <w:rPr>
      <w:rFonts w:ascii="Tahoma" w:hAnsi="Tahoma"/>
      <w:szCs w:val="20"/>
    </w:rPr>
  </w:style>
  <w:style w:type="paragraph" w:customStyle="1" w:styleId="1151">
    <w:name w:val="xl11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黑体" w:hAnsi="黑体" w:eastAsia="黑体" w:cs="宋体"/>
      <w:kern w:val="0"/>
      <w:sz w:val="18"/>
      <w:szCs w:val="18"/>
    </w:rPr>
  </w:style>
  <w:style w:type="paragraph" w:customStyle="1" w:styleId="1152">
    <w:name w:val="xl21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黑体" w:hAnsi="黑体" w:eastAsia="黑体" w:cs="宋体"/>
      <w:kern w:val="0"/>
      <w:sz w:val="18"/>
      <w:szCs w:val="18"/>
    </w:rPr>
  </w:style>
  <w:style w:type="paragraph" w:customStyle="1" w:styleId="1153">
    <w:name w:val="Char Char Char Char Char Char Char11"/>
    <w:basedOn w:val="1"/>
    <w:semiHidden/>
    <w:qFormat/>
    <w:uiPriority w:val="0"/>
    <w:pPr>
      <w:spacing w:line="360" w:lineRule="auto"/>
      <w:ind w:firstLine="200" w:firstLineChars="200"/>
    </w:pPr>
    <w:rPr>
      <w:rFonts w:ascii="宋体" w:hAnsi="宋体" w:cs="宋体"/>
    </w:rPr>
  </w:style>
  <w:style w:type="paragraph" w:customStyle="1" w:styleId="1154">
    <w:name w:val="正文 + 黑体"/>
    <w:basedOn w:val="1"/>
    <w:qFormat/>
    <w:uiPriority w:val="0"/>
    <w:pPr>
      <w:spacing w:line="360" w:lineRule="auto"/>
      <w:jc w:val="center"/>
    </w:pPr>
    <w:rPr>
      <w:sz w:val="21"/>
    </w:rPr>
  </w:style>
  <w:style w:type="paragraph" w:customStyle="1" w:styleId="1155">
    <w:name w:val="样式8 Char"/>
    <w:basedOn w:val="1"/>
    <w:next w:val="1"/>
    <w:qFormat/>
    <w:uiPriority w:val="0"/>
    <w:pPr>
      <w:adjustRightInd w:val="0"/>
      <w:snapToGrid w:val="0"/>
      <w:spacing w:line="360" w:lineRule="auto"/>
      <w:ind w:firstLine="200" w:firstLineChars="200"/>
    </w:pPr>
  </w:style>
  <w:style w:type="paragraph" w:customStyle="1" w:styleId="1156">
    <w:name w:val="Char Char Char1 Char Char Char Char Char Char Char Char Char Char"/>
    <w:basedOn w:val="1"/>
    <w:qFormat/>
    <w:uiPriority w:val="0"/>
    <w:pPr>
      <w:snapToGrid w:val="0"/>
      <w:spacing w:line="440" w:lineRule="atLeast"/>
      <w:ind w:firstLine="200" w:firstLineChars="200"/>
    </w:pPr>
    <w:rPr>
      <w:sz w:val="21"/>
      <w:szCs w:val="20"/>
    </w:rPr>
  </w:style>
  <w:style w:type="paragraph" w:customStyle="1" w:styleId="1157">
    <w:name w:val="Char Char Char Char Char Char Char Char Char Char Char Char Char Char Char Char Char Char Char Char Char Char Char Char Char Char Char Char Char Char Char Char Char Char Char Char Char Char Char Char Char Char Char Char Char Char7"/>
    <w:basedOn w:val="1"/>
    <w:next w:val="1"/>
    <w:semiHidden/>
    <w:qFormat/>
    <w:uiPriority w:val="0"/>
    <w:pPr>
      <w:pBdr>
        <w:right w:val="single" w:color="auto" w:sz="12" w:space="4"/>
      </w:pBdr>
      <w:spacing w:line="360" w:lineRule="auto"/>
      <w:ind w:firstLine="200" w:firstLineChars="200"/>
    </w:pPr>
    <w:rPr>
      <w:sz w:val="28"/>
      <w:szCs w:val="20"/>
    </w:rPr>
  </w:style>
  <w:style w:type="paragraph" w:customStyle="1" w:styleId="1158">
    <w:name w:val="Char Char Char Char Char Char Char13"/>
    <w:basedOn w:val="1"/>
    <w:semiHidden/>
    <w:qFormat/>
    <w:uiPriority w:val="0"/>
    <w:pPr>
      <w:spacing w:line="360" w:lineRule="auto"/>
      <w:ind w:firstLine="200" w:firstLineChars="200"/>
    </w:pPr>
    <w:rPr>
      <w:rFonts w:ascii="宋体" w:hAnsi="宋体" w:cs="宋体"/>
    </w:rPr>
  </w:style>
  <w:style w:type="paragraph" w:customStyle="1" w:styleId="1159">
    <w:name w:val="Char1 Char Char Char"/>
    <w:basedOn w:val="1"/>
    <w:qFormat/>
    <w:uiPriority w:val="0"/>
    <w:rPr>
      <w:sz w:val="21"/>
    </w:rPr>
  </w:style>
  <w:style w:type="paragraph" w:customStyle="1" w:styleId="1160">
    <w:name w:val=" Char Char3"/>
    <w:basedOn w:val="1"/>
    <w:qFormat/>
    <w:uiPriority w:val="0"/>
    <w:pPr>
      <w:ind w:firstLine="200" w:firstLineChars="200"/>
    </w:pPr>
    <w:rPr>
      <w:sz w:val="21"/>
    </w:rPr>
  </w:style>
  <w:style w:type="paragraph" w:customStyle="1" w:styleId="1161">
    <w:name w:val="CM72"/>
    <w:basedOn w:val="721"/>
    <w:next w:val="721"/>
    <w:qFormat/>
    <w:uiPriority w:val="99"/>
    <w:pPr>
      <w:spacing w:after="203" w:line="276" w:lineRule="auto"/>
      <w:jc w:val="both"/>
      <w:textAlignment w:val="baseline"/>
    </w:pPr>
    <w:rPr>
      <w:rFonts w:ascii="华文中宋" w:hAnsi="Calibri" w:eastAsia="华文中宋" w:cs="Times New Roman"/>
      <w:color w:val="auto"/>
      <w:kern w:val="2"/>
    </w:rPr>
  </w:style>
  <w:style w:type="paragraph" w:customStyle="1" w:styleId="1162">
    <w:name w:val="样式 标题 2 + 段前: 0.5 行 段后: 0.5 行"/>
    <w:basedOn w:val="4"/>
    <w:qFormat/>
    <w:uiPriority w:val="0"/>
    <w:pPr>
      <w:numPr>
        <w:ilvl w:val="0"/>
        <w:numId w:val="0"/>
      </w:numPr>
      <w:tabs>
        <w:tab w:val="clear" w:pos="993"/>
      </w:tabs>
      <w:spacing w:beforeLines="50" w:after="120" w:line="400" w:lineRule="exact"/>
      <w:jc w:val="left"/>
      <w:textAlignment w:val="baseline"/>
    </w:pPr>
    <w:rPr>
      <w:rFonts w:ascii="Times New Roman" w:hAnsi="Times New Roman" w:eastAsia="宋体"/>
      <w:sz w:val="24"/>
      <w:szCs w:val="20"/>
    </w:rPr>
  </w:style>
  <w:style w:type="paragraph" w:customStyle="1" w:styleId="1163">
    <w:name w:val="一级目录"/>
    <w:basedOn w:val="3"/>
    <w:qFormat/>
    <w:uiPriority w:val="0"/>
    <w:pPr>
      <w:numPr>
        <w:ilvl w:val="0"/>
        <w:numId w:val="0"/>
      </w:numPr>
      <w:spacing w:after="200" w:line="480" w:lineRule="exact"/>
      <w:jc w:val="both"/>
    </w:pPr>
    <w:rPr>
      <w:rFonts w:ascii="仿宋_GB2312" w:eastAsia="仿宋_GB2312"/>
      <w:bCs w:val="0"/>
      <w:sz w:val="28"/>
    </w:rPr>
  </w:style>
  <w:style w:type="paragraph" w:customStyle="1" w:styleId="1164">
    <w:name w:val="font15"/>
    <w:basedOn w:val="1"/>
    <w:qFormat/>
    <w:uiPriority w:val="0"/>
    <w:pPr>
      <w:widowControl/>
      <w:spacing w:before="100" w:beforeAutospacing="1" w:after="100" w:afterAutospacing="1"/>
      <w:jc w:val="left"/>
    </w:pPr>
    <w:rPr>
      <w:rFonts w:ascii="宋体" w:hAnsi="宋体" w:cs="宋体"/>
      <w:b/>
      <w:bCs/>
      <w:color w:val="000000"/>
      <w:kern w:val="0"/>
      <w:sz w:val="20"/>
      <w:szCs w:val="20"/>
    </w:rPr>
  </w:style>
  <w:style w:type="paragraph" w:customStyle="1" w:styleId="1165">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FF00FF"/>
      <w:kern w:val="0"/>
      <w:sz w:val="20"/>
      <w:szCs w:val="20"/>
    </w:rPr>
  </w:style>
  <w:style w:type="paragraph" w:customStyle="1" w:styleId="1166">
    <w:name w:val="Char Char Char Char1 Char Char Char Char Char Char Char"/>
    <w:basedOn w:val="1"/>
    <w:qFormat/>
    <w:uiPriority w:val="0"/>
    <w:pPr>
      <w:ind w:firstLine="200" w:firstLineChars="200"/>
    </w:pPr>
    <w:rPr>
      <w:rFonts w:ascii="宋体" w:hAnsi="宋体" w:cs="宋体"/>
    </w:rPr>
  </w:style>
  <w:style w:type="paragraph" w:customStyle="1" w:styleId="1167">
    <w:name w:val="样式 表格文字居中 + 右侧:  -0.06 字符1"/>
    <w:basedOn w:val="1"/>
    <w:qFormat/>
    <w:uiPriority w:val="0"/>
    <w:pPr>
      <w:adjustRightInd w:val="0"/>
      <w:ind w:right="-17"/>
      <w:jc w:val="center"/>
    </w:pPr>
    <w:rPr>
      <w:rFonts w:ascii="宋体" w:hAnsi="宋体" w:cs="宋体"/>
      <w:kern w:val="0"/>
      <w:szCs w:val="20"/>
    </w:rPr>
  </w:style>
  <w:style w:type="paragraph" w:customStyle="1" w:styleId="1168">
    <w:name w:val="Char Char Char1 Char Char Char Char Char Char Char Char Char Char Char Char Char Char Char Char Char Char Char Char Char Char Char Char"/>
    <w:basedOn w:val="1"/>
    <w:qFormat/>
    <w:uiPriority w:val="0"/>
    <w:pPr>
      <w:ind w:firstLine="200" w:firstLineChars="200"/>
    </w:pPr>
    <w:rPr>
      <w:rFonts w:ascii="宋体" w:hAnsi="宋体" w:cs="宋体"/>
    </w:rPr>
  </w:style>
  <w:style w:type="paragraph" w:customStyle="1" w:styleId="1169">
    <w:name w:val="样式 表格小四 + 居中"/>
    <w:basedOn w:val="1170"/>
    <w:qFormat/>
    <w:uiPriority w:val="0"/>
    <w:pPr>
      <w:adjustRightInd/>
      <w:snapToGrid/>
      <w:jc w:val="center"/>
    </w:pPr>
    <w:rPr>
      <w:rFonts w:hAnsi="Times New Roman"/>
      <w:szCs w:val="20"/>
    </w:rPr>
  </w:style>
  <w:style w:type="paragraph" w:customStyle="1" w:styleId="1170">
    <w:name w:val="表格小四"/>
    <w:basedOn w:val="1"/>
    <w:qFormat/>
    <w:uiPriority w:val="0"/>
    <w:pPr>
      <w:adjustRightInd w:val="0"/>
      <w:snapToGrid w:val="0"/>
      <w:spacing w:line="480" w:lineRule="exact"/>
    </w:pPr>
    <w:rPr>
      <w:rFonts w:ascii="宋体" w:hAnsi="宋体"/>
    </w:rPr>
  </w:style>
  <w:style w:type="paragraph" w:customStyle="1" w:styleId="1171">
    <w:name w:val="xl179"/>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172">
    <w:name w:val="HZZH图号图名"/>
    <w:basedOn w:val="1173"/>
    <w:qFormat/>
    <w:uiPriority w:val="0"/>
    <w:pPr>
      <w:spacing w:line="360" w:lineRule="auto"/>
    </w:pPr>
    <w:rPr>
      <w:rFonts w:ascii="宋体" w:hAnsi="宋体" w:cs="宋体"/>
      <w:b/>
      <w:sz w:val="24"/>
    </w:rPr>
  </w:style>
  <w:style w:type="paragraph" w:customStyle="1" w:styleId="1173">
    <w:name w:val="HZZH表格内容"/>
    <w:basedOn w:val="1"/>
    <w:qFormat/>
    <w:uiPriority w:val="0"/>
    <w:pPr>
      <w:widowControl/>
      <w:jc w:val="center"/>
    </w:pPr>
    <w:rPr>
      <w:kern w:val="0"/>
      <w:sz w:val="20"/>
      <w:szCs w:val="20"/>
    </w:rPr>
  </w:style>
  <w:style w:type="paragraph" w:customStyle="1" w:styleId="1174">
    <w:name w:val="xl7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color w:val="FF0000"/>
      <w:kern w:val="0"/>
      <w:sz w:val="18"/>
      <w:szCs w:val="18"/>
    </w:rPr>
  </w:style>
  <w:style w:type="paragraph" w:customStyle="1" w:styleId="1175">
    <w:name w:val="样式 正文（首行缩进两字） + 行距: 固定值 20 磅"/>
    <w:basedOn w:val="20"/>
    <w:qFormat/>
    <w:uiPriority w:val="0"/>
    <w:pPr>
      <w:spacing w:afterLines="20" w:line="400" w:lineRule="exact"/>
      <w:ind w:firstLine="480" w:firstLineChars="200"/>
    </w:pPr>
    <w:rPr>
      <w:rFonts w:cs="宋体"/>
    </w:rPr>
  </w:style>
  <w:style w:type="paragraph" w:customStyle="1" w:styleId="1176">
    <w:name w:val="样式 表格 + 居中 左侧:  0.98 厘米"/>
    <w:basedOn w:val="1"/>
    <w:qFormat/>
    <w:uiPriority w:val="0"/>
    <w:pPr>
      <w:adjustRightInd w:val="0"/>
      <w:snapToGrid w:val="0"/>
      <w:spacing w:before="100" w:beforeAutospacing="1" w:after="100" w:afterAutospacing="1"/>
      <w:ind w:left="560" w:leftChars="200"/>
      <w:jc w:val="center"/>
    </w:pPr>
    <w:rPr>
      <w:rFonts w:ascii="Arial" w:hAnsi="Arial"/>
      <w:color w:val="000000"/>
      <w:sz w:val="21"/>
      <w:szCs w:val="20"/>
    </w:rPr>
  </w:style>
  <w:style w:type="paragraph" w:customStyle="1" w:styleId="1177">
    <w:name w:val=" Char Char Char1 Char Char Char Char"/>
    <w:basedOn w:val="1"/>
    <w:semiHidden/>
    <w:qFormat/>
    <w:uiPriority w:val="0"/>
    <w:pPr>
      <w:spacing w:line="360" w:lineRule="auto"/>
      <w:ind w:firstLine="200" w:firstLineChars="200"/>
    </w:pPr>
    <w:rPr>
      <w:rFonts w:ascii="宋体" w:hAnsi="宋体" w:cs="宋体"/>
    </w:rPr>
  </w:style>
  <w:style w:type="paragraph" w:customStyle="1" w:styleId="1178">
    <w:name w:val="正文首行缩进 21"/>
    <w:basedOn w:val="33"/>
    <w:qFormat/>
    <w:uiPriority w:val="0"/>
    <w:pPr>
      <w:suppressAutoHyphens/>
      <w:ind w:leftChars="0" w:firstLine="420"/>
    </w:pPr>
    <w:rPr>
      <w:kern w:val="1"/>
      <w:sz w:val="21"/>
      <w:szCs w:val="20"/>
      <w:lang w:val="en-US" w:eastAsia="ar-SA"/>
    </w:rPr>
  </w:style>
  <w:style w:type="paragraph" w:customStyle="1" w:styleId="1179">
    <w:name w:val=" Char Char Char Char Char Char"/>
    <w:basedOn w:val="1"/>
    <w:qFormat/>
    <w:uiPriority w:val="0"/>
    <w:rPr>
      <w:szCs w:val="20"/>
    </w:rPr>
  </w:style>
  <w:style w:type="paragraph" w:customStyle="1" w:styleId="1180">
    <w:name w:val="xl38"/>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kern w:val="0"/>
      <w:szCs w:val="21"/>
    </w:rPr>
  </w:style>
  <w:style w:type="paragraph" w:customStyle="1" w:styleId="1181">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cs="Arial Unicode MS"/>
      <w:color w:val="003300"/>
      <w:kern w:val="0"/>
      <w:sz w:val="18"/>
      <w:szCs w:val="18"/>
    </w:rPr>
  </w:style>
  <w:style w:type="paragraph" w:customStyle="1" w:styleId="1182">
    <w:name w:val="Char Char Char3 Char"/>
    <w:basedOn w:val="1"/>
    <w:qFormat/>
    <w:uiPriority w:val="0"/>
    <w:pPr>
      <w:widowControl/>
      <w:spacing w:line="360" w:lineRule="auto"/>
      <w:ind w:firstLine="200" w:firstLineChars="200"/>
      <w:jc w:val="left"/>
    </w:pPr>
    <w:rPr>
      <w:rFonts w:ascii="宋体" w:hAnsi="宋体" w:cs="宋体"/>
      <w:kern w:val="0"/>
    </w:rPr>
  </w:style>
  <w:style w:type="paragraph" w:customStyle="1" w:styleId="1183">
    <w:name w:val="CM25"/>
    <w:basedOn w:val="721"/>
    <w:next w:val="721"/>
    <w:qFormat/>
    <w:uiPriority w:val="99"/>
    <w:pPr>
      <w:spacing w:after="200" w:line="538" w:lineRule="atLeast"/>
      <w:jc w:val="both"/>
      <w:textAlignment w:val="baseline"/>
    </w:pPr>
    <w:rPr>
      <w:rFonts w:ascii="华文中宋" w:hAnsi="Calibri" w:eastAsia="华文中宋" w:cs="Times New Roman"/>
      <w:color w:val="auto"/>
      <w:kern w:val="2"/>
    </w:rPr>
  </w:style>
  <w:style w:type="paragraph" w:customStyle="1" w:styleId="1184">
    <w:name w:val="01"/>
    <w:basedOn w:val="1"/>
    <w:semiHidden/>
    <w:qFormat/>
    <w:uiPriority w:val="0"/>
    <w:pPr>
      <w:widowControl/>
      <w:spacing w:before="100" w:beforeAutospacing="1" w:after="100" w:afterAutospacing="1"/>
      <w:jc w:val="left"/>
    </w:pPr>
    <w:rPr>
      <w:rFonts w:ascii="宋体" w:hAnsi="宋体" w:cs="宋体"/>
      <w:kern w:val="0"/>
    </w:rPr>
  </w:style>
  <w:style w:type="paragraph" w:customStyle="1" w:styleId="1185">
    <w:name w:val="Char Char Char2"/>
    <w:basedOn w:val="1"/>
    <w:qFormat/>
    <w:uiPriority w:val="0"/>
    <w:pPr>
      <w:widowControl/>
      <w:ind w:firstLine="200" w:firstLineChars="200"/>
      <w:jc w:val="left"/>
    </w:pPr>
    <w:rPr>
      <w:rFonts w:ascii="宋体" w:hAnsi="宋体" w:cs="宋体"/>
      <w:kern w:val="0"/>
    </w:rPr>
  </w:style>
  <w:style w:type="paragraph" w:customStyle="1" w:styleId="1186">
    <w:name w:val="Body Text First Indent"/>
    <w:basedOn w:val="32"/>
    <w:qFormat/>
    <w:uiPriority w:val="0"/>
    <w:pPr>
      <w:autoSpaceDE w:val="0"/>
      <w:autoSpaceDN w:val="0"/>
      <w:adjustRightInd w:val="0"/>
      <w:spacing w:line="312" w:lineRule="auto"/>
      <w:ind w:firstLine="567"/>
      <w:jc w:val="left"/>
      <w:textAlignment w:val="baseline"/>
    </w:pPr>
    <w:rPr>
      <w:rFonts w:ascii="宋体"/>
      <w:kern w:val="0"/>
      <w:sz w:val="28"/>
      <w:szCs w:val="20"/>
    </w:rPr>
  </w:style>
  <w:style w:type="paragraph" w:customStyle="1" w:styleId="1187">
    <w:name w:val="xl14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188">
    <w:name w:val="样式 正文文本缩进 2 + 左侧:  0.98 厘米 首行缩进:  2 字符"/>
    <w:basedOn w:val="50"/>
    <w:qFormat/>
    <w:uiPriority w:val="0"/>
    <w:pPr>
      <w:adjustRightInd w:val="0"/>
      <w:snapToGrid w:val="0"/>
      <w:spacing w:after="0" w:line="560" w:lineRule="exact"/>
      <w:ind w:left="0" w:leftChars="0" w:firstLine="560" w:firstLineChars="200"/>
    </w:pPr>
    <w:rPr>
      <w:rFonts w:ascii="宋体" w:hAnsi="宋体"/>
      <w:sz w:val="28"/>
      <w:szCs w:val="20"/>
    </w:rPr>
  </w:style>
  <w:style w:type="paragraph" w:customStyle="1" w:styleId="1189">
    <w:name w:val="Normal I"/>
    <w:basedOn w:val="1"/>
    <w:qFormat/>
    <w:uiPriority w:val="0"/>
    <w:pPr>
      <w:adjustRightInd w:val="0"/>
      <w:ind w:firstLine="420"/>
      <w:jc w:val="left"/>
      <w:textAlignment w:val="baseline"/>
    </w:pPr>
    <w:rPr>
      <w:rFonts w:ascii="宋体" w:cs="宋体"/>
      <w:kern w:val="0"/>
    </w:rPr>
  </w:style>
  <w:style w:type="paragraph" w:customStyle="1" w:styleId="1190">
    <w:name w:val="l_text"/>
    <w:basedOn w:val="1"/>
    <w:qFormat/>
    <w:uiPriority w:val="0"/>
    <w:pPr>
      <w:widowControl/>
      <w:overflowPunct w:val="0"/>
      <w:autoSpaceDE w:val="0"/>
      <w:autoSpaceDN w:val="0"/>
      <w:adjustRightInd w:val="0"/>
      <w:spacing w:line="360" w:lineRule="auto"/>
      <w:ind w:firstLine="567"/>
      <w:textAlignment w:val="baseline"/>
    </w:pPr>
    <w:rPr>
      <w:kern w:val="0"/>
      <w:sz w:val="28"/>
      <w:lang w:val="en-GB"/>
    </w:rPr>
  </w:style>
  <w:style w:type="paragraph" w:customStyle="1" w:styleId="1191">
    <w:name w:val="xl208"/>
    <w:basedOn w:val="1"/>
    <w:qFormat/>
    <w:uiPriority w:val="0"/>
    <w:pPr>
      <w:widowControl/>
      <w:pBdr>
        <w:top w:val="single" w:color="auto" w:sz="4" w:space="0"/>
        <w:bottom w:val="single" w:color="auto" w:sz="4" w:space="0"/>
        <w:right w:val="single" w:color="auto" w:sz="8" w:space="0"/>
      </w:pBdr>
      <w:spacing w:before="100" w:beforeAutospacing="1" w:after="100" w:afterAutospacing="1"/>
      <w:jc w:val="center"/>
      <w:textAlignment w:val="center"/>
    </w:pPr>
    <w:rPr>
      <w:rFonts w:ascii="黑体" w:hAnsi="黑体" w:eastAsia="黑体" w:cs="宋体"/>
      <w:kern w:val="0"/>
      <w:sz w:val="18"/>
      <w:szCs w:val="18"/>
    </w:rPr>
  </w:style>
  <w:style w:type="paragraph" w:customStyle="1" w:styleId="1192">
    <w:name w:val="正文文字 2"/>
    <w:basedOn w:val="1"/>
    <w:qFormat/>
    <w:uiPriority w:val="0"/>
    <w:rPr>
      <w:szCs w:val="21"/>
    </w:rPr>
  </w:style>
  <w:style w:type="paragraph" w:customStyle="1" w:styleId="1193">
    <w:name w:val="Char Char Char Char Char Char1 Char Char Char1 Char Char Char Char Char Char Char Char Char Char Char Char Char Char Char1 Char Char Char1 Char Char Char Char Char Char1 Char Char Char Char Char Char Char Char Char Char Char"/>
    <w:basedOn w:val="1"/>
    <w:qFormat/>
    <w:uiPriority w:val="0"/>
    <w:pPr>
      <w:spacing w:line="360" w:lineRule="auto"/>
      <w:ind w:firstLine="200" w:firstLineChars="200"/>
    </w:pPr>
    <w:rPr>
      <w:rFonts w:ascii="宋体" w:hAnsi="宋体" w:cs="宋体"/>
    </w:rPr>
  </w:style>
  <w:style w:type="paragraph" w:customStyle="1" w:styleId="1194">
    <w:name w:val="Char Char Char Char Char Char Char8"/>
    <w:basedOn w:val="1"/>
    <w:qFormat/>
    <w:uiPriority w:val="0"/>
    <w:pPr>
      <w:spacing w:line="360" w:lineRule="auto"/>
      <w:ind w:firstLine="200" w:firstLineChars="200"/>
    </w:pPr>
    <w:rPr>
      <w:rFonts w:ascii="宋体" w:hAnsi="宋体" w:cs="宋体"/>
    </w:rPr>
  </w:style>
  <w:style w:type="paragraph" w:customStyle="1" w:styleId="1195">
    <w:name w:val="Char Char Char Char Char Char1 Char Char Char1 Char Char Char Char Char Char Char1"/>
    <w:basedOn w:val="1"/>
    <w:qFormat/>
    <w:uiPriority w:val="0"/>
    <w:pPr>
      <w:widowControl/>
      <w:spacing w:line="360" w:lineRule="auto"/>
      <w:ind w:firstLine="200" w:firstLineChars="200"/>
      <w:jc w:val="left"/>
    </w:pPr>
    <w:rPr>
      <w:rFonts w:ascii="宋体" w:hAnsi="宋体" w:cs="宋体"/>
      <w:kern w:val="0"/>
    </w:rPr>
  </w:style>
  <w:style w:type="paragraph" w:customStyle="1" w:styleId="1196">
    <w:name w:val=" Char1 Char Char Char Char Char Char"/>
    <w:basedOn w:val="1"/>
    <w:qFormat/>
    <w:uiPriority w:val="0"/>
    <w:pPr>
      <w:spacing w:line="360" w:lineRule="auto"/>
      <w:ind w:firstLine="200" w:firstLineChars="200"/>
    </w:pPr>
    <w:rPr>
      <w:sz w:val="21"/>
      <w:szCs w:val="20"/>
    </w:rPr>
  </w:style>
  <w:style w:type="paragraph" w:customStyle="1" w:styleId="1197">
    <w:name w:val="Char Char Char1 Char Char Char Char1"/>
    <w:basedOn w:val="1"/>
    <w:next w:val="1"/>
    <w:semiHidden/>
    <w:qFormat/>
    <w:uiPriority w:val="0"/>
    <w:pPr>
      <w:widowControl/>
      <w:spacing w:line="360" w:lineRule="auto"/>
      <w:ind w:firstLine="200" w:firstLineChars="200"/>
      <w:jc w:val="left"/>
    </w:pPr>
    <w:rPr>
      <w:rFonts w:ascii="宋体" w:hAnsi="宋体" w:cs="宋体"/>
      <w:kern w:val="0"/>
    </w:rPr>
  </w:style>
  <w:style w:type="paragraph" w:customStyle="1" w:styleId="1198">
    <w:name w:val="三级目录"/>
    <w:basedOn w:val="5"/>
    <w:qFormat/>
    <w:uiPriority w:val="0"/>
    <w:pPr>
      <w:numPr>
        <w:ilvl w:val="0"/>
        <w:numId w:val="0"/>
      </w:numPr>
      <w:adjustRightInd w:val="0"/>
      <w:snapToGrid w:val="0"/>
      <w:spacing w:before="156" w:beforeLines="50" w:after="0" w:line="480" w:lineRule="exact"/>
      <w:outlineLvl w:val="0"/>
    </w:pPr>
    <w:rPr>
      <w:rFonts w:ascii="仿宋_GB2312" w:eastAsia="仿宋_GB2312"/>
      <w:bCs w:val="0"/>
    </w:rPr>
  </w:style>
  <w:style w:type="paragraph" w:customStyle="1" w:styleId="1199">
    <w:name w:val="样式 小四 红色 行距: 1.5 倍行距 首行缩进:  2 字符"/>
    <w:basedOn w:val="1"/>
    <w:qFormat/>
    <w:uiPriority w:val="0"/>
    <w:pPr>
      <w:spacing w:line="360" w:lineRule="auto"/>
      <w:ind w:firstLine="480" w:firstLineChars="200"/>
    </w:pPr>
    <w:rPr>
      <w:color w:val="FF0000"/>
      <w:sz w:val="28"/>
      <w:szCs w:val="28"/>
    </w:rPr>
  </w:style>
  <w:style w:type="paragraph" w:customStyle="1" w:styleId="1200">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黑体" w:eastAsia="黑体" w:cs="宋体"/>
      <w:kern w:val="0"/>
      <w:sz w:val="18"/>
      <w:szCs w:val="18"/>
    </w:rPr>
  </w:style>
  <w:style w:type="paragraph" w:customStyle="1" w:styleId="1201">
    <w:name w:val="Char Char Char Char Char Char1 Char Char Char1 Char Char Char Char Char Char Char Char Char Char Char Char Char Char Char1"/>
    <w:basedOn w:val="1"/>
    <w:qFormat/>
    <w:uiPriority w:val="0"/>
    <w:pPr>
      <w:widowControl/>
      <w:spacing w:line="360" w:lineRule="auto"/>
      <w:ind w:firstLine="200" w:firstLineChars="200"/>
      <w:jc w:val="left"/>
    </w:pPr>
    <w:rPr>
      <w:rFonts w:ascii="宋体" w:hAnsi="宋体" w:cs="宋体"/>
      <w:kern w:val="0"/>
    </w:rPr>
  </w:style>
  <w:style w:type="paragraph" w:customStyle="1" w:styleId="1202">
    <w:name w:val="Char Char Char1 Char"/>
    <w:basedOn w:val="1"/>
    <w:next w:val="1"/>
    <w:qFormat/>
    <w:uiPriority w:val="0"/>
    <w:pPr>
      <w:spacing w:line="360" w:lineRule="auto"/>
      <w:ind w:firstLine="200" w:firstLineChars="200"/>
    </w:pPr>
    <w:rPr>
      <w:rFonts w:ascii="宋体" w:hAnsi="宋体" w:cs="宋体"/>
    </w:rPr>
  </w:style>
  <w:style w:type="paragraph" w:customStyle="1" w:styleId="1203">
    <w:name w:val="Char Char Char Char Char Char1 Char Char Char1 Char Char Char Char Char Char Char Char Char Char Char Char Char Char Char1 Char Char Char1"/>
    <w:basedOn w:val="1"/>
    <w:qFormat/>
    <w:uiPriority w:val="0"/>
    <w:pPr>
      <w:widowControl/>
      <w:spacing w:line="360" w:lineRule="auto"/>
      <w:ind w:firstLine="200" w:firstLineChars="200"/>
      <w:jc w:val="left"/>
    </w:pPr>
    <w:rPr>
      <w:rFonts w:ascii="宋体" w:hAnsi="宋体" w:cs="宋体"/>
      <w:kern w:val="0"/>
    </w:rPr>
  </w:style>
  <w:style w:type="paragraph" w:customStyle="1" w:styleId="1204">
    <w:name w:val="Char Char Char Char Char Char1 Char Char Char1 Char Char Char Char Char Char Char Char Char Char Char Char Char Char Char1 Char Char Char"/>
    <w:basedOn w:val="1"/>
    <w:qFormat/>
    <w:uiPriority w:val="0"/>
    <w:pPr>
      <w:widowControl/>
      <w:spacing w:line="360" w:lineRule="auto"/>
      <w:ind w:firstLine="200" w:firstLineChars="200"/>
      <w:jc w:val="left"/>
    </w:pPr>
    <w:rPr>
      <w:rFonts w:ascii="宋体" w:hAnsi="宋体" w:cs="宋体"/>
      <w:kern w:val="0"/>
    </w:rPr>
  </w:style>
  <w:style w:type="paragraph" w:customStyle="1" w:styleId="1205">
    <w:name w:val="xl11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color w:val="0000FF"/>
      <w:kern w:val="0"/>
      <w:sz w:val="18"/>
      <w:szCs w:val="18"/>
    </w:rPr>
  </w:style>
  <w:style w:type="paragraph" w:customStyle="1" w:styleId="1206">
    <w:name w:val="xl128"/>
    <w:basedOn w:val="1"/>
    <w:qFormat/>
    <w:uiPriority w:val="0"/>
    <w:pPr>
      <w:widowControl/>
      <w:pBdr>
        <w:top w:val="single" w:color="auto" w:sz="4" w:space="0"/>
        <w:bottom w:val="single" w:color="auto" w:sz="4" w:space="0"/>
      </w:pBdr>
      <w:spacing w:before="100" w:beforeAutospacing="1" w:after="100" w:afterAutospacing="1"/>
      <w:jc w:val="center"/>
    </w:pPr>
    <w:rPr>
      <w:rFonts w:ascii="黑体" w:hAnsi="黑体" w:eastAsia="黑体" w:cs="宋体"/>
      <w:kern w:val="0"/>
      <w:sz w:val="18"/>
      <w:szCs w:val="18"/>
    </w:rPr>
  </w:style>
  <w:style w:type="paragraph" w:customStyle="1" w:styleId="1207">
    <w:name w:val="图头"/>
    <w:next w:val="584"/>
    <w:qFormat/>
    <w:uiPriority w:val="0"/>
    <w:pPr>
      <w:tabs>
        <w:tab w:val="left" w:pos="1470"/>
      </w:tabs>
      <w:adjustRightInd w:val="0"/>
      <w:spacing w:beforeLines="50" w:afterLines="50"/>
      <w:jc w:val="center"/>
    </w:pPr>
    <w:rPr>
      <w:rFonts w:ascii="Times New Roman" w:hAnsi="Times New Roman" w:eastAsia="宋体" w:cs="Times New Roman"/>
      <w:spacing w:val="10"/>
      <w:sz w:val="24"/>
      <w:szCs w:val="24"/>
      <w:lang w:val="en-US" w:eastAsia="zh-CN" w:bidi="ar-SA"/>
    </w:rPr>
  </w:style>
  <w:style w:type="paragraph" w:customStyle="1" w:styleId="1208">
    <w:name w:val="样式 样式 表格 + 左侧:  0.98 厘米 + 居中"/>
    <w:basedOn w:val="925"/>
    <w:qFormat/>
    <w:uiPriority w:val="0"/>
    <w:pPr>
      <w:jc w:val="center"/>
    </w:pPr>
  </w:style>
  <w:style w:type="paragraph" w:customStyle="1" w:styleId="1209">
    <w:name w:val="Char Char Char Char Char Char1 Char Char Char1 Char Char Char Char Char Char Char Char Char Char Char Char Char Char Char1 Char Char Char11"/>
    <w:basedOn w:val="1"/>
    <w:qFormat/>
    <w:uiPriority w:val="0"/>
    <w:pPr>
      <w:widowControl/>
      <w:spacing w:line="360" w:lineRule="auto"/>
      <w:ind w:firstLine="200" w:firstLineChars="200"/>
      <w:jc w:val="left"/>
    </w:pPr>
    <w:rPr>
      <w:rFonts w:ascii="宋体" w:hAnsi="宋体" w:cs="宋体"/>
      <w:kern w:val="0"/>
    </w:rPr>
  </w:style>
  <w:style w:type="paragraph" w:customStyle="1" w:styleId="1210">
    <w:name w:val="xl12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黑体" w:hAnsi="黑体" w:eastAsia="黑体" w:cs="宋体"/>
      <w:color w:val="0000FF"/>
      <w:kern w:val="0"/>
      <w:sz w:val="18"/>
      <w:szCs w:val="18"/>
    </w:rPr>
  </w:style>
  <w:style w:type="paragraph" w:customStyle="1" w:styleId="1211">
    <w:name w:val="Char17"/>
    <w:basedOn w:val="1"/>
    <w:qFormat/>
    <w:uiPriority w:val="0"/>
    <w:pPr>
      <w:spacing w:line="360" w:lineRule="auto"/>
      <w:ind w:firstLine="200" w:firstLineChars="200"/>
    </w:pPr>
    <w:rPr>
      <w:rFonts w:ascii="宋体" w:hAnsi="宋体" w:cs="宋体"/>
    </w:rPr>
  </w:style>
  <w:style w:type="paragraph" w:customStyle="1" w:styleId="1212">
    <w:name w:val="xl282"/>
    <w:basedOn w:val="1"/>
    <w:qFormat/>
    <w:uiPriority w:val="0"/>
    <w:pPr>
      <w:widowControl/>
      <w:pBdr>
        <w:top w:val="single" w:color="auto" w:sz="4" w:space="0"/>
        <w:right w:val="single" w:color="auto" w:sz="4" w:space="0"/>
      </w:pBdr>
      <w:shd w:val="clear" w:color="000000" w:fill="FFFFFF"/>
      <w:spacing w:before="100" w:beforeAutospacing="1" w:after="100" w:afterAutospacing="1"/>
      <w:jc w:val="left"/>
      <w:textAlignment w:val="center"/>
    </w:pPr>
    <w:rPr>
      <w:rFonts w:ascii="黑体" w:hAnsi="黑体" w:eastAsia="黑体" w:cs="宋体"/>
      <w:kern w:val="0"/>
      <w:sz w:val="18"/>
      <w:szCs w:val="18"/>
    </w:rPr>
  </w:style>
  <w:style w:type="paragraph" w:customStyle="1" w:styleId="1213">
    <w:name w:val="xl14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214">
    <w:name w:val="Char Char Char Char Char Char1 Char Char Char1 Char Char Char Char Char Char Char Char Char Char Char Char Char Char Char1 Char Char Char Char Char Char1"/>
    <w:basedOn w:val="1"/>
    <w:qFormat/>
    <w:uiPriority w:val="0"/>
    <w:pPr>
      <w:widowControl/>
      <w:spacing w:line="360" w:lineRule="auto"/>
      <w:ind w:firstLine="200" w:firstLineChars="200"/>
      <w:jc w:val="left"/>
    </w:pPr>
    <w:rPr>
      <w:rFonts w:ascii="宋体" w:hAnsi="宋体" w:cs="宋体"/>
      <w:kern w:val="0"/>
    </w:rPr>
  </w:style>
  <w:style w:type="paragraph" w:customStyle="1" w:styleId="1215">
    <w:name w:val="CM9"/>
    <w:basedOn w:val="721"/>
    <w:next w:val="721"/>
    <w:qFormat/>
    <w:uiPriority w:val="99"/>
    <w:pPr>
      <w:spacing w:line="420" w:lineRule="atLeast"/>
    </w:pPr>
    <w:rPr>
      <w:rFonts w:ascii="黑体" w:eastAsia="黑体" w:cs="Times New Roman"/>
      <w:color w:val="auto"/>
    </w:rPr>
  </w:style>
  <w:style w:type="paragraph" w:customStyle="1" w:styleId="1216">
    <w:name w:val="Char Char161"/>
    <w:basedOn w:val="1"/>
    <w:qFormat/>
    <w:uiPriority w:val="0"/>
    <w:pPr>
      <w:spacing w:line="360" w:lineRule="auto"/>
      <w:ind w:firstLine="200" w:firstLineChars="200"/>
    </w:pPr>
    <w:rPr>
      <w:rFonts w:ascii="宋体" w:hAnsi="宋体" w:cs="宋体"/>
    </w:rPr>
  </w:style>
  <w:style w:type="paragraph" w:customStyle="1" w:styleId="1217">
    <w:name w:val="xl119"/>
    <w:basedOn w:val="1"/>
    <w:qFormat/>
    <w:uiPriority w:val="0"/>
    <w:pPr>
      <w:widowControl/>
      <w:pBdr>
        <w:left w:val="single" w:color="auto" w:sz="4" w:space="0"/>
        <w:right w:val="single" w:color="auto" w:sz="4" w:space="0"/>
      </w:pBdr>
      <w:spacing w:before="100" w:beforeAutospacing="1" w:after="100" w:afterAutospacing="1"/>
      <w:jc w:val="center"/>
    </w:pPr>
    <w:rPr>
      <w:rFonts w:ascii="黑体" w:hAnsi="黑体" w:eastAsia="黑体" w:cs="宋体"/>
      <w:kern w:val="0"/>
      <w:sz w:val="18"/>
      <w:szCs w:val="18"/>
    </w:rPr>
  </w:style>
  <w:style w:type="paragraph" w:customStyle="1" w:styleId="1218">
    <w:name w:val="Char Char Char Char Char Char1 Char Char Char1 Char Char Char Char Char Char Char Char Char Char Char Char Char Char Char1 Char Char Char1 Char Char Char Char1"/>
    <w:basedOn w:val="1"/>
    <w:qFormat/>
    <w:uiPriority w:val="0"/>
    <w:pPr>
      <w:spacing w:line="360" w:lineRule="auto"/>
      <w:ind w:firstLine="200" w:firstLineChars="200"/>
    </w:pPr>
    <w:rPr>
      <w:rFonts w:ascii="宋体" w:hAnsi="宋体" w:cs="宋体"/>
    </w:rPr>
  </w:style>
  <w:style w:type="paragraph" w:customStyle="1" w:styleId="1219">
    <w:name w:val="表格内容 Char Char"/>
    <w:basedOn w:val="1"/>
    <w:qFormat/>
    <w:uiPriority w:val="0"/>
    <w:pPr>
      <w:tabs>
        <w:tab w:val="left" w:pos="1535"/>
        <w:tab w:val="left" w:pos="3105"/>
        <w:tab w:val="left" w:pos="4676"/>
        <w:tab w:val="left" w:pos="6247"/>
        <w:tab w:val="left" w:pos="7740"/>
        <w:tab w:val="left" w:pos="9288"/>
      </w:tabs>
      <w:adjustRightInd w:val="0"/>
      <w:snapToGrid w:val="0"/>
      <w:spacing w:line="240" w:lineRule="exact"/>
      <w:jc w:val="center"/>
      <w:textAlignment w:val="baseline"/>
    </w:pPr>
    <w:rPr>
      <w:color w:val="000000"/>
      <w:szCs w:val="16"/>
    </w:rPr>
  </w:style>
  <w:style w:type="paragraph" w:customStyle="1" w:styleId="1220">
    <w:name w:val="表头四号 + 段前: 0.5 行1"/>
    <w:basedOn w:val="1"/>
    <w:qFormat/>
    <w:uiPriority w:val="0"/>
    <w:pPr>
      <w:adjustRightInd w:val="0"/>
      <w:snapToGrid w:val="0"/>
      <w:spacing w:before="193" w:beforeLines="50" w:line="500" w:lineRule="atLeast"/>
    </w:pPr>
    <w:rPr>
      <w:rFonts w:ascii="宋体" w:hAnsi="宋体"/>
      <w:b/>
      <w:bCs/>
      <w:sz w:val="28"/>
      <w:szCs w:val="20"/>
    </w:rPr>
  </w:style>
  <w:style w:type="paragraph" w:customStyle="1" w:styleId="1221">
    <w:name w:val=" Char Char6 Char Char"/>
    <w:basedOn w:val="1"/>
    <w:next w:val="1"/>
    <w:semiHidden/>
    <w:qFormat/>
    <w:uiPriority w:val="0"/>
    <w:pPr>
      <w:widowControl/>
      <w:spacing w:line="360" w:lineRule="auto"/>
      <w:ind w:firstLine="200" w:firstLineChars="200"/>
      <w:jc w:val="left"/>
    </w:pPr>
    <w:rPr>
      <w:rFonts w:ascii="宋体" w:hAnsi="宋体" w:cs="宋体"/>
      <w:kern w:val="0"/>
    </w:rPr>
  </w:style>
  <w:style w:type="paragraph" w:customStyle="1" w:styleId="1222">
    <w:name w:val="二期三级样式"/>
    <w:basedOn w:val="1"/>
    <w:qFormat/>
    <w:uiPriority w:val="0"/>
    <w:pPr>
      <w:widowControl/>
      <w:tabs>
        <w:tab w:val="left" w:pos="1080"/>
      </w:tabs>
      <w:ind w:left="567" w:hanging="567"/>
      <w:jc w:val="left"/>
    </w:pPr>
    <w:rPr>
      <w:kern w:val="0"/>
    </w:rPr>
  </w:style>
  <w:style w:type="paragraph" w:customStyle="1" w:styleId="1223">
    <w:name w:val="样式 表格小四 + 11 磅"/>
    <w:basedOn w:val="1170"/>
    <w:qFormat/>
    <w:uiPriority w:val="0"/>
    <w:pPr>
      <w:spacing w:line="240" w:lineRule="atLeast"/>
    </w:pPr>
    <w:rPr>
      <w:kern w:val="0"/>
      <w:sz w:val="22"/>
    </w:rPr>
  </w:style>
  <w:style w:type="paragraph" w:customStyle="1" w:styleId="1224">
    <w:name w:val="Char Char6 Char Char1"/>
    <w:basedOn w:val="1"/>
    <w:next w:val="1"/>
    <w:semiHidden/>
    <w:qFormat/>
    <w:uiPriority w:val="0"/>
    <w:pPr>
      <w:widowControl/>
      <w:spacing w:line="360" w:lineRule="auto"/>
      <w:ind w:firstLine="200" w:firstLineChars="200"/>
      <w:jc w:val="left"/>
    </w:pPr>
    <w:rPr>
      <w:rFonts w:ascii="宋体" w:hAnsi="宋体" w:cs="宋体"/>
      <w:kern w:val="0"/>
    </w:rPr>
  </w:style>
  <w:style w:type="paragraph" w:customStyle="1" w:styleId="1225">
    <w:name w:val="xl83"/>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黑体" w:hAnsi="宋体" w:eastAsia="黑体" w:cs="宋体"/>
      <w:color w:val="FF0000"/>
      <w:kern w:val="0"/>
      <w:sz w:val="18"/>
      <w:szCs w:val="18"/>
    </w:rPr>
  </w:style>
  <w:style w:type="paragraph" w:customStyle="1" w:styleId="1226">
    <w:name w:val="Char Char Char Char Char Char Char Char Char Char Char Char Char Char Char Char Char Char Char Char Char Char Char Char Char Char Char Char Char Char Char Char Char Char Char Char Char Char Char Char Char Char Char Char Char Char11"/>
    <w:basedOn w:val="1"/>
    <w:next w:val="1"/>
    <w:semiHidden/>
    <w:qFormat/>
    <w:uiPriority w:val="0"/>
    <w:pPr>
      <w:pBdr>
        <w:right w:val="single" w:color="auto" w:sz="12" w:space="4"/>
      </w:pBdr>
      <w:spacing w:line="360" w:lineRule="auto"/>
      <w:ind w:firstLine="200" w:firstLineChars="200"/>
    </w:pPr>
    <w:rPr>
      <w:sz w:val="28"/>
      <w:szCs w:val="20"/>
    </w:rPr>
  </w:style>
  <w:style w:type="paragraph" w:customStyle="1" w:styleId="1227">
    <w:name w:val="xl161"/>
    <w:basedOn w:val="1"/>
    <w:qFormat/>
    <w:uiPriority w:val="0"/>
    <w:pPr>
      <w:widowControl/>
      <w:pBdr>
        <w:top w:val="single" w:color="auto" w:sz="4" w:space="0"/>
        <w:left w:val="single" w:color="auto" w:sz="4" w:space="0"/>
      </w:pBdr>
      <w:shd w:val="clear" w:color="000000" w:fill="FFFFFF"/>
      <w:spacing w:before="100" w:beforeAutospacing="1" w:after="100" w:afterAutospacing="1"/>
      <w:jc w:val="right"/>
      <w:textAlignment w:val="center"/>
    </w:pPr>
    <w:rPr>
      <w:rFonts w:ascii="黑体" w:hAnsi="黑体" w:eastAsia="黑体" w:cs="宋体"/>
      <w:kern w:val="0"/>
      <w:sz w:val="18"/>
      <w:szCs w:val="18"/>
    </w:rPr>
  </w:style>
  <w:style w:type="paragraph" w:customStyle="1" w:styleId="1228">
    <w:name w:val="xl145"/>
    <w:basedOn w:val="1"/>
    <w:qFormat/>
    <w:uiPriority w:val="0"/>
    <w:pPr>
      <w:widowControl/>
      <w:pBdr>
        <w:left w:val="single" w:color="auto" w:sz="4" w:space="0"/>
        <w:bottom w:val="single" w:color="auto" w:sz="4" w:space="0"/>
        <w:right w:val="single" w:color="auto" w:sz="4" w:space="0"/>
      </w:pBdr>
      <w:shd w:val="clear" w:color="000000" w:fill="92D050"/>
      <w:spacing w:before="100" w:beforeAutospacing="1" w:after="100" w:afterAutospacing="1"/>
      <w:jc w:val="left"/>
    </w:pPr>
    <w:rPr>
      <w:rFonts w:ascii="宋体" w:hAnsi="宋体" w:cs="宋体"/>
      <w:kern w:val="0"/>
      <w:sz w:val="20"/>
      <w:szCs w:val="20"/>
    </w:rPr>
  </w:style>
  <w:style w:type="paragraph" w:customStyle="1" w:styleId="1229">
    <w:name w:val="默认段落字体 Para Char Char Char1 Char Char Char Char"/>
    <w:basedOn w:val="1"/>
    <w:qFormat/>
    <w:uiPriority w:val="0"/>
  </w:style>
  <w:style w:type="paragraph" w:customStyle="1" w:styleId="1230">
    <w:name w:val=" Char Char Char1 Char Char Char Char Char Char Char Char Char Char Char Char Char Char Char Char Char Char Char Char Char Char Char Char"/>
    <w:basedOn w:val="1"/>
    <w:qFormat/>
    <w:uiPriority w:val="0"/>
    <w:pPr>
      <w:widowControl/>
      <w:ind w:firstLine="200" w:firstLineChars="200"/>
      <w:jc w:val="left"/>
    </w:pPr>
    <w:rPr>
      <w:rFonts w:ascii="宋体" w:hAnsi="宋体" w:cs="宋体"/>
      <w:kern w:val="0"/>
    </w:rPr>
  </w:style>
  <w:style w:type="paragraph" w:customStyle="1" w:styleId="1231">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kern w:val="0"/>
      <w:szCs w:val="21"/>
    </w:rPr>
  </w:style>
  <w:style w:type="paragraph" w:customStyle="1" w:styleId="1232">
    <w:name w:val="表格编号"/>
    <w:basedOn w:val="1"/>
    <w:qFormat/>
    <w:uiPriority w:val="0"/>
    <w:pPr>
      <w:ind w:firstLine="270" w:firstLineChars="150"/>
      <w:jc w:val="left"/>
    </w:pPr>
    <w:rPr>
      <w:color w:val="000000"/>
      <w:sz w:val="18"/>
      <w:szCs w:val="18"/>
    </w:rPr>
  </w:style>
  <w:style w:type="paragraph" w:customStyle="1" w:styleId="1233">
    <w:name w:val=" Char Char Char Char Char Char1 Char Char Char1 Char Char Char Char Char Char Char Char Char Char Char Char Char Char Char1"/>
    <w:basedOn w:val="1"/>
    <w:qFormat/>
    <w:uiPriority w:val="0"/>
    <w:pPr>
      <w:widowControl/>
      <w:spacing w:line="360" w:lineRule="auto"/>
      <w:ind w:firstLine="200" w:firstLineChars="200"/>
      <w:jc w:val="left"/>
    </w:pPr>
    <w:rPr>
      <w:rFonts w:ascii="宋体" w:hAnsi="宋体" w:cs="宋体"/>
      <w:kern w:val="0"/>
    </w:rPr>
  </w:style>
  <w:style w:type="paragraph" w:customStyle="1" w:styleId="1234">
    <w:name w:val="Char Char Char1 Char4"/>
    <w:basedOn w:val="1"/>
    <w:next w:val="1"/>
    <w:semiHidden/>
    <w:qFormat/>
    <w:uiPriority w:val="0"/>
    <w:pPr>
      <w:spacing w:line="360" w:lineRule="auto"/>
      <w:ind w:firstLine="200" w:firstLineChars="200"/>
    </w:pPr>
    <w:rPr>
      <w:rFonts w:ascii="宋体" w:hAnsi="宋体" w:cs="宋体"/>
    </w:rPr>
  </w:style>
  <w:style w:type="paragraph" w:customStyle="1" w:styleId="1235">
    <w:name w:val="xl8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黑体" w:hAnsi="宋体" w:eastAsia="黑体" w:cs="宋体"/>
      <w:color w:val="000000"/>
      <w:kern w:val="0"/>
      <w:sz w:val="18"/>
      <w:szCs w:val="18"/>
    </w:rPr>
  </w:style>
  <w:style w:type="paragraph" w:customStyle="1" w:styleId="1236">
    <w:name w:val=" Char Char Char Char Char Char1 Char Char Char1 Char Char Char Char Char Char Char Char Char Char Char Char Char Char Char1 Char Char Char"/>
    <w:basedOn w:val="1"/>
    <w:qFormat/>
    <w:uiPriority w:val="0"/>
    <w:pPr>
      <w:widowControl/>
      <w:spacing w:line="360" w:lineRule="auto"/>
      <w:ind w:firstLine="200" w:firstLineChars="200"/>
      <w:jc w:val="left"/>
    </w:pPr>
    <w:rPr>
      <w:rFonts w:ascii="宋体" w:hAnsi="宋体" w:cs="宋体"/>
      <w:kern w:val="0"/>
    </w:rPr>
  </w:style>
  <w:style w:type="paragraph" w:customStyle="1" w:styleId="1237">
    <w:name w:val="样式 样式 标题 3 + 宋体 + 小四"/>
    <w:basedOn w:val="1"/>
    <w:qFormat/>
    <w:uiPriority w:val="0"/>
    <w:pPr>
      <w:keepNext/>
      <w:keepLines/>
      <w:spacing w:line="360" w:lineRule="auto"/>
      <w:ind w:firstLine="480" w:firstLineChars="200"/>
      <w:outlineLvl w:val="2"/>
    </w:pPr>
    <w:rPr>
      <w:rFonts w:ascii="宋体" w:hAnsi="宋体"/>
      <w:kern w:val="0"/>
      <w:szCs w:val="20"/>
    </w:rPr>
  </w:style>
  <w:style w:type="paragraph" w:customStyle="1" w:styleId="1238">
    <w:name w:val="xl164"/>
    <w:basedOn w:val="1"/>
    <w:qFormat/>
    <w:uiPriority w:val="0"/>
    <w:pPr>
      <w:widowControl/>
      <w:pBdr>
        <w:top w:val="single" w:color="auto" w:sz="4" w:space="0"/>
        <w:left w:val="single" w:color="auto" w:sz="4" w:space="0"/>
        <w:bottom w:val="single" w:color="auto" w:sz="4" w:space="0"/>
      </w:pBdr>
      <w:shd w:val="clear" w:color="000000" w:fill="FFFF00"/>
      <w:spacing w:before="100" w:beforeAutospacing="1" w:after="100" w:afterAutospacing="1"/>
      <w:jc w:val="center"/>
      <w:textAlignment w:val="center"/>
    </w:pPr>
    <w:rPr>
      <w:rFonts w:ascii="黑体" w:hAnsi="黑体" w:eastAsia="黑体" w:cs="宋体"/>
      <w:kern w:val="0"/>
      <w:sz w:val="18"/>
      <w:szCs w:val="18"/>
    </w:rPr>
  </w:style>
  <w:style w:type="paragraph" w:customStyle="1" w:styleId="1239">
    <w:name w:val="图表头2"/>
    <w:basedOn w:val="1"/>
    <w:qFormat/>
    <w:uiPriority w:val="0"/>
    <w:pPr>
      <w:widowControl/>
      <w:tabs>
        <w:tab w:val="center" w:pos="4231"/>
        <w:tab w:val="right" w:pos="8463"/>
      </w:tabs>
      <w:adjustRightInd w:val="0"/>
      <w:jc w:val="center"/>
      <w:textAlignment w:val="baseline"/>
    </w:pPr>
    <w:rPr>
      <w:rFonts w:ascii="宋体" w:hAnsi="宋体" w:eastAsia="黑体" w:cs="宋体"/>
      <w:spacing w:val="5"/>
      <w:kern w:val="0"/>
      <w:sz w:val="21"/>
    </w:rPr>
  </w:style>
  <w:style w:type="paragraph" w:customStyle="1" w:styleId="1240">
    <w:name w:val="hb3"/>
    <w:basedOn w:val="5"/>
    <w:qFormat/>
    <w:uiPriority w:val="0"/>
    <w:pPr>
      <w:numPr>
        <w:ilvl w:val="0"/>
        <w:numId w:val="0"/>
      </w:numPr>
      <w:adjustRightInd w:val="0"/>
      <w:spacing w:before="260" w:after="260" w:line="500" w:lineRule="exact"/>
      <w:jc w:val="left"/>
      <w:textAlignment w:val="baseline"/>
    </w:pPr>
    <w:rPr>
      <w:rFonts w:ascii="宋体" w:hAnsi="宋体"/>
      <w:kern w:val="0"/>
      <w:szCs w:val="28"/>
    </w:rPr>
  </w:style>
  <w:style w:type="paragraph" w:customStyle="1" w:styleId="1241">
    <w:name w:val="xl163"/>
    <w:basedOn w:val="1"/>
    <w:qFormat/>
    <w:uiPriority w:val="0"/>
    <w:pPr>
      <w:widowControl/>
      <w:pBdr>
        <w:top w:val="single" w:color="auto" w:sz="4" w:space="0"/>
        <w:right w:val="single" w:color="auto" w:sz="8" w:space="0"/>
      </w:pBdr>
      <w:shd w:val="clear" w:color="000000" w:fill="FFFFFF"/>
      <w:spacing w:before="100" w:beforeAutospacing="1" w:after="100" w:afterAutospacing="1"/>
      <w:jc w:val="center"/>
      <w:textAlignment w:val="center"/>
    </w:pPr>
    <w:rPr>
      <w:rFonts w:ascii="黑体" w:hAnsi="黑体" w:eastAsia="黑体" w:cs="宋体"/>
      <w:kern w:val="0"/>
      <w:sz w:val="20"/>
      <w:szCs w:val="20"/>
    </w:rPr>
  </w:style>
  <w:style w:type="paragraph" w:customStyle="1" w:styleId="1242">
    <w:name w:val="1.1.1.1"/>
    <w:basedOn w:val="822"/>
    <w:next w:val="584"/>
    <w:qFormat/>
    <w:uiPriority w:val="0"/>
  </w:style>
  <w:style w:type="paragraph" w:customStyle="1" w:styleId="1243">
    <w:name w:val="Char52"/>
    <w:basedOn w:val="1"/>
    <w:semiHidden/>
    <w:qFormat/>
    <w:uiPriority w:val="0"/>
  </w:style>
  <w:style w:type="paragraph" w:customStyle="1" w:styleId="1244">
    <w:name w:val="Char Char Char Char Char Char1 Char Char Char Char Char Char Char Char Char Char"/>
    <w:basedOn w:val="1"/>
    <w:qFormat/>
    <w:uiPriority w:val="0"/>
    <w:pPr>
      <w:spacing w:line="360" w:lineRule="auto"/>
      <w:ind w:firstLine="200" w:firstLineChars="200"/>
    </w:pPr>
    <w:rPr>
      <w:rFonts w:ascii="宋体" w:hAnsi="宋体" w:cs="宋体"/>
    </w:rPr>
  </w:style>
  <w:style w:type="paragraph" w:customStyle="1" w:styleId="1245">
    <w:name w:val="xl12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kern w:val="0"/>
      <w:sz w:val="18"/>
      <w:szCs w:val="18"/>
    </w:rPr>
  </w:style>
  <w:style w:type="paragraph" w:customStyle="1" w:styleId="1246">
    <w:name w:val="CM19"/>
    <w:basedOn w:val="721"/>
    <w:next w:val="721"/>
    <w:qFormat/>
    <w:uiPriority w:val="99"/>
    <w:pPr>
      <w:spacing w:after="200" w:line="276" w:lineRule="auto"/>
      <w:jc w:val="both"/>
      <w:textAlignment w:val="baseline"/>
    </w:pPr>
    <w:rPr>
      <w:rFonts w:ascii="华文中宋" w:hAnsi="Calibri" w:eastAsia="华文中宋" w:cs="Times New Roman"/>
      <w:color w:val="auto"/>
      <w:kern w:val="2"/>
    </w:rPr>
  </w:style>
  <w:style w:type="paragraph" w:customStyle="1" w:styleId="1247">
    <w:name w:val="CM35"/>
    <w:basedOn w:val="721"/>
    <w:next w:val="721"/>
    <w:qFormat/>
    <w:uiPriority w:val="0"/>
    <w:pPr>
      <w:spacing w:after="265"/>
    </w:pPr>
    <w:rPr>
      <w:rFonts w:ascii="黑体" w:eastAsia="黑体" w:cs="Times New Roman"/>
      <w:color w:val="auto"/>
    </w:rPr>
  </w:style>
  <w:style w:type="paragraph" w:customStyle="1" w:styleId="1248">
    <w:name w:val="样式6"/>
    <w:basedOn w:val="4"/>
    <w:next w:val="4"/>
    <w:qFormat/>
    <w:uiPriority w:val="0"/>
    <w:pPr>
      <w:numPr>
        <w:ilvl w:val="0"/>
        <w:numId w:val="0"/>
      </w:numPr>
      <w:tabs>
        <w:tab w:val="clear" w:pos="993"/>
      </w:tabs>
      <w:spacing w:before="0" w:after="0" w:line="360" w:lineRule="auto"/>
    </w:pPr>
    <w:rPr>
      <w:rFonts w:ascii="Times New Roman" w:hAnsi="Times New Roman"/>
      <w:szCs w:val="30"/>
    </w:rPr>
  </w:style>
  <w:style w:type="paragraph" w:customStyle="1" w:styleId="1249">
    <w:name w:val="CM16"/>
    <w:basedOn w:val="721"/>
    <w:next w:val="721"/>
    <w:qFormat/>
    <w:uiPriority w:val="99"/>
    <w:pPr>
      <w:spacing w:after="200" w:line="538" w:lineRule="atLeast"/>
      <w:jc w:val="both"/>
      <w:textAlignment w:val="baseline"/>
    </w:pPr>
    <w:rPr>
      <w:rFonts w:ascii="华文中宋" w:hAnsi="Calibri" w:eastAsia="华文中宋" w:cs="Times New Roman"/>
      <w:color w:val="auto"/>
      <w:kern w:val="2"/>
    </w:rPr>
  </w:style>
  <w:style w:type="paragraph" w:customStyle="1" w:styleId="1250">
    <w:name w:val="Char11"/>
    <w:basedOn w:val="1"/>
    <w:qFormat/>
    <w:uiPriority w:val="0"/>
    <w:pPr>
      <w:spacing w:line="360" w:lineRule="auto"/>
      <w:ind w:firstLine="200" w:firstLineChars="200"/>
    </w:pPr>
    <w:rPr>
      <w:rFonts w:ascii="宋体" w:hAnsi="宋体" w:cs="宋体"/>
    </w:rPr>
  </w:style>
  <w:style w:type="paragraph" w:customStyle="1" w:styleId="1251">
    <w:name w:val="Char Char Char Char Char Char1 Char Char Char"/>
    <w:basedOn w:val="1"/>
    <w:qFormat/>
    <w:uiPriority w:val="0"/>
    <w:pPr>
      <w:widowControl/>
      <w:spacing w:line="360" w:lineRule="auto"/>
      <w:ind w:firstLine="200" w:firstLineChars="200"/>
      <w:jc w:val="left"/>
    </w:pPr>
    <w:rPr>
      <w:rFonts w:ascii="宋体" w:hAnsi="宋体" w:cs="宋体"/>
      <w:kern w:val="0"/>
    </w:rPr>
  </w:style>
  <w:style w:type="paragraph" w:customStyle="1" w:styleId="1252">
    <w:name w:val="1 Char Char Char Char Char Char Char Char Char Char Char Char Char Char Char"/>
    <w:basedOn w:val="1"/>
    <w:qFormat/>
    <w:uiPriority w:val="0"/>
    <w:pPr>
      <w:widowControl/>
      <w:jc w:val="left"/>
    </w:pPr>
    <w:rPr>
      <w:rFonts w:ascii="宋体" w:hAnsi="宋体" w:cs="宋体"/>
      <w:kern w:val="0"/>
    </w:rPr>
  </w:style>
  <w:style w:type="paragraph" w:customStyle="1" w:styleId="1253">
    <w:name w:val="图文1"/>
    <w:basedOn w:val="1"/>
    <w:qFormat/>
    <w:uiPriority w:val="0"/>
    <w:pPr>
      <w:adjustRightInd w:val="0"/>
      <w:snapToGrid w:val="0"/>
      <w:jc w:val="center"/>
    </w:pPr>
    <w:rPr>
      <w:b/>
      <w:bCs/>
      <w:sz w:val="28"/>
    </w:rPr>
  </w:style>
  <w:style w:type="paragraph" w:customStyle="1" w:styleId="1254">
    <w:name w:val="xl12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kern w:val="0"/>
      <w:sz w:val="18"/>
      <w:szCs w:val="18"/>
    </w:rPr>
  </w:style>
  <w:style w:type="paragraph" w:customStyle="1" w:styleId="1255">
    <w:name w:val="Char Char Char Char Char Char1 Char Char Char1 Char Char Char Char Char Char Char Char Char Char Char Char Char Char Char1 Char Char Char1 Char Char Char Char Char Char1 Char Char Char Char Char Char Char"/>
    <w:basedOn w:val="1"/>
    <w:qFormat/>
    <w:uiPriority w:val="0"/>
    <w:pPr>
      <w:spacing w:line="360" w:lineRule="auto"/>
      <w:ind w:firstLine="200" w:firstLineChars="200"/>
    </w:pPr>
    <w:rPr>
      <w:rFonts w:ascii="宋体" w:hAnsi="宋体" w:cs="宋体"/>
    </w:rPr>
  </w:style>
  <w:style w:type="paragraph" w:customStyle="1" w:styleId="1256">
    <w:name w:val="样式5"/>
    <w:basedOn w:val="54"/>
    <w:qFormat/>
    <w:uiPriority w:val="0"/>
    <w:pPr>
      <w:pBdr>
        <w:top w:val="thickThinSmallGap" w:color="auto" w:sz="18" w:space="1"/>
      </w:pBdr>
      <w:jc w:val="center"/>
    </w:pPr>
    <w:rPr>
      <w:b/>
      <w:sz w:val="24"/>
      <w:szCs w:val="24"/>
    </w:rPr>
  </w:style>
  <w:style w:type="paragraph" w:customStyle="1" w:styleId="1257">
    <w:name w:val="xl31"/>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eastAsia="Arial Unicode MS"/>
      <w:kern w:val="0"/>
      <w:szCs w:val="21"/>
    </w:rPr>
  </w:style>
  <w:style w:type="paragraph" w:customStyle="1" w:styleId="1258">
    <w:name w:val="CM81"/>
    <w:basedOn w:val="721"/>
    <w:next w:val="721"/>
    <w:qFormat/>
    <w:uiPriority w:val="99"/>
    <w:pPr>
      <w:spacing w:after="125" w:line="276" w:lineRule="auto"/>
      <w:jc w:val="both"/>
      <w:textAlignment w:val="baseline"/>
    </w:pPr>
    <w:rPr>
      <w:rFonts w:ascii="华文中宋" w:hAnsi="Calibri" w:eastAsia="华文中宋" w:cs="Times New Roman"/>
      <w:color w:val="auto"/>
      <w:kern w:val="2"/>
    </w:rPr>
  </w:style>
  <w:style w:type="paragraph" w:customStyle="1" w:styleId="1259">
    <w:name w:val="Char44"/>
    <w:basedOn w:val="1"/>
    <w:qFormat/>
    <w:uiPriority w:val="0"/>
    <w:pPr>
      <w:spacing w:line="360" w:lineRule="auto"/>
      <w:ind w:firstLine="200" w:firstLineChars="200"/>
    </w:pPr>
    <w:rPr>
      <w:rFonts w:ascii="宋体" w:hAnsi="宋体" w:cs="宋体"/>
    </w:rPr>
  </w:style>
  <w:style w:type="paragraph" w:customStyle="1" w:styleId="1260">
    <w:name w:val="xl3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kern w:val="0"/>
      <w:sz w:val="18"/>
      <w:szCs w:val="18"/>
    </w:rPr>
  </w:style>
  <w:style w:type="paragraph" w:customStyle="1" w:styleId="1261">
    <w:name w:val="pic-info"/>
    <w:basedOn w:val="1"/>
    <w:qFormat/>
    <w:uiPriority w:val="0"/>
    <w:pPr>
      <w:widowControl/>
      <w:spacing w:before="100" w:beforeAutospacing="1" w:after="100" w:afterAutospacing="1"/>
      <w:jc w:val="left"/>
    </w:pPr>
    <w:rPr>
      <w:rFonts w:ascii="宋体" w:hAnsi="宋体" w:cs="宋体"/>
      <w:kern w:val="0"/>
    </w:rPr>
  </w:style>
  <w:style w:type="paragraph" w:customStyle="1" w:styleId="1262">
    <w:name w:val="Char Char Char Char Char Char Char Char Char Char Char Char Char Char Char Char Char Char Char Char Char Char Char Char Char Char Char Char Char Char Char Char Char Char Char Char Char Char Char Char Char Char Char Char Char Char5"/>
    <w:basedOn w:val="1"/>
    <w:next w:val="1"/>
    <w:semiHidden/>
    <w:qFormat/>
    <w:uiPriority w:val="0"/>
    <w:pPr>
      <w:pBdr>
        <w:right w:val="single" w:color="auto" w:sz="12" w:space="4"/>
      </w:pBdr>
      <w:spacing w:line="360" w:lineRule="auto"/>
      <w:ind w:firstLine="200" w:firstLineChars="200"/>
    </w:pPr>
    <w:rPr>
      <w:sz w:val="28"/>
      <w:szCs w:val="20"/>
    </w:rPr>
  </w:style>
  <w:style w:type="paragraph" w:customStyle="1" w:styleId="1263">
    <w:name w:val="xl150"/>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264">
    <w:name w:val="Char Char6 Char Char"/>
    <w:basedOn w:val="1"/>
    <w:next w:val="1"/>
    <w:semiHidden/>
    <w:qFormat/>
    <w:uiPriority w:val="0"/>
    <w:pPr>
      <w:widowControl/>
      <w:spacing w:line="360" w:lineRule="auto"/>
      <w:ind w:firstLine="200" w:firstLineChars="200"/>
      <w:jc w:val="left"/>
    </w:pPr>
    <w:rPr>
      <w:rFonts w:ascii="宋体" w:hAnsi="宋体" w:cs="宋体"/>
      <w:kern w:val="0"/>
    </w:rPr>
  </w:style>
  <w:style w:type="paragraph" w:customStyle="1" w:styleId="1265">
    <w:name w:val=" Char Char Char Char Char Char Char Char Char Char Char Char Char Char Char Char Char Char Char Char Char Char Char Char Char Char Char Char Char Char Char"/>
    <w:basedOn w:val="1"/>
    <w:semiHidden/>
    <w:qFormat/>
    <w:uiPriority w:val="0"/>
    <w:pPr>
      <w:spacing w:line="360" w:lineRule="auto"/>
      <w:ind w:firstLine="200" w:firstLineChars="200"/>
    </w:pPr>
    <w:rPr>
      <w:rFonts w:ascii="宋体" w:hAnsi="宋体" w:cs="宋体"/>
    </w:rPr>
  </w:style>
  <w:style w:type="paragraph" w:customStyle="1" w:styleId="1266">
    <w:name w:val="xl42"/>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kern w:val="0"/>
      <w:szCs w:val="21"/>
    </w:rPr>
  </w:style>
  <w:style w:type="paragraph" w:customStyle="1" w:styleId="1267">
    <w:name w:val="表5号字"/>
    <w:qFormat/>
    <w:uiPriority w:val="0"/>
    <w:pPr>
      <w:keepNext/>
      <w:widowControl w:val="0"/>
      <w:adjustRightInd w:val="0"/>
      <w:spacing w:before="120" w:line="60" w:lineRule="atLeast"/>
      <w:jc w:val="center"/>
    </w:pPr>
    <w:rPr>
      <w:rFonts w:ascii="Times New Roman" w:hAnsi="Times New Roman" w:eastAsia="宋体" w:cs="Times New Roman"/>
      <w:sz w:val="21"/>
      <w:szCs w:val="21"/>
      <w:lang w:val="en-US" w:eastAsia="zh-CN" w:bidi="ar-SA"/>
    </w:rPr>
  </w:style>
  <w:style w:type="paragraph" w:customStyle="1" w:styleId="1268">
    <w:name w:val="正文 + 首行缩进:  2 字符"/>
    <w:basedOn w:val="1"/>
    <w:qFormat/>
    <w:uiPriority w:val="0"/>
    <w:pPr>
      <w:adjustRightInd w:val="0"/>
      <w:spacing w:line="360" w:lineRule="auto"/>
      <w:ind w:firstLine="480" w:firstLineChars="200"/>
    </w:pPr>
    <w:rPr>
      <w:rFonts w:ascii="宋体"/>
    </w:rPr>
  </w:style>
  <w:style w:type="paragraph" w:customStyle="1" w:styleId="1269">
    <w:name w:val="xl265"/>
    <w:basedOn w:val="1"/>
    <w:qFormat/>
    <w:uiPriority w:val="0"/>
    <w:pPr>
      <w:widowControl/>
      <w:pBdr>
        <w:top w:val="single" w:color="auto" w:sz="4" w:space="0"/>
        <w:bottom w:val="single" w:color="auto" w:sz="4" w:space="0"/>
        <w:right w:val="single" w:color="auto" w:sz="8"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1270">
    <w:name w:val="标题 22"/>
    <w:basedOn w:val="1"/>
    <w:next w:val="1"/>
    <w:qFormat/>
    <w:uiPriority w:val="0"/>
    <w:pPr>
      <w:keepNext/>
      <w:keepLines/>
      <w:spacing w:line="360" w:lineRule="auto"/>
      <w:outlineLvl w:val="1"/>
    </w:pPr>
    <w:rPr>
      <w:b/>
      <w:bCs/>
      <w:sz w:val="30"/>
      <w:szCs w:val="30"/>
    </w:rPr>
  </w:style>
  <w:style w:type="paragraph" w:customStyle="1" w:styleId="1271">
    <w:name w:val="Char Char Char1 Char8"/>
    <w:basedOn w:val="1"/>
    <w:next w:val="1"/>
    <w:semiHidden/>
    <w:qFormat/>
    <w:uiPriority w:val="0"/>
    <w:pPr>
      <w:spacing w:line="360" w:lineRule="auto"/>
      <w:ind w:firstLine="200" w:firstLineChars="200"/>
    </w:pPr>
    <w:rPr>
      <w:rFonts w:ascii="宋体" w:hAnsi="宋体" w:cs="宋体"/>
    </w:rPr>
  </w:style>
  <w:style w:type="paragraph" w:customStyle="1" w:styleId="1272">
    <w:name w:val="Char Char Char Char Char1 Char Char Char Char"/>
    <w:basedOn w:val="1"/>
    <w:qFormat/>
    <w:uiPriority w:val="0"/>
    <w:pPr>
      <w:tabs>
        <w:tab w:val="left" w:pos="360"/>
      </w:tabs>
    </w:pPr>
    <w:rPr>
      <w:sz w:val="21"/>
    </w:rPr>
  </w:style>
  <w:style w:type="paragraph" w:customStyle="1" w:styleId="1273">
    <w:name w:val="p15"/>
    <w:basedOn w:val="1"/>
    <w:qFormat/>
    <w:uiPriority w:val="0"/>
    <w:pPr>
      <w:widowControl/>
      <w:spacing w:line="500" w:lineRule="atLeast"/>
      <w:ind w:left="1049"/>
    </w:pPr>
    <w:rPr>
      <w:rFonts w:ascii="宋体" w:hAnsi="宋体" w:cs="宋体"/>
      <w:spacing w:val="20"/>
      <w:kern w:val="0"/>
      <w:sz w:val="28"/>
      <w:szCs w:val="28"/>
    </w:rPr>
  </w:style>
  <w:style w:type="paragraph" w:customStyle="1" w:styleId="1274">
    <w:name w:val="样式 标题 1 + 黑体 小三 非加粗"/>
    <w:basedOn w:val="3"/>
    <w:qFormat/>
    <w:uiPriority w:val="0"/>
    <w:pPr>
      <w:numPr>
        <w:ilvl w:val="0"/>
        <w:numId w:val="0"/>
      </w:numPr>
      <w:tabs>
        <w:tab w:val="left" w:pos="0"/>
        <w:tab w:val="left" w:pos="785"/>
        <w:tab w:val="clear" w:pos="425"/>
      </w:tabs>
      <w:spacing w:before="340" w:after="330" w:line="578" w:lineRule="auto"/>
      <w:ind w:left="785" w:hanging="425"/>
      <w:jc w:val="both"/>
    </w:pPr>
    <w:rPr>
      <w:rFonts w:ascii="黑体" w:hAnsi="黑体" w:eastAsia="黑体"/>
      <w:b w:val="0"/>
      <w:bCs w:val="0"/>
      <w:sz w:val="30"/>
    </w:rPr>
  </w:style>
  <w:style w:type="paragraph" w:customStyle="1" w:styleId="1275">
    <w:name w:val="Char Char Char1 Char1"/>
    <w:basedOn w:val="1"/>
    <w:next w:val="1"/>
    <w:semiHidden/>
    <w:qFormat/>
    <w:uiPriority w:val="0"/>
    <w:pPr>
      <w:spacing w:line="360" w:lineRule="auto"/>
      <w:ind w:firstLine="200" w:firstLineChars="200"/>
    </w:pPr>
    <w:rPr>
      <w:rFonts w:ascii="宋体" w:hAnsi="宋体" w:cs="宋体"/>
    </w:rPr>
  </w:style>
  <w:style w:type="paragraph" w:customStyle="1" w:styleId="1276">
    <w:name w:val="1 Char Char Char Char Char Char Char Char Char Char"/>
    <w:basedOn w:val="1"/>
    <w:qFormat/>
    <w:uiPriority w:val="0"/>
  </w:style>
  <w:style w:type="paragraph" w:customStyle="1" w:styleId="1277">
    <w:name w:val="HZZH公式"/>
    <w:basedOn w:val="278"/>
    <w:qFormat/>
    <w:uiPriority w:val="0"/>
    <w:pPr>
      <w:ind w:left="420" w:leftChars="100" w:right="100" w:rightChars="100" w:firstLine="217" w:firstLineChars="217"/>
    </w:pPr>
    <w:rPr>
      <w:rFonts w:cs="宋体"/>
      <w:kern w:val="0"/>
      <w:szCs w:val="24"/>
    </w:rPr>
  </w:style>
  <w:style w:type="paragraph" w:customStyle="1" w:styleId="1278">
    <w:name w:val="font5"/>
    <w:basedOn w:val="1"/>
    <w:qFormat/>
    <w:uiPriority w:val="0"/>
    <w:pPr>
      <w:widowControl/>
      <w:spacing w:before="100" w:beforeAutospacing="1" w:after="100" w:afterAutospacing="1"/>
      <w:jc w:val="left"/>
    </w:pPr>
    <w:rPr>
      <w:rFonts w:ascii="宋体" w:hAnsi="宋体"/>
      <w:kern w:val="0"/>
      <w:sz w:val="18"/>
      <w:szCs w:val="18"/>
    </w:rPr>
  </w:style>
  <w:style w:type="paragraph" w:customStyle="1" w:styleId="1279">
    <w:name w:val="reader-word-layer"/>
    <w:basedOn w:val="1"/>
    <w:qFormat/>
    <w:uiPriority w:val="0"/>
    <w:pPr>
      <w:widowControl/>
      <w:spacing w:before="100" w:beforeAutospacing="1" w:after="100" w:afterAutospacing="1"/>
      <w:jc w:val="left"/>
    </w:pPr>
    <w:rPr>
      <w:rFonts w:ascii="宋体" w:hAnsi="宋体" w:cs="宋体"/>
      <w:kern w:val="0"/>
    </w:rPr>
  </w:style>
  <w:style w:type="paragraph" w:customStyle="1" w:styleId="1280">
    <w:name w:val="Char Char Char Char Char Char1 Char Char Char1 Char Char Char Char Char Char Char Char Char Char Char Char Char Char Char2"/>
    <w:basedOn w:val="1"/>
    <w:qFormat/>
    <w:uiPriority w:val="0"/>
    <w:pPr>
      <w:widowControl/>
      <w:spacing w:line="360" w:lineRule="auto"/>
      <w:ind w:firstLine="200" w:firstLineChars="200"/>
      <w:jc w:val="left"/>
    </w:pPr>
    <w:rPr>
      <w:rFonts w:ascii="宋体" w:hAnsi="宋体" w:cs="宋体"/>
      <w:kern w:val="0"/>
    </w:rPr>
  </w:style>
  <w:style w:type="paragraph" w:customStyle="1" w:styleId="1281">
    <w:name w:val="普通(Web)2"/>
    <w:basedOn w:val="1"/>
    <w:qFormat/>
    <w:uiPriority w:val="0"/>
    <w:pPr>
      <w:widowControl/>
      <w:spacing w:before="225" w:after="225" w:line="345" w:lineRule="atLeast"/>
      <w:jc w:val="left"/>
    </w:pPr>
    <w:rPr>
      <w:rFonts w:ascii="宋体" w:hAnsi="宋体" w:cs="宋体"/>
      <w:kern w:val="0"/>
      <w:szCs w:val="21"/>
    </w:rPr>
  </w:style>
  <w:style w:type="paragraph" w:customStyle="1" w:styleId="1282">
    <w:name w:val="黑宋体"/>
    <w:basedOn w:val="6"/>
    <w:qFormat/>
    <w:uiPriority w:val="0"/>
    <w:pPr>
      <w:numPr>
        <w:ilvl w:val="0"/>
        <w:numId w:val="0"/>
      </w:numPr>
      <w:textAlignment w:val="baseline"/>
      <w:outlineLvl w:val="9"/>
    </w:pPr>
    <w:rPr>
      <w:rFonts w:ascii="宋体" w:hAnsi="宋体" w:eastAsia="宋体"/>
      <w:snapToGrid w:val="0"/>
      <w:color w:val="000000"/>
      <w:kern w:val="0"/>
    </w:rPr>
  </w:style>
  <w:style w:type="paragraph" w:customStyle="1" w:styleId="1283">
    <w:name w:val="小注"/>
    <w:basedOn w:val="584"/>
    <w:qFormat/>
    <w:uiPriority w:val="0"/>
    <w:pPr>
      <w:spacing w:beforeLines="50" w:afterLines="100"/>
      <w:ind w:firstLine="200" w:firstLineChars="200"/>
    </w:pPr>
    <w:rPr>
      <w:rFonts w:ascii="宋体"/>
      <w:b w:val="0"/>
      <w:spacing w:val="10"/>
      <w:sz w:val="18"/>
      <w:szCs w:val="20"/>
    </w:rPr>
  </w:style>
  <w:style w:type="paragraph" w:customStyle="1" w:styleId="1284">
    <w:name w:val="xl9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黑体" w:hAnsi="宋体" w:eastAsia="黑体" w:cs="宋体"/>
      <w:color w:val="0000FF"/>
      <w:kern w:val="0"/>
      <w:sz w:val="18"/>
      <w:szCs w:val="18"/>
    </w:rPr>
  </w:style>
  <w:style w:type="paragraph" w:customStyle="1" w:styleId="1285">
    <w:name w:val="xl151"/>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黑体" w:hAnsi="黑体" w:eastAsia="黑体" w:cs="宋体"/>
      <w:color w:val="FF0000"/>
      <w:kern w:val="0"/>
      <w:sz w:val="18"/>
      <w:szCs w:val="18"/>
    </w:rPr>
  </w:style>
  <w:style w:type="paragraph" w:customStyle="1" w:styleId="1286">
    <w:name w:val="Char Char Char Char Char Char1 Char Char Char1 Char Char Char Char Char Char Char Char Char Char Char Char Char Char Char11"/>
    <w:basedOn w:val="1"/>
    <w:qFormat/>
    <w:uiPriority w:val="0"/>
    <w:pPr>
      <w:widowControl/>
      <w:spacing w:line="360" w:lineRule="auto"/>
      <w:ind w:firstLine="200" w:firstLineChars="200"/>
      <w:jc w:val="left"/>
    </w:pPr>
    <w:rPr>
      <w:rFonts w:ascii="宋体" w:hAnsi="宋体" w:cs="宋体"/>
      <w:kern w:val="0"/>
    </w:rPr>
  </w:style>
  <w:style w:type="paragraph" w:customStyle="1" w:styleId="1287">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2"/>
      <w:szCs w:val="22"/>
    </w:rPr>
  </w:style>
  <w:style w:type="paragraph" w:customStyle="1" w:styleId="1288">
    <w:name w:val="样式2 Char Char"/>
    <w:basedOn w:val="1"/>
    <w:qFormat/>
    <w:uiPriority w:val="0"/>
  </w:style>
  <w:style w:type="paragraph" w:customStyle="1" w:styleId="1289">
    <w:name w:val="xl3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eastAsia="Arial Unicode MS"/>
      <w:kern w:val="0"/>
      <w:sz w:val="22"/>
      <w:szCs w:val="22"/>
    </w:rPr>
  </w:style>
  <w:style w:type="paragraph" w:customStyle="1" w:styleId="1290">
    <w:name w:val="Char Char Char Char Char Char1 Char Char Char1 Char Char Char Char Char Char Char Char Char Char Char Char Char Char Char1 Char Char Char1 Char Char Char Char Char Char1 Char Char Char Char Char Char Char Char Char1"/>
    <w:basedOn w:val="1"/>
    <w:qFormat/>
    <w:uiPriority w:val="0"/>
    <w:pPr>
      <w:spacing w:line="360" w:lineRule="auto"/>
      <w:ind w:firstLine="200" w:firstLineChars="200"/>
    </w:pPr>
    <w:rPr>
      <w:rFonts w:ascii="宋体" w:hAnsi="宋体" w:cs="宋体"/>
    </w:rPr>
  </w:style>
  <w:style w:type="paragraph" w:customStyle="1" w:styleId="1291">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1292">
    <w:name w:val=" Char Char Char Char Char Char Char Char Char Char Char Char Char Char Char Char Char Char Char Char Char Char Char Char Char Char Char Char Char Char Char Char Char Char Char Char Char Char Char Char Char Char Char Char Char Char"/>
    <w:basedOn w:val="1"/>
    <w:next w:val="1"/>
    <w:semiHidden/>
    <w:qFormat/>
    <w:uiPriority w:val="0"/>
    <w:pPr>
      <w:pBdr>
        <w:right w:val="single" w:color="auto" w:sz="12" w:space="4"/>
      </w:pBdr>
      <w:spacing w:line="360" w:lineRule="auto"/>
      <w:ind w:firstLine="200" w:firstLineChars="200"/>
    </w:pPr>
    <w:rPr>
      <w:sz w:val="28"/>
      <w:szCs w:val="20"/>
    </w:rPr>
  </w:style>
  <w:style w:type="paragraph" w:customStyle="1" w:styleId="1293">
    <w:name w:val="123"/>
    <w:basedOn w:val="20"/>
    <w:semiHidden/>
    <w:qFormat/>
    <w:uiPriority w:val="0"/>
    <w:pPr>
      <w:widowControl/>
      <w:tabs>
        <w:tab w:val="left" w:pos="352"/>
      </w:tabs>
      <w:overflowPunct w:val="0"/>
      <w:autoSpaceDE w:val="0"/>
      <w:autoSpaceDN w:val="0"/>
      <w:adjustRightInd w:val="0"/>
      <w:snapToGrid w:val="0"/>
      <w:spacing w:before="50" w:line="460" w:lineRule="exact"/>
      <w:ind w:firstLine="200" w:firstLineChars="200"/>
      <w:textAlignment w:val="bottom"/>
    </w:pPr>
    <w:rPr>
      <w:color w:val="000000"/>
      <w:kern w:val="0"/>
      <w:sz w:val="21"/>
    </w:rPr>
  </w:style>
  <w:style w:type="paragraph" w:customStyle="1" w:styleId="1294">
    <w:name w:val="xl6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黑体" w:hAnsi="宋体" w:eastAsia="黑体" w:cs="宋体"/>
      <w:kern w:val="0"/>
      <w:sz w:val="18"/>
      <w:szCs w:val="18"/>
    </w:rPr>
  </w:style>
  <w:style w:type="paragraph" w:customStyle="1" w:styleId="1295">
    <w:name w:val="表头四号"/>
    <w:basedOn w:val="65"/>
    <w:qFormat/>
    <w:uiPriority w:val="0"/>
    <w:pPr>
      <w:adjustRightInd w:val="0"/>
      <w:snapToGrid w:val="0"/>
      <w:spacing w:before="50" w:beforeLines="50" w:line="500" w:lineRule="atLeast"/>
      <w:ind w:left="0" w:firstLine="0" w:firstLineChars="0"/>
    </w:pPr>
    <w:rPr>
      <w:rFonts w:hAnsi="宋体"/>
      <w:b/>
      <w:bCs/>
      <w:szCs w:val="28"/>
    </w:rPr>
  </w:style>
  <w:style w:type="paragraph" w:customStyle="1" w:styleId="1296">
    <w:name w:val="二级目录"/>
    <w:basedOn w:val="4"/>
    <w:qFormat/>
    <w:uiPriority w:val="0"/>
    <w:pPr>
      <w:numPr>
        <w:ilvl w:val="0"/>
        <w:numId w:val="0"/>
      </w:numPr>
      <w:tabs>
        <w:tab w:val="clear" w:pos="993"/>
      </w:tabs>
      <w:spacing w:before="120" w:beforeLines="50" w:after="0" w:line="480" w:lineRule="exact"/>
      <w:outlineLvl w:val="0"/>
    </w:pPr>
    <w:rPr>
      <w:rFonts w:ascii="仿宋_GB2312" w:eastAsia="仿宋_GB2312"/>
      <w:b w:val="0"/>
      <w:bCs w:val="0"/>
      <w:sz w:val="28"/>
      <w:szCs w:val="28"/>
    </w:rPr>
  </w:style>
  <w:style w:type="paragraph" w:customStyle="1" w:styleId="1297">
    <w:name w:val="Char19"/>
    <w:basedOn w:val="1"/>
    <w:qFormat/>
    <w:uiPriority w:val="0"/>
    <w:pPr>
      <w:spacing w:line="360" w:lineRule="auto"/>
      <w:ind w:firstLine="200" w:firstLineChars="200"/>
    </w:pPr>
    <w:rPr>
      <w:rFonts w:ascii="宋体" w:hAnsi="宋体" w:cs="宋体"/>
    </w:rPr>
  </w:style>
  <w:style w:type="paragraph" w:customStyle="1" w:styleId="1298">
    <w:name w:val="xl154"/>
    <w:basedOn w:val="1"/>
    <w:qFormat/>
    <w:uiPriority w:val="0"/>
    <w:pPr>
      <w:widowControl/>
      <w:pBdr>
        <w:top w:val="single" w:color="auto" w:sz="4" w:space="0"/>
        <w:bottom w:val="single" w:color="auto" w:sz="8" w:space="0"/>
      </w:pBdr>
      <w:shd w:val="clear" w:color="000000" w:fill="FFFFFF"/>
      <w:spacing w:before="100" w:beforeAutospacing="1" w:after="100" w:afterAutospacing="1"/>
      <w:jc w:val="right"/>
      <w:textAlignment w:val="center"/>
    </w:pPr>
    <w:rPr>
      <w:rFonts w:ascii="黑体" w:hAnsi="黑体" w:eastAsia="黑体" w:cs="宋体"/>
      <w:kern w:val="0"/>
      <w:sz w:val="18"/>
      <w:szCs w:val="18"/>
    </w:rPr>
  </w:style>
  <w:style w:type="paragraph" w:customStyle="1" w:styleId="1299">
    <w:name w:val="默认段落字体 Para Char Char Char Char"/>
    <w:basedOn w:val="1"/>
    <w:qFormat/>
    <w:uiPriority w:val="0"/>
    <w:rPr>
      <w:sz w:val="21"/>
    </w:rPr>
  </w:style>
  <w:style w:type="paragraph" w:customStyle="1" w:styleId="1300">
    <w:name w:val="Char Char Char Char1 Char Char Char1 Char Char1 Char Char Char Char"/>
    <w:basedOn w:val="1"/>
    <w:semiHidden/>
    <w:qFormat/>
    <w:uiPriority w:val="0"/>
    <w:pPr>
      <w:ind w:firstLine="200" w:firstLineChars="200"/>
    </w:pPr>
    <w:rPr>
      <w:rFonts w:ascii="宋体" w:hAnsi="宋体" w:cs="宋体"/>
    </w:rPr>
  </w:style>
  <w:style w:type="paragraph" w:customStyle="1" w:styleId="1301">
    <w:name w:val="样式2 Char"/>
    <w:basedOn w:val="1"/>
    <w:qFormat/>
    <w:uiPriority w:val="0"/>
  </w:style>
  <w:style w:type="paragraph" w:customStyle="1" w:styleId="1302">
    <w:name w:val="xl158"/>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303">
    <w:name w:val="样式 正文文本 + 左侧:  0.98 厘米"/>
    <w:basedOn w:val="32"/>
    <w:qFormat/>
    <w:uiPriority w:val="0"/>
    <w:pPr>
      <w:widowControl/>
      <w:tabs>
        <w:tab w:val="left" w:pos="3720"/>
      </w:tabs>
      <w:autoSpaceDE w:val="0"/>
      <w:autoSpaceDN w:val="0"/>
      <w:adjustRightInd w:val="0"/>
      <w:snapToGrid w:val="0"/>
      <w:spacing w:line="560" w:lineRule="exact"/>
      <w:ind w:firstLine="560" w:firstLineChars="200"/>
      <w:jc w:val="left"/>
      <w:textAlignment w:val="bottom"/>
    </w:pPr>
    <w:rPr>
      <w:rFonts w:ascii="宋体" w:hAnsi="宋体"/>
      <w:kern w:val="0"/>
      <w:sz w:val="28"/>
      <w:szCs w:val="28"/>
    </w:rPr>
  </w:style>
  <w:style w:type="paragraph" w:customStyle="1" w:styleId="1304">
    <w:name w:val=" Char Char Char Char Char Char1 Char Char Char1 Char Char Char Char Char Char Char Char Char Char Char Char Char Char Char1 Char Char Char1"/>
    <w:basedOn w:val="1"/>
    <w:qFormat/>
    <w:uiPriority w:val="0"/>
    <w:pPr>
      <w:widowControl/>
      <w:spacing w:line="360" w:lineRule="auto"/>
      <w:ind w:firstLine="200" w:firstLineChars="200"/>
      <w:jc w:val="left"/>
    </w:pPr>
    <w:rPr>
      <w:rFonts w:ascii="宋体" w:hAnsi="宋体" w:cs="宋体"/>
      <w:kern w:val="0"/>
    </w:rPr>
  </w:style>
  <w:style w:type="paragraph" w:customStyle="1" w:styleId="1305">
    <w:name w:val="Char Char Char Char9"/>
    <w:basedOn w:val="1"/>
    <w:qFormat/>
    <w:uiPriority w:val="0"/>
  </w:style>
  <w:style w:type="paragraph" w:customStyle="1" w:styleId="1306">
    <w:name w:val="xl157"/>
    <w:basedOn w:val="1"/>
    <w:qFormat/>
    <w:uiPriority w:val="0"/>
    <w:pPr>
      <w:widowControl/>
      <w:pBdr>
        <w:left w:val="single" w:color="auto" w:sz="4" w:space="0"/>
        <w:bottom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307">
    <w:name w:val="xl43"/>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pPr>
    <w:rPr>
      <w:kern w:val="0"/>
      <w:szCs w:val="21"/>
    </w:rPr>
  </w:style>
  <w:style w:type="paragraph" w:customStyle="1" w:styleId="1308">
    <w:name w:val=" Char Char Char Char Char Char1 Char Char Char1 Char Char Char Char Char Char Char Char Char Char Char Char Char Char Char1 Char Char Char1 Char Char Char"/>
    <w:basedOn w:val="1"/>
    <w:qFormat/>
    <w:uiPriority w:val="0"/>
    <w:pPr>
      <w:widowControl/>
      <w:spacing w:line="360" w:lineRule="auto"/>
      <w:ind w:firstLine="200" w:firstLineChars="200"/>
      <w:jc w:val="left"/>
    </w:pPr>
    <w:rPr>
      <w:rFonts w:ascii="宋体" w:hAnsi="宋体" w:cs="宋体"/>
      <w:kern w:val="0"/>
    </w:rPr>
  </w:style>
  <w:style w:type="paragraph" w:customStyle="1" w:styleId="1309">
    <w:name w:val="xl80"/>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黑体" w:hAnsi="宋体" w:eastAsia="黑体" w:cs="宋体"/>
      <w:color w:val="FF0000"/>
      <w:kern w:val="0"/>
      <w:sz w:val="18"/>
      <w:szCs w:val="18"/>
    </w:rPr>
  </w:style>
  <w:style w:type="paragraph" w:customStyle="1" w:styleId="1310">
    <w:name w:val=" Char Char Char Char Char Char1 Char Char Char1 Char Char Char Char Char Char Char Char Char Char Char Char"/>
    <w:basedOn w:val="1"/>
    <w:qFormat/>
    <w:uiPriority w:val="0"/>
    <w:pPr>
      <w:widowControl/>
      <w:spacing w:line="360" w:lineRule="auto"/>
      <w:ind w:firstLine="200" w:firstLineChars="200"/>
      <w:jc w:val="left"/>
    </w:pPr>
    <w:rPr>
      <w:rFonts w:ascii="宋体" w:hAnsi="宋体" w:cs="宋体"/>
      <w:kern w:val="0"/>
    </w:rPr>
  </w:style>
  <w:style w:type="paragraph" w:customStyle="1" w:styleId="1311">
    <w:name w:val="Char Char Char Char Char Char Char Char Char Char Char Char Char Char Char Char Char Char Char Char Char Char Char Char Char Char Char Char Char Char Char Char Char Char Char Char Char Char Char Char Char Char Char Char Char Char4"/>
    <w:basedOn w:val="1"/>
    <w:next w:val="1"/>
    <w:semiHidden/>
    <w:qFormat/>
    <w:uiPriority w:val="0"/>
    <w:pPr>
      <w:pBdr>
        <w:right w:val="single" w:color="auto" w:sz="12" w:space="4"/>
      </w:pBdr>
      <w:spacing w:line="360" w:lineRule="auto"/>
      <w:ind w:firstLine="200" w:firstLineChars="200"/>
    </w:pPr>
    <w:rPr>
      <w:sz w:val="28"/>
      <w:szCs w:val="20"/>
    </w:rPr>
  </w:style>
  <w:style w:type="paragraph" w:customStyle="1" w:styleId="1312">
    <w:name w:val="标签"/>
    <w:basedOn w:val="1"/>
    <w:qFormat/>
    <w:uiPriority w:val="0"/>
    <w:pPr>
      <w:suppressLineNumbers/>
      <w:suppressAutoHyphens/>
      <w:spacing w:before="120" w:after="120"/>
    </w:pPr>
    <w:rPr>
      <w:rFonts w:cs="Tahoma"/>
      <w:i/>
      <w:iCs/>
      <w:kern w:val="1"/>
      <w:lang w:eastAsia="ar-SA"/>
    </w:rPr>
  </w:style>
  <w:style w:type="paragraph" w:customStyle="1" w:styleId="1313">
    <w:name w:val="表内5"/>
    <w:basedOn w:val="896"/>
    <w:qFormat/>
    <w:uiPriority w:val="0"/>
    <w:pPr>
      <w:jc w:val="both"/>
    </w:pPr>
  </w:style>
  <w:style w:type="paragraph" w:customStyle="1" w:styleId="1314">
    <w:name w:val="标题1q"/>
    <w:basedOn w:val="3"/>
    <w:qFormat/>
    <w:uiPriority w:val="0"/>
    <w:pPr>
      <w:numPr>
        <w:ilvl w:val="0"/>
        <w:numId w:val="0"/>
      </w:numPr>
      <w:tabs>
        <w:tab w:val="left" w:pos="432"/>
      </w:tabs>
      <w:spacing w:before="340" w:after="330" w:line="360" w:lineRule="auto"/>
      <w:ind w:left="431" w:firstLine="200" w:firstLineChars="200"/>
    </w:pPr>
    <w:rPr>
      <w:rFonts w:ascii="宋体" w:hAnsi="宋体" w:cs="宋体"/>
      <w:sz w:val="32"/>
      <w:szCs w:val="32"/>
    </w:rPr>
  </w:style>
  <w:style w:type="paragraph" w:customStyle="1" w:styleId="1315">
    <w:name w:val="表"/>
    <w:basedOn w:val="1"/>
    <w:qFormat/>
    <w:uiPriority w:val="0"/>
    <w:pPr>
      <w:adjustRightInd w:val="0"/>
      <w:spacing w:afterLines="50"/>
      <w:ind w:left="-62" w:leftChars="-24"/>
      <w:textAlignment w:val="baseline"/>
    </w:pPr>
    <w:rPr>
      <w:rFonts w:eastAsia="黑体"/>
      <w:kern w:val="10"/>
    </w:rPr>
  </w:style>
  <w:style w:type="paragraph" w:customStyle="1" w:styleId="1316">
    <w:name w:val="样式 标题 4标题 14 + 加粗 无下划线 自动设置 段前: 3 磅 段后: 10 磅3"/>
    <w:basedOn w:val="6"/>
    <w:next w:val="1"/>
    <w:semiHidden/>
    <w:qFormat/>
    <w:uiPriority w:val="0"/>
    <w:pPr>
      <w:keepLines w:val="0"/>
      <w:numPr>
        <w:ilvl w:val="3"/>
        <w:numId w:val="0"/>
      </w:numPr>
      <w:tabs>
        <w:tab w:val="left" w:pos="0"/>
      </w:tabs>
      <w:adjustRightInd w:val="0"/>
      <w:snapToGrid w:val="0"/>
      <w:spacing w:before="60" w:after="200"/>
    </w:pPr>
    <w:rPr>
      <w:rFonts w:eastAsia="宋体"/>
      <w:szCs w:val="20"/>
    </w:rPr>
  </w:style>
  <w:style w:type="paragraph" w:customStyle="1" w:styleId="1317">
    <w:name w:val="样式 正文文本 + 左 首行缩进:  2 字符"/>
    <w:basedOn w:val="32"/>
    <w:qFormat/>
    <w:uiPriority w:val="0"/>
    <w:pPr>
      <w:adjustRightInd w:val="0"/>
      <w:spacing w:line="360" w:lineRule="atLeast"/>
      <w:ind w:firstLine="200" w:firstLineChars="200"/>
      <w:jc w:val="left"/>
      <w:textAlignment w:val="baseline"/>
    </w:pPr>
    <w:rPr>
      <w:rFonts w:ascii="宋体" w:eastAsia="仿宋_GB2312" w:cs="宋体"/>
      <w:kern w:val="0"/>
      <w:sz w:val="28"/>
      <w:szCs w:val="20"/>
    </w:rPr>
  </w:style>
  <w:style w:type="paragraph" w:customStyle="1" w:styleId="1318">
    <w:name w:val=" Char Char Char3 Char"/>
    <w:basedOn w:val="1"/>
    <w:qFormat/>
    <w:uiPriority w:val="0"/>
    <w:pPr>
      <w:widowControl/>
      <w:spacing w:line="360" w:lineRule="auto"/>
      <w:ind w:firstLine="200" w:firstLineChars="200"/>
      <w:jc w:val="left"/>
    </w:pPr>
    <w:rPr>
      <w:rFonts w:ascii="宋体" w:hAnsi="宋体" w:cs="宋体"/>
      <w:kern w:val="0"/>
    </w:rPr>
  </w:style>
  <w:style w:type="paragraph" w:customStyle="1" w:styleId="1319">
    <w:name w:val="xl4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rPr>
  </w:style>
  <w:style w:type="paragraph" w:customStyle="1" w:styleId="1320">
    <w:name w:val="标题3"/>
    <w:basedOn w:val="1"/>
    <w:qFormat/>
    <w:uiPriority w:val="0"/>
    <w:pPr>
      <w:jc w:val="left"/>
    </w:pPr>
    <w:rPr>
      <w:rFonts w:ascii="宋体" w:hAnsi="宋体"/>
      <w:b/>
      <w:bCs/>
      <w:color w:val="FF0000"/>
      <w:sz w:val="28"/>
    </w:rPr>
  </w:style>
  <w:style w:type="paragraph" w:customStyle="1" w:styleId="1321">
    <w:name w:val="xl219"/>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322">
    <w:name w:val="样式 题注 + 居中"/>
    <w:basedOn w:val="21"/>
    <w:qFormat/>
    <w:uiPriority w:val="0"/>
    <w:pPr>
      <w:spacing w:line="360" w:lineRule="auto"/>
      <w:jc w:val="center"/>
    </w:pPr>
    <w:rPr>
      <w:rFonts w:eastAsia="宋体" w:cs="宋体"/>
      <w:sz w:val="24"/>
    </w:rPr>
  </w:style>
  <w:style w:type="paragraph" w:customStyle="1" w:styleId="1323">
    <w:name w:val=" Char Char Char Char Char Char1 Char Char Char"/>
    <w:basedOn w:val="1"/>
    <w:qFormat/>
    <w:uiPriority w:val="0"/>
    <w:pPr>
      <w:widowControl/>
      <w:spacing w:line="360" w:lineRule="auto"/>
      <w:ind w:firstLine="200" w:firstLineChars="200"/>
      <w:jc w:val="left"/>
    </w:pPr>
    <w:rPr>
      <w:rFonts w:ascii="宋体" w:hAnsi="宋体" w:cs="宋体"/>
      <w:kern w:val="0"/>
    </w:rPr>
  </w:style>
  <w:style w:type="paragraph" w:customStyle="1" w:styleId="1324">
    <w:name w:val="xl64"/>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rPr>
  </w:style>
  <w:style w:type="paragraph" w:customStyle="1" w:styleId="1325">
    <w:name w:val="xl7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color w:val="0000FF"/>
      <w:kern w:val="0"/>
      <w:sz w:val="18"/>
      <w:szCs w:val="18"/>
    </w:rPr>
  </w:style>
  <w:style w:type="paragraph" w:customStyle="1" w:styleId="1326">
    <w:name w:val="表头四号 Char"/>
    <w:basedOn w:val="85"/>
    <w:qFormat/>
    <w:uiPriority w:val="0"/>
    <w:pPr>
      <w:adjustRightInd w:val="0"/>
      <w:snapToGrid w:val="0"/>
      <w:spacing w:before="120" w:line="480" w:lineRule="exact"/>
      <w:ind w:firstLine="0" w:firstLineChars="0"/>
      <w:jc w:val="left"/>
    </w:pPr>
    <w:rPr>
      <w:rFonts w:ascii="宋体" w:hAnsi="Times New Roman"/>
      <w:b/>
      <w:sz w:val="28"/>
      <w:szCs w:val="28"/>
    </w:rPr>
  </w:style>
  <w:style w:type="paragraph" w:customStyle="1" w:styleId="1327">
    <w:name w:val="xl11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黑体" w:hAnsi="宋体" w:eastAsia="黑体" w:cs="宋体"/>
      <w:color w:val="0000FF"/>
      <w:kern w:val="0"/>
      <w:sz w:val="18"/>
      <w:szCs w:val="18"/>
    </w:rPr>
  </w:style>
  <w:style w:type="paragraph" w:customStyle="1" w:styleId="1328">
    <w:name w:val="样式 样式 表格小四 + 11 磅 + 五号"/>
    <w:basedOn w:val="1223"/>
    <w:qFormat/>
    <w:uiPriority w:val="0"/>
    <w:rPr>
      <w:sz w:val="21"/>
    </w:rPr>
  </w:style>
  <w:style w:type="paragraph" w:customStyle="1" w:styleId="1329">
    <w:name w:val="xl50"/>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rPr>
  </w:style>
  <w:style w:type="paragraph" w:customStyle="1" w:styleId="1330">
    <w:name w:val="xl11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kern w:val="0"/>
      <w:sz w:val="18"/>
      <w:szCs w:val="18"/>
    </w:rPr>
  </w:style>
  <w:style w:type="paragraph" w:customStyle="1" w:styleId="1331">
    <w:name w:val="表题"/>
    <w:basedOn w:val="1"/>
    <w:qFormat/>
    <w:uiPriority w:val="0"/>
    <w:pPr>
      <w:tabs>
        <w:tab w:val="left" w:pos="720"/>
      </w:tabs>
      <w:adjustRightInd w:val="0"/>
      <w:snapToGrid w:val="0"/>
      <w:spacing w:line="280" w:lineRule="exact"/>
      <w:ind w:left="-105" w:leftChars="-50" w:right="-105" w:rightChars="-50"/>
      <w:jc w:val="center"/>
    </w:pPr>
    <w:rPr>
      <w:color w:val="000000"/>
    </w:rPr>
  </w:style>
  <w:style w:type="paragraph" w:customStyle="1" w:styleId="133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color w:val="000000"/>
      <w:kern w:val="0"/>
      <w:sz w:val="18"/>
      <w:szCs w:val="18"/>
    </w:rPr>
  </w:style>
  <w:style w:type="paragraph" w:customStyle="1" w:styleId="1333">
    <w:name w:val="Char Char Char11"/>
    <w:basedOn w:val="1"/>
    <w:qFormat/>
    <w:uiPriority w:val="0"/>
    <w:pPr>
      <w:widowControl/>
      <w:spacing w:line="360" w:lineRule="auto"/>
      <w:ind w:firstLine="200" w:firstLineChars="200"/>
      <w:jc w:val="left"/>
    </w:pPr>
    <w:rPr>
      <w:rFonts w:ascii="宋体" w:hAnsi="宋体" w:cs="宋体"/>
      <w:kern w:val="0"/>
    </w:rPr>
  </w:style>
  <w:style w:type="paragraph" w:customStyle="1" w:styleId="1334">
    <w:name w:val="Char Char Char Char6"/>
    <w:basedOn w:val="1"/>
    <w:qFormat/>
    <w:uiPriority w:val="0"/>
    <w:pPr>
      <w:spacing w:before="120" w:after="120" w:line="360" w:lineRule="auto"/>
      <w:ind w:firstLine="420"/>
    </w:pPr>
    <w:rPr>
      <w:rFonts w:ascii="Tahoma" w:hAnsi="Tahoma"/>
      <w:sz w:val="28"/>
      <w:szCs w:val="20"/>
    </w:rPr>
  </w:style>
  <w:style w:type="paragraph" w:customStyle="1" w:styleId="1335">
    <w:name w:val="xl10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黑体" w:hAnsi="宋体" w:eastAsia="黑体" w:cs="宋体"/>
      <w:color w:val="000000"/>
      <w:kern w:val="0"/>
      <w:sz w:val="18"/>
      <w:szCs w:val="18"/>
    </w:rPr>
  </w:style>
  <w:style w:type="paragraph" w:customStyle="1" w:styleId="1336">
    <w:name w:val="Char Char Char Char Char Char Char Char Char Char5"/>
    <w:basedOn w:val="1"/>
    <w:qFormat/>
    <w:uiPriority w:val="0"/>
    <w:pPr>
      <w:spacing w:beforeLines="50" w:afterLines="50"/>
    </w:pPr>
    <w:rPr>
      <w:szCs w:val="20"/>
    </w:rPr>
  </w:style>
  <w:style w:type="paragraph" w:customStyle="1" w:styleId="1337">
    <w:name w:val="简单回函地址"/>
    <w:basedOn w:val="1"/>
    <w:qFormat/>
    <w:uiPriority w:val="0"/>
    <w:pPr>
      <w:adjustRightInd w:val="0"/>
      <w:spacing w:line="312" w:lineRule="atLeast"/>
      <w:jc w:val="center"/>
      <w:textAlignment w:val="baseline"/>
    </w:pPr>
    <w:rPr>
      <w:kern w:val="0"/>
      <w:szCs w:val="20"/>
    </w:rPr>
  </w:style>
  <w:style w:type="paragraph" w:customStyle="1" w:styleId="1338">
    <w:name w:val="xl12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黑体" w:hAnsi="黑体" w:eastAsia="黑体" w:cs="宋体"/>
      <w:kern w:val="0"/>
      <w:sz w:val="18"/>
      <w:szCs w:val="18"/>
    </w:rPr>
  </w:style>
  <w:style w:type="paragraph" w:customStyle="1" w:styleId="1339">
    <w:name w:val="p17"/>
    <w:basedOn w:val="1"/>
    <w:qFormat/>
    <w:uiPriority w:val="0"/>
    <w:pPr>
      <w:widowControl/>
      <w:spacing w:line="480" w:lineRule="atLeast"/>
    </w:pPr>
    <w:rPr>
      <w:spacing w:val="20"/>
      <w:kern w:val="0"/>
      <w:sz w:val="28"/>
      <w:szCs w:val="28"/>
    </w:rPr>
  </w:style>
  <w:style w:type="paragraph" w:customStyle="1" w:styleId="1340">
    <w:name w:val="样式 标题 3标题 13ReHead 3 WSAh3B HeadH3..标题 3 Char Char标题 3 ...1"/>
    <w:basedOn w:val="5"/>
    <w:qFormat/>
    <w:uiPriority w:val="0"/>
    <w:pPr>
      <w:numPr>
        <w:ilvl w:val="0"/>
        <w:numId w:val="0"/>
      </w:numPr>
      <w:tabs>
        <w:tab w:val="left" w:pos="106"/>
      </w:tabs>
      <w:spacing w:line="360" w:lineRule="auto"/>
      <w:ind w:left="106"/>
    </w:pPr>
    <w:rPr>
      <w:rFonts w:ascii="宋体" w:hAnsi="宋体" w:eastAsia="Times New Roman" w:cs="宋体"/>
      <w:color w:val="000000"/>
      <w:sz w:val="24"/>
      <w:szCs w:val="20"/>
    </w:rPr>
  </w:style>
  <w:style w:type="paragraph" w:customStyle="1" w:styleId="1341">
    <w:name w:val="Bullet"/>
    <w:basedOn w:val="1"/>
    <w:next w:val="1"/>
    <w:qFormat/>
    <w:uiPriority w:val="0"/>
    <w:pPr>
      <w:widowControl/>
      <w:suppressLineNumbers/>
      <w:tabs>
        <w:tab w:val="left" w:pos="360"/>
      </w:tabs>
      <w:suppressAutoHyphens/>
      <w:spacing w:after="240"/>
      <w:ind w:left="720" w:hanging="360"/>
    </w:pPr>
    <w:rPr>
      <w:kern w:val="0"/>
      <w:sz w:val="23"/>
      <w:szCs w:val="23"/>
      <w:lang w:eastAsia="en-US"/>
    </w:rPr>
  </w:style>
  <w:style w:type="paragraph" w:customStyle="1" w:styleId="1342">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kern w:val="0"/>
      <w:sz w:val="18"/>
      <w:szCs w:val="18"/>
    </w:rPr>
  </w:style>
  <w:style w:type="paragraph" w:customStyle="1" w:styleId="1343">
    <w:name w:val="xl5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rPr>
  </w:style>
  <w:style w:type="paragraph" w:customStyle="1" w:styleId="1344">
    <w:name w:val="CM26"/>
    <w:basedOn w:val="721"/>
    <w:next w:val="721"/>
    <w:qFormat/>
    <w:uiPriority w:val="99"/>
    <w:pPr>
      <w:spacing w:after="200" w:line="276" w:lineRule="auto"/>
      <w:jc w:val="both"/>
      <w:textAlignment w:val="baseline"/>
    </w:pPr>
    <w:rPr>
      <w:rFonts w:ascii="华文中宋" w:hAnsi="Calibri" w:eastAsia="华文中宋" w:cs="Times New Roman"/>
      <w:color w:val="auto"/>
      <w:kern w:val="2"/>
    </w:rPr>
  </w:style>
  <w:style w:type="paragraph" w:customStyle="1" w:styleId="1345">
    <w:name w:val="表格字符"/>
    <w:basedOn w:val="1"/>
    <w:qFormat/>
    <w:uiPriority w:val="0"/>
    <w:pPr>
      <w:adjustRightInd w:val="0"/>
      <w:spacing w:line="300" w:lineRule="auto"/>
      <w:jc w:val="center"/>
      <w:textAlignment w:val="baseline"/>
    </w:pPr>
    <w:rPr>
      <w:kern w:val="0"/>
      <w:szCs w:val="20"/>
    </w:rPr>
  </w:style>
  <w:style w:type="paragraph" w:customStyle="1" w:styleId="1346">
    <w:name w:val="Char Char Char Char Char Char Char Char Char Char Char Char Char Char Char Char Char Char Char Char Char Char Char Char Char Char Char Char Char Char Char Char Char Char Char Char Char Char Char Char Char Char Char Char Char Char10"/>
    <w:basedOn w:val="1"/>
    <w:next w:val="1"/>
    <w:semiHidden/>
    <w:qFormat/>
    <w:uiPriority w:val="0"/>
    <w:pPr>
      <w:pBdr>
        <w:right w:val="single" w:color="auto" w:sz="12" w:space="4"/>
      </w:pBdr>
      <w:spacing w:line="360" w:lineRule="auto"/>
      <w:ind w:firstLine="200" w:firstLineChars="200"/>
    </w:pPr>
    <w:rPr>
      <w:sz w:val="28"/>
      <w:szCs w:val="20"/>
    </w:rPr>
  </w:style>
  <w:style w:type="paragraph" w:customStyle="1" w:styleId="1347">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FF00FF"/>
      <w:kern w:val="0"/>
      <w:sz w:val="20"/>
      <w:szCs w:val="20"/>
    </w:rPr>
  </w:style>
  <w:style w:type="paragraph" w:customStyle="1" w:styleId="1348">
    <w:name w:val="Char15"/>
    <w:basedOn w:val="1"/>
    <w:qFormat/>
    <w:uiPriority w:val="0"/>
    <w:pPr>
      <w:spacing w:line="360" w:lineRule="auto"/>
      <w:ind w:firstLine="200" w:firstLineChars="200"/>
    </w:pPr>
    <w:rPr>
      <w:rFonts w:ascii="宋体" w:hAnsi="宋体" w:cs="宋体"/>
    </w:rPr>
  </w:style>
  <w:style w:type="paragraph" w:customStyle="1" w:styleId="1349">
    <w:name w:val="T"/>
    <w:basedOn w:val="1"/>
    <w:qFormat/>
    <w:uiPriority w:val="0"/>
    <w:pPr>
      <w:widowControl/>
      <w:overflowPunct w:val="0"/>
      <w:autoSpaceDE w:val="0"/>
      <w:autoSpaceDN w:val="0"/>
      <w:adjustRightInd w:val="0"/>
      <w:spacing w:before="120" w:after="120" w:line="360" w:lineRule="auto"/>
      <w:jc w:val="center"/>
      <w:textAlignment w:val="baseline"/>
    </w:pPr>
    <w:rPr>
      <w:rFonts w:ascii="黑体" w:eastAsia="黑体" w:cs="黑体"/>
      <w:b/>
      <w:bCs/>
      <w:kern w:val="0"/>
      <w:sz w:val="28"/>
      <w:szCs w:val="28"/>
    </w:rPr>
  </w:style>
  <w:style w:type="paragraph" w:customStyle="1" w:styleId="1350">
    <w:name w:val="xl58"/>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rPr>
  </w:style>
  <w:style w:type="paragraph" w:customStyle="1" w:styleId="1351">
    <w:name w:val="CM24"/>
    <w:basedOn w:val="721"/>
    <w:next w:val="721"/>
    <w:qFormat/>
    <w:uiPriority w:val="99"/>
    <w:pPr>
      <w:spacing w:after="200" w:line="538" w:lineRule="atLeast"/>
      <w:jc w:val="both"/>
      <w:textAlignment w:val="baseline"/>
    </w:pPr>
    <w:rPr>
      <w:rFonts w:ascii="华文中宋" w:hAnsi="Calibri" w:eastAsia="华文中宋" w:cs="Times New Roman"/>
      <w:color w:val="auto"/>
      <w:kern w:val="2"/>
    </w:rPr>
  </w:style>
  <w:style w:type="paragraph" w:customStyle="1" w:styleId="1352">
    <w:name w:val="xl7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kern w:val="0"/>
      <w:sz w:val="18"/>
      <w:szCs w:val="18"/>
    </w:rPr>
  </w:style>
  <w:style w:type="paragraph" w:customStyle="1" w:styleId="1353">
    <w:name w:val="标题 + 小三"/>
    <w:basedOn w:val="1"/>
    <w:qFormat/>
    <w:uiPriority w:val="0"/>
    <w:pPr>
      <w:outlineLvl w:val="1"/>
    </w:pPr>
    <w:rPr>
      <w:b/>
      <w:sz w:val="30"/>
      <w:szCs w:val="30"/>
    </w:rPr>
  </w:style>
  <w:style w:type="paragraph" w:customStyle="1" w:styleId="1354">
    <w:name w:val="xl60"/>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rPr>
  </w:style>
  <w:style w:type="paragraph" w:customStyle="1" w:styleId="1355">
    <w:name w:val="Char Char Char Char Char Char1 Char Char Char Char Char Char Char Char Char Char1"/>
    <w:basedOn w:val="1"/>
    <w:qFormat/>
    <w:uiPriority w:val="0"/>
    <w:pPr>
      <w:spacing w:line="360" w:lineRule="auto"/>
      <w:ind w:firstLine="200" w:firstLineChars="200"/>
    </w:pPr>
    <w:rPr>
      <w:rFonts w:ascii="宋体" w:hAnsi="宋体" w:cs="宋体"/>
    </w:rPr>
  </w:style>
  <w:style w:type="paragraph" w:customStyle="1" w:styleId="1356">
    <w:name w:val="表文"/>
    <w:basedOn w:val="1"/>
    <w:qFormat/>
    <w:uiPriority w:val="0"/>
    <w:pPr>
      <w:autoSpaceDE w:val="0"/>
      <w:autoSpaceDN w:val="0"/>
      <w:adjustRightInd w:val="0"/>
      <w:spacing w:before="20"/>
      <w:textAlignment w:val="baseline"/>
    </w:pPr>
    <w:rPr>
      <w:kern w:val="0"/>
      <w:szCs w:val="20"/>
    </w:rPr>
  </w:style>
  <w:style w:type="paragraph" w:customStyle="1" w:styleId="1357">
    <w:name w:val="xl61"/>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rPr>
  </w:style>
  <w:style w:type="paragraph" w:customStyle="1" w:styleId="1358">
    <w:name w:val="xl10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color w:val="FF0000"/>
      <w:kern w:val="0"/>
      <w:sz w:val="18"/>
      <w:szCs w:val="18"/>
    </w:rPr>
  </w:style>
  <w:style w:type="paragraph" w:customStyle="1" w:styleId="1359">
    <w:name w:val="Char7"/>
    <w:basedOn w:val="1"/>
    <w:qFormat/>
    <w:uiPriority w:val="0"/>
    <w:pPr>
      <w:spacing w:line="360" w:lineRule="auto"/>
      <w:ind w:firstLine="200" w:firstLineChars="200"/>
    </w:pPr>
    <w:rPr>
      <w:rFonts w:ascii="宋体" w:hAnsi="宋体" w:cs="宋体"/>
    </w:rPr>
  </w:style>
  <w:style w:type="paragraph" w:customStyle="1" w:styleId="1360">
    <w:name w:val="标题11"/>
    <w:basedOn w:val="1"/>
    <w:qFormat/>
    <w:uiPriority w:val="0"/>
    <w:pPr>
      <w:tabs>
        <w:tab w:val="left" w:pos="1292"/>
      </w:tabs>
      <w:adjustRightInd w:val="0"/>
      <w:snapToGrid w:val="0"/>
      <w:spacing w:line="360" w:lineRule="auto"/>
      <w:ind w:left="1292" w:hanging="420"/>
    </w:pPr>
    <w:rPr>
      <w:sz w:val="28"/>
      <w:szCs w:val="20"/>
    </w:rPr>
  </w:style>
  <w:style w:type="paragraph" w:customStyle="1" w:styleId="1361">
    <w:name w:val="Char46"/>
    <w:basedOn w:val="1"/>
    <w:qFormat/>
    <w:uiPriority w:val="0"/>
    <w:pPr>
      <w:spacing w:line="360" w:lineRule="auto"/>
      <w:ind w:firstLine="200" w:firstLineChars="200"/>
    </w:pPr>
    <w:rPr>
      <w:rFonts w:ascii="宋体" w:hAnsi="宋体" w:cs="宋体"/>
    </w:rPr>
  </w:style>
  <w:style w:type="paragraph" w:customStyle="1" w:styleId="1362">
    <w:name w:val="Char32"/>
    <w:basedOn w:val="1"/>
    <w:qFormat/>
    <w:uiPriority w:val="0"/>
    <w:pPr>
      <w:spacing w:line="360" w:lineRule="auto"/>
      <w:ind w:firstLine="200" w:firstLineChars="200"/>
    </w:pPr>
    <w:rPr>
      <w:rFonts w:ascii="宋体" w:hAnsi="宋体" w:cs="宋体"/>
    </w:rPr>
  </w:style>
  <w:style w:type="paragraph" w:customStyle="1" w:styleId="1363">
    <w:name w:val="Char1"/>
    <w:basedOn w:val="1"/>
    <w:qFormat/>
    <w:uiPriority w:val="0"/>
    <w:pPr>
      <w:spacing w:line="360" w:lineRule="auto"/>
      <w:ind w:firstLine="200" w:firstLineChars="200"/>
    </w:pPr>
    <w:rPr>
      <w:rFonts w:ascii="宋体" w:hAnsi="宋体" w:cs="宋体"/>
    </w:rPr>
  </w:style>
  <w:style w:type="paragraph" w:customStyle="1" w:styleId="1364">
    <w:name w:val=" Char2"/>
    <w:basedOn w:val="1"/>
    <w:qFormat/>
    <w:uiPriority w:val="0"/>
    <w:rPr>
      <w:sz w:val="21"/>
    </w:rPr>
  </w:style>
  <w:style w:type="paragraph" w:customStyle="1" w:styleId="1365">
    <w:name w:val="xl8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color w:val="0000FF"/>
      <w:kern w:val="0"/>
      <w:sz w:val="18"/>
      <w:szCs w:val="18"/>
    </w:rPr>
  </w:style>
  <w:style w:type="paragraph" w:customStyle="1" w:styleId="1366">
    <w:name w:val="xl10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黑体" w:hAnsi="宋体" w:eastAsia="黑体" w:cs="宋体"/>
      <w:color w:val="FF00FF"/>
      <w:kern w:val="0"/>
      <w:sz w:val="18"/>
      <w:szCs w:val="18"/>
    </w:rPr>
  </w:style>
  <w:style w:type="paragraph" w:customStyle="1" w:styleId="1367">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color w:val="FF0000"/>
      <w:kern w:val="0"/>
      <w:sz w:val="18"/>
      <w:szCs w:val="18"/>
    </w:rPr>
  </w:style>
  <w:style w:type="paragraph" w:customStyle="1" w:styleId="1368">
    <w:name w:val="Char37"/>
    <w:basedOn w:val="1"/>
    <w:qFormat/>
    <w:uiPriority w:val="0"/>
    <w:pPr>
      <w:spacing w:line="360" w:lineRule="auto"/>
      <w:ind w:firstLine="200" w:firstLineChars="200"/>
    </w:pPr>
    <w:rPr>
      <w:rFonts w:ascii="宋体" w:hAnsi="宋体" w:cs="宋体"/>
    </w:rPr>
  </w:style>
  <w:style w:type="paragraph" w:customStyle="1" w:styleId="1369">
    <w:name w:val="Char24"/>
    <w:basedOn w:val="1"/>
    <w:qFormat/>
    <w:uiPriority w:val="0"/>
    <w:pPr>
      <w:spacing w:line="360" w:lineRule="auto"/>
      <w:ind w:firstLine="200" w:firstLineChars="200"/>
    </w:pPr>
    <w:rPr>
      <w:rFonts w:ascii="宋体" w:hAnsi="宋体" w:cs="宋体"/>
    </w:rPr>
  </w:style>
  <w:style w:type="paragraph" w:customStyle="1" w:styleId="1370">
    <w:name w:val="样式 正文首行缩进 + 首行缩进:  1 字符"/>
    <w:basedOn w:val="410"/>
    <w:qFormat/>
    <w:uiPriority w:val="0"/>
    <w:pPr>
      <w:adjustRightInd w:val="0"/>
      <w:spacing w:line="360" w:lineRule="auto"/>
      <w:ind w:firstLine="100" w:firstLineChars="200"/>
      <w:textAlignment w:val="baseline"/>
    </w:pPr>
    <w:rPr>
      <w:rFonts w:cs="宋体"/>
      <w:kern w:val="0"/>
      <w:szCs w:val="20"/>
    </w:rPr>
  </w:style>
  <w:style w:type="paragraph" w:customStyle="1" w:styleId="1371">
    <w:name w:val="xl93"/>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黑体" w:hAnsi="宋体" w:eastAsia="黑体" w:cs="宋体"/>
      <w:color w:val="000000"/>
      <w:kern w:val="0"/>
      <w:sz w:val="18"/>
      <w:szCs w:val="18"/>
    </w:rPr>
  </w:style>
  <w:style w:type="paragraph" w:customStyle="1" w:styleId="1372">
    <w:name w:val="xl167"/>
    <w:basedOn w:val="1"/>
    <w:qFormat/>
    <w:uiPriority w:val="0"/>
    <w:pPr>
      <w:widowControl/>
      <w:pBdr>
        <w:top w:val="single" w:color="auto" w:sz="4" w:space="0"/>
        <w:bottom w:val="single" w:color="auto" w:sz="4" w:space="0"/>
        <w:right w:val="single" w:color="auto" w:sz="8" w:space="0"/>
      </w:pBdr>
      <w:shd w:val="clear" w:color="000000" w:fill="FFFF00"/>
      <w:spacing w:before="100" w:beforeAutospacing="1" w:after="100" w:afterAutospacing="1"/>
      <w:jc w:val="center"/>
      <w:textAlignment w:val="center"/>
    </w:pPr>
    <w:rPr>
      <w:rFonts w:ascii="黑体" w:hAnsi="黑体" w:eastAsia="黑体" w:cs="宋体"/>
      <w:kern w:val="0"/>
      <w:sz w:val="18"/>
      <w:szCs w:val="18"/>
    </w:rPr>
  </w:style>
  <w:style w:type="paragraph" w:customStyle="1" w:styleId="1373">
    <w:name w:val="样式 样式 正文缩进 + 首行缩进:  2 字符 + 首行缩进:  2.5 字符"/>
    <w:basedOn w:val="1"/>
    <w:qFormat/>
    <w:uiPriority w:val="0"/>
    <w:pPr>
      <w:tabs>
        <w:tab w:val="left" w:pos="0"/>
      </w:tabs>
      <w:overflowPunct w:val="0"/>
      <w:autoSpaceDE w:val="0"/>
      <w:autoSpaceDN w:val="0"/>
      <w:spacing w:line="360" w:lineRule="auto"/>
      <w:ind w:firstLine="200" w:firstLineChars="200"/>
      <w:textAlignment w:val="bottom"/>
    </w:pPr>
    <w:rPr>
      <w:rFonts w:ascii="宋体" w:hAnsi="宋体" w:cs="宋体"/>
      <w:kern w:val="0"/>
      <w:szCs w:val="20"/>
    </w:rPr>
  </w:style>
  <w:style w:type="paragraph" w:customStyle="1" w:styleId="1374">
    <w:name w:val="注释"/>
    <w:basedOn w:val="1"/>
    <w:qFormat/>
    <w:uiPriority w:val="0"/>
    <w:pPr>
      <w:adjustRightInd w:val="0"/>
      <w:snapToGrid w:val="0"/>
      <w:spacing w:before="120" w:after="50" w:afterLines="50" w:line="288" w:lineRule="auto"/>
      <w:ind w:firstLine="200" w:firstLineChars="200"/>
    </w:pPr>
    <w:rPr>
      <w:snapToGrid w:val="0"/>
      <w:kern w:val="0"/>
    </w:rPr>
  </w:style>
  <w:style w:type="paragraph" w:customStyle="1" w:styleId="1375">
    <w:name w:val=" Char Char4 Char Char"/>
    <w:basedOn w:val="1"/>
    <w:qFormat/>
    <w:uiPriority w:val="0"/>
    <w:pPr>
      <w:spacing w:line="360" w:lineRule="auto"/>
      <w:ind w:firstLine="200" w:firstLineChars="200"/>
    </w:pPr>
    <w:rPr>
      <w:sz w:val="21"/>
      <w:szCs w:val="20"/>
    </w:rPr>
  </w:style>
  <w:style w:type="paragraph" w:customStyle="1" w:styleId="1376">
    <w:name w:val="Char Char Char1"/>
    <w:basedOn w:val="1"/>
    <w:qFormat/>
    <w:uiPriority w:val="0"/>
    <w:rPr>
      <w:sz w:val="21"/>
    </w:rPr>
  </w:style>
  <w:style w:type="paragraph" w:customStyle="1" w:styleId="1377">
    <w:name w:val="Char29"/>
    <w:basedOn w:val="1"/>
    <w:qFormat/>
    <w:uiPriority w:val="0"/>
    <w:pPr>
      <w:spacing w:line="360" w:lineRule="auto"/>
      <w:ind w:firstLine="200" w:firstLineChars="200"/>
    </w:pPr>
    <w:rPr>
      <w:rFonts w:ascii="宋体" w:hAnsi="宋体" w:cs="宋体"/>
    </w:rPr>
  </w:style>
  <w:style w:type="paragraph" w:customStyle="1" w:styleId="1378">
    <w:name w:val="CM21"/>
    <w:basedOn w:val="721"/>
    <w:next w:val="721"/>
    <w:qFormat/>
    <w:uiPriority w:val="99"/>
    <w:pPr>
      <w:spacing w:after="200" w:line="276" w:lineRule="auto"/>
      <w:jc w:val="both"/>
      <w:textAlignment w:val="baseline"/>
    </w:pPr>
    <w:rPr>
      <w:rFonts w:ascii="华文中宋" w:hAnsi="Calibri" w:eastAsia="华文中宋" w:cs="Times New Roman"/>
      <w:color w:val="auto"/>
      <w:kern w:val="2"/>
    </w:rPr>
  </w:style>
  <w:style w:type="paragraph" w:customStyle="1" w:styleId="1379">
    <w:name w:val="Char Char Char Char Char Char Char2"/>
    <w:basedOn w:val="1"/>
    <w:qFormat/>
    <w:uiPriority w:val="0"/>
    <w:pPr>
      <w:spacing w:line="360" w:lineRule="auto"/>
      <w:ind w:firstLine="200" w:firstLineChars="200"/>
    </w:pPr>
    <w:rPr>
      <w:rFonts w:ascii="宋体" w:hAnsi="宋体" w:cs="宋体"/>
    </w:rPr>
  </w:style>
  <w:style w:type="paragraph" w:customStyle="1" w:styleId="1380">
    <w:name w:val="Char Char Char Char Char Char Char Char Char Char7"/>
    <w:basedOn w:val="1"/>
    <w:qFormat/>
    <w:uiPriority w:val="0"/>
    <w:pPr>
      <w:spacing w:beforeLines="50" w:afterLines="50"/>
    </w:pPr>
    <w:rPr>
      <w:rFonts w:ascii="Tahoma" w:hAnsi="Tahoma"/>
      <w:szCs w:val="20"/>
    </w:rPr>
  </w:style>
  <w:style w:type="paragraph" w:customStyle="1" w:styleId="1381">
    <w:name w:val="font23"/>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382">
    <w:name w:val="Char Char Char1 Char6"/>
    <w:basedOn w:val="1"/>
    <w:next w:val="1"/>
    <w:semiHidden/>
    <w:qFormat/>
    <w:uiPriority w:val="0"/>
    <w:pPr>
      <w:spacing w:line="360" w:lineRule="auto"/>
      <w:ind w:firstLine="200" w:firstLineChars="200"/>
    </w:pPr>
    <w:rPr>
      <w:rFonts w:ascii="宋体" w:hAnsi="宋体" w:cs="宋体"/>
    </w:rPr>
  </w:style>
  <w:style w:type="paragraph" w:customStyle="1" w:styleId="1383">
    <w:name w:val="PA"/>
    <w:basedOn w:val="1"/>
    <w:qFormat/>
    <w:uiPriority w:val="0"/>
    <w:pPr>
      <w:widowControl/>
      <w:spacing w:after="120"/>
      <w:ind w:left="1134"/>
    </w:pPr>
    <w:rPr>
      <w:rFonts w:ascii="Arial" w:hAnsi="Arial"/>
      <w:kern w:val="0"/>
      <w:sz w:val="22"/>
      <w:szCs w:val="20"/>
      <w:lang w:val="en-GB"/>
    </w:rPr>
  </w:style>
  <w:style w:type="paragraph" w:customStyle="1" w:styleId="1384">
    <w:name w:val="xl137"/>
    <w:basedOn w:val="1"/>
    <w:qFormat/>
    <w:uiPriority w:val="0"/>
    <w:pPr>
      <w:widowControl/>
      <w:pBdr>
        <w:top w:val="single" w:color="auto" w:sz="4" w:space="0"/>
        <w:left w:val="single" w:color="auto" w:sz="4" w:space="0"/>
        <w:bottom w:val="single" w:color="auto" w:sz="4" w:space="0"/>
        <w:right w:val="single" w:color="auto" w:sz="4" w:space="0"/>
      </w:pBdr>
      <w:shd w:val="clear" w:color="000000" w:fill="F2DDDC"/>
      <w:spacing w:before="100" w:beforeAutospacing="1" w:after="100" w:afterAutospacing="1"/>
      <w:jc w:val="left"/>
    </w:pPr>
    <w:rPr>
      <w:rFonts w:ascii="宋体" w:hAnsi="宋体" w:cs="宋体"/>
      <w:kern w:val="0"/>
      <w:sz w:val="20"/>
      <w:szCs w:val="20"/>
    </w:rPr>
  </w:style>
  <w:style w:type="paragraph" w:customStyle="1" w:styleId="1385">
    <w:name w:val="5"/>
    <w:basedOn w:val="1"/>
    <w:next w:val="44"/>
    <w:qFormat/>
    <w:uiPriority w:val="0"/>
    <w:rPr>
      <w:rFonts w:ascii="宋体" w:hAnsi="Courier New"/>
      <w:sz w:val="28"/>
      <w:szCs w:val="20"/>
    </w:rPr>
  </w:style>
  <w:style w:type="paragraph" w:customStyle="1" w:styleId="1386">
    <w:name w:val="xl168"/>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黑体" w:hAnsi="黑体" w:eastAsia="黑体" w:cs="宋体"/>
      <w:kern w:val="0"/>
      <w:sz w:val="18"/>
      <w:szCs w:val="18"/>
    </w:rPr>
  </w:style>
  <w:style w:type="paragraph" w:customStyle="1" w:styleId="1387">
    <w:name w:val="xl132"/>
    <w:basedOn w:val="1"/>
    <w:qFormat/>
    <w:uiPriority w:val="0"/>
    <w:pPr>
      <w:widowControl/>
      <w:pBdr>
        <w:top w:val="single" w:color="auto" w:sz="4" w:space="0"/>
        <w:left w:val="single" w:color="auto" w:sz="4" w:space="0"/>
        <w:bottom w:val="single" w:color="auto" w:sz="4" w:space="0"/>
        <w:right w:val="single" w:color="auto" w:sz="4" w:space="0"/>
      </w:pBdr>
      <w:shd w:val="clear" w:color="000000" w:fill="EAF1DD"/>
      <w:spacing w:before="100" w:beforeAutospacing="1" w:after="100" w:afterAutospacing="1"/>
      <w:jc w:val="left"/>
    </w:pPr>
    <w:rPr>
      <w:rFonts w:ascii="宋体" w:hAnsi="宋体" w:cs="宋体"/>
      <w:kern w:val="0"/>
      <w:sz w:val="20"/>
      <w:szCs w:val="20"/>
    </w:rPr>
  </w:style>
  <w:style w:type="paragraph" w:customStyle="1" w:styleId="1388">
    <w:name w:val="样式 标题 2 + 黑色 段前: 18 磅"/>
    <w:basedOn w:val="4"/>
    <w:qFormat/>
    <w:uiPriority w:val="0"/>
    <w:pPr>
      <w:numPr>
        <w:ilvl w:val="1"/>
        <w:numId w:val="0"/>
      </w:numPr>
      <w:tabs>
        <w:tab w:val="left" w:pos="840"/>
        <w:tab w:val="clear" w:pos="993"/>
      </w:tabs>
      <w:spacing w:before="360" w:beforeLines="50" w:after="0" w:line="360" w:lineRule="auto"/>
      <w:ind w:left="840" w:hanging="420"/>
      <w:jc w:val="center"/>
    </w:pPr>
    <w:rPr>
      <w:bCs w:val="0"/>
      <w:color w:val="000000"/>
      <w:spacing w:val="20"/>
      <w:szCs w:val="20"/>
    </w:rPr>
  </w:style>
  <w:style w:type="paragraph" w:customStyle="1" w:styleId="1389">
    <w:name w:val=" Char Char16 Char Char Char Char Char Char Char Char"/>
    <w:basedOn w:val="1"/>
    <w:qFormat/>
    <w:uiPriority w:val="0"/>
    <w:pPr>
      <w:spacing w:line="360" w:lineRule="auto"/>
      <w:ind w:firstLine="200" w:firstLineChars="200"/>
    </w:pPr>
    <w:rPr>
      <w:sz w:val="21"/>
    </w:rPr>
  </w:style>
  <w:style w:type="paragraph" w:customStyle="1" w:styleId="1390">
    <w:name w:val=" Char Char Char Char Char Char Char Char Char Char"/>
    <w:basedOn w:val="1"/>
    <w:qFormat/>
    <w:uiPriority w:val="0"/>
    <w:rPr>
      <w:szCs w:val="20"/>
    </w:rPr>
  </w:style>
  <w:style w:type="paragraph" w:customStyle="1" w:styleId="1391">
    <w:name w:val=" Char Char Char Char Char Char1 Char Char Char1 Char Char Char Char Char Char Char Char Char Char Char Char Char"/>
    <w:basedOn w:val="1"/>
    <w:semiHidden/>
    <w:qFormat/>
    <w:uiPriority w:val="0"/>
    <w:pPr>
      <w:spacing w:line="360" w:lineRule="auto"/>
      <w:ind w:firstLine="200" w:firstLineChars="200"/>
    </w:pPr>
    <w:rPr>
      <w:rFonts w:ascii="宋体" w:hAnsi="宋体" w:cs="宋体"/>
    </w:rPr>
  </w:style>
  <w:style w:type="paragraph" w:customStyle="1" w:styleId="1392">
    <w:name w:val="样式 标题 3条标2Char标题 3 Char2标题 3 Char Char Char标题 3 Char Char ..."/>
    <w:basedOn w:val="5"/>
    <w:unhideWhenUsed/>
    <w:qFormat/>
    <w:uiPriority w:val="0"/>
    <w:pPr>
      <w:widowControl/>
      <w:numPr>
        <w:ilvl w:val="2"/>
        <w:numId w:val="4"/>
      </w:numPr>
      <w:tabs>
        <w:tab w:val="left" w:pos="0"/>
        <w:tab w:val="left" w:pos="425"/>
        <w:tab w:val="left" w:pos="529"/>
        <w:tab w:val="left" w:pos="562"/>
        <w:tab w:val="left" w:pos="813"/>
      </w:tabs>
      <w:spacing w:before="260" w:after="260" w:line="416" w:lineRule="auto"/>
      <w:ind w:left="720" w:hanging="432"/>
    </w:pPr>
    <w:rPr>
      <w:rFonts w:ascii="Calibri" w:hAnsi="Calibri"/>
      <w:sz w:val="32"/>
    </w:rPr>
  </w:style>
  <w:style w:type="paragraph" w:customStyle="1" w:styleId="1393">
    <w:name w:val="font2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394">
    <w:name w:val="Date"/>
    <w:basedOn w:val="1"/>
    <w:next w:val="1"/>
    <w:qFormat/>
    <w:uiPriority w:val="0"/>
    <w:pPr>
      <w:adjustRightInd w:val="0"/>
      <w:spacing w:line="360" w:lineRule="auto"/>
    </w:pPr>
    <w:rPr>
      <w:rFonts w:ascii="宋体"/>
      <w:b/>
      <w:snapToGrid w:val="0"/>
      <w:kern w:val="0"/>
      <w:sz w:val="28"/>
      <w:szCs w:val="20"/>
    </w:rPr>
  </w:style>
  <w:style w:type="paragraph" w:customStyle="1" w:styleId="1395">
    <w:name w:val="xl220"/>
    <w:basedOn w:val="1"/>
    <w:qFormat/>
    <w:uiPriority w:val="0"/>
    <w:pPr>
      <w:widowControl/>
      <w:pBdr>
        <w:top w:val="single" w:color="auto" w:sz="4" w:space="0"/>
        <w:left w:val="single" w:color="auto" w:sz="4" w:space="0"/>
        <w:bottom w:val="single" w:color="auto" w:sz="8"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396">
    <w:name w:val=" Char Char Char Char Char Char1 Char Char Char1 Char Char Char Char Char Char Char Char Char Char Char Char Char Char Char1 Char Char Char1 Char Char Char Char Char Char1 Char Char Char Char Char Char Char Char Char"/>
    <w:basedOn w:val="1"/>
    <w:qFormat/>
    <w:uiPriority w:val="0"/>
    <w:pPr>
      <w:spacing w:line="360" w:lineRule="auto"/>
      <w:ind w:firstLine="200" w:firstLineChars="200"/>
    </w:pPr>
    <w:rPr>
      <w:rFonts w:ascii="宋体" w:hAnsi="宋体" w:cs="宋体"/>
    </w:rPr>
  </w:style>
  <w:style w:type="paragraph" w:customStyle="1" w:styleId="1397">
    <w:name w:val="Char Char Char Char Char Char1 Char Char Char1 Char Char Char Char Char Char Char"/>
    <w:basedOn w:val="1"/>
    <w:qFormat/>
    <w:uiPriority w:val="0"/>
    <w:pPr>
      <w:spacing w:line="360" w:lineRule="auto"/>
      <w:ind w:firstLine="200" w:firstLineChars="200"/>
    </w:pPr>
    <w:rPr>
      <w:rFonts w:ascii="宋体" w:hAnsi="宋体" w:cs="宋体"/>
    </w:rPr>
  </w:style>
  <w:style w:type="paragraph" w:customStyle="1" w:styleId="1398">
    <w:name w:val="正文文本缩进1"/>
    <w:basedOn w:val="1"/>
    <w:qFormat/>
    <w:uiPriority w:val="0"/>
    <w:pPr>
      <w:spacing w:line="360" w:lineRule="auto"/>
      <w:ind w:firstLine="480" w:firstLineChars="204"/>
    </w:pPr>
  </w:style>
  <w:style w:type="paragraph" w:customStyle="1" w:styleId="1399">
    <w:name w:val="纯文本2"/>
    <w:basedOn w:val="1"/>
    <w:qFormat/>
    <w:uiPriority w:val="0"/>
    <w:pPr>
      <w:adjustRightInd w:val="0"/>
      <w:jc w:val="left"/>
      <w:textAlignment w:val="baseline"/>
    </w:pPr>
    <w:rPr>
      <w:rFonts w:ascii="宋体"/>
      <w:kern w:val="0"/>
      <w:szCs w:val="20"/>
    </w:rPr>
  </w:style>
  <w:style w:type="paragraph" w:customStyle="1" w:styleId="1400">
    <w:name w:val="table"/>
    <w:basedOn w:val="1"/>
    <w:qFormat/>
    <w:uiPriority w:val="0"/>
    <w:pPr>
      <w:widowControl/>
      <w:overflowPunct w:val="0"/>
      <w:autoSpaceDE w:val="0"/>
      <w:autoSpaceDN w:val="0"/>
      <w:adjustRightInd w:val="0"/>
      <w:spacing w:before="60" w:after="60"/>
      <w:jc w:val="center"/>
      <w:textAlignment w:val="baseline"/>
    </w:pPr>
    <w:rPr>
      <w:rFonts w:ascii="宋体" w:cs="Century"/>
      <w:kern w:val="0"/>
    </w:rPr>
  </w:style>
  <w:style w:type="paragraph" w:customStyle="1" w:styleId="1401">
    <w:name w:val="样式 宋体 小四 行距: 1.5 倍行距"/>
    <w:basedOn w:val="1"/>
    <w:qFormat/>
    <w:uiPriority w:val="0"/>
    <w:pPr>
      <w:spacing w:line="360" w:lineRule="auto"/>
      <w:ind w:firstLine="480" w:firstLineChars="200"/>
    </w:pPr>
    <w:rPr>
      <w:rFonts w:ascii="宋体" w:hAnsi="宋体" w:cs="宋体"/>
      <w:szCs w:val="20"/>
    </w:rPr>
  </w:style>
  <w:style w:type="paragraph" w:customStyle="1" w:styleId="1402">
    <w:name w:val="Char Char Char Char Char Char1 Char Char Char1 Char Char Char Char Char Char Char Char Char Char Char Char Char Char Char1 Char Char Char1 Char Char Char Char Char Char1 Char Char Char Char Char Char Char1"/>
    <w:basedOn w:val="1"/>
    <w:qFormat/>
    <w:uiPriority w:val="0"/>
    <w:pPr>
      <w:spacing w:line="360" w:lineRule="auto"/>
      <w:ind w:firstLine="200" w:firstLineChars="200"/>
    </w:pPr>
    <w:rPr>
      <w:rFonts w:ascii="宋体" w:hAnsi="宋体" w:cs="宋体"/>
    </w:rPr>
  </w:style>
  <w:style w:type="paragraph" w:customStyle="1" w:styleId="1403">
    <w:name w:val="xl155"/>
    <w:basedOn w:val="1"/>
    <w:qFormat/>
    <w:uiPriority w:val="0"/>
    <w:pPr>
      <w:widowControl/>
      <w:pBdr>
        <w:top w:val="single" w:color="auto" w:sz="4" w:space="0"/>
        <w:bottom w:val="single" w:color="auto" w:sz="8" w:space="0"/>
        <w:right w:val="single" w:color="auto" w:sz="8" w:space="0"/>
      </w:pBdr>
      <w:shd w:val="clear" w:color="000000" w:fill="FFFFFF"/>
      <w:spacing w:before="100" w:beforeAutospacing="1" w:after="100" w:afterAutospacing="1"/>
      <w:jc w:val="center"/>
      <w:textAlignment w:val="center"/>
    </w:pPr>
    <w:rPr>
      <w:rFonts w:ascii="黑体" w:hAnsi="黑体" w:eastAsia="黑体" w:cs="宋体"/>
      <w:kern w:val="0"/>
      <w:sz w:val="20"/>
      <w:szCs w:val="20"/>
    </w:rPr>
  </w:style>
  <w:style w:type="paragraph" w:customStyle="1" w:styleId="1404">
    <w:name w:val="Char Char Char Char Char Char1 Char Char Char1 Char Char Char Char Char Char Char Char Char Char Char Char Char Char Char1 Char Char Char Char"/>
    <w:basedOn w:val="1"/>
    <w:qFormat/>
    <w:uiPriority w:val="0"/>
    <w:pPr>
      <w:spacing w:line="360" w:lineRule="auto"/>
      <w:ind w:firstLine="200" w:firstLineChars="200"/>
    </w:pPr>
    <w:rPr>
      <w:rFonts w:ascii="宋体" w:hAnsi="宋体" w:cs="宋体"/>
    </w:rPr>
  </w:style>
  <w:style w:type="paragraph" w:customStyle="1" w:styleId="1405">
    <w:name w:val="Char Char3 Char Char Char Char Char Char"/>
    <w:basedOn w:val="1"/>
    <w:qFormat/>
    <w:uiPriority w:val="0"/>
    <w:pPr>
      <w:spacing w:line="360" w:lineRule="auto"/>
      <w:ind w:firstLine="200" w:firstLineChars="200"/>
    </w:pPr>
    <w:rPr>
      <w:rFonts w:ascii="宋体" w:hAnsi="宋体" w:cs="宋体"/>
    </w:rPr>
  </w:style>
  <w:style w:type="paragraph" w:customStyle="1" w:styleId="1406">
    <w:name w:val="Char Char6 Char Char Char Char Char Char Char Char"/>
    <w:basedOn w:val="1"/>
    <w:qFormat/>
    <w:uiPriority w:val="0"/>
    <w:pPr>
      <w:spacing w:line="360" w:lineRule="auto"/>
      <w:ind w:firstLine="200" w:firstLineChars="200"/>
    </w:pPr>
    <w:rPr>
      <w:rFonts w:ascii="宋体" w:hAnsi="宋体" w:cs="宋体"/>
    </w:rPr>
  </w:style>
  <w:style w:type="paragraph" w:customStyle="1" w:styleId="1407">
    <w:name w:val="正文+首行缩进"/>
    <w:basedOn w:val="1"/>
    <w:qFormat/>
    <w:uiPriority w:val="0"/>
    <w:pPr>
      <w:overflowPunct w:val="0"/>
      <w:topLinePunct/>
      <w:adjustRightInd w:val="0"/>
      <w:spacing w:line="460" w:lineRule="atLeast"/>
      <w:ind w:firstLine="200" w:firstLineChars="200"/>
      <w:jc w:val="left"/>
      <w:textAlignment w:val="baseline"/>
    </w:pPr>
    <w:rPr>
      <w:kern w:val="0"/>
      <w:sz w:val="28"/>
    </w:rPr>
  </w:style>
  <w:style w:type="paragraph" w:customStyle="1" w:styleId="1408">
    <w:name w:val=" Char Char Char Char Char Char3 Char Char Char Char Char Char Char"/>
    <w:basedOn w:val="1"/>
    <w:next w:val="1"/>
    <w:qFormat/>
    <w:uiPriority w:val="0"/>
    <w:pPr>
      <w:widowControl/>
      <w:jc w:val="left"/>
    </w:pPr>
    <w:rPr>
      <w:rFonts w:ascii="宋体" w:hAnsi="宋体" w:eastAsia="黑体" w:cs="宋体"/>
      <w:kern w:val="0"/>
      <w:sz w:val="28"/>
    </w:rPr>
  </w:style>
  <w:style w:type="paragraph" w:customStyle="1" w:styleId="1409">
    <w:name w:val="xl223"/>
    <w:basedOn w:val="1"/>
    <w:qFormat/>
    <w:uiPriority w:val="0"/>
    <w:pPr>
      <w:widowControl/>
      <w:pBdr>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b/>
      <w:bCs/>
      <w:kern w:val="0"/>
      <w:sz w:val="18"/>
      <w:szCs w:val="18"/>
    </w:rPr>
  </w:style>
  <w:style w:type="paragraph" w:customStyle="1" w:styleId="1410">
    <w:name w:val="xl162"/>
    <w:basedOn w:val="1"/>
    <w:qFormat/>
    <w:uiPriority w:val="0"/>
    <w:pPr>
      <w:widowControl/>
      <w:pBdr>
        <w:top w:val="single" w:color="auto" w:sz="4" w:space="0"/>
      </w:pBdr>
      <w:shd w:val="clear" w:color="000000" w:fill="FFFFFF"/>
      <w:spacing w:before="100" w:beforeAutospacing="1" w:after="100" w:afterAutospacing="1"/>
      <w:jc w:val="right"/>
      <w:textAlignment w:val="center"/>
    </w:pPr>
    <w:rPr>
      <w:rFonts w:ascii="黑体" w:hAnsi="黑体" w:eastAsia="黑体" w:cs="宋体"/>
      <w:kern w:val="0"/>
      <w:sz w:val="18"/>
      <w:szCs w:val="18"/>
    </w:rPr>
  </w:style>
  <w:style w:type="paragraph" w:customStyle="1" w:styleId="1411">
    <w:name w:val=" Char Char Char Char Char Char1 Char Char Char1 Char Char Char Char Char Char Char Char Char Char Char Char Char Char Char"/>
    <w:basedOn w:val="1"/>
    <w:qFormat/>
    <w:uiPriority w:val="0"/>
    <w:pPr>
      <w:widowControl/>
      <w:spacing w:line="360" w:lineRule="auto"/>
      <w:ind w:firstLine="200" w:firstLineChars="200"/>
      <w:jc w:val="left"/>
    </w:pPr>
    <w:rPr>
      <w:rFonts w:ascii="宋体" w:hAnsi="宋体" w:cs="宋体"/>
      <w:kern w:val="0"/>
    </w:rPr>
  </w:style>
  <w:style w:type="paragraph" w:customStyle="1" w:styleId="1412">
    <w:name w:val=" Char Char Char Char Char Char1 Char Char Char1 Char Char Char Char Char Char Char Char Char Char Char Char Char Char Char1 Char Char Char1 Char Char Char Char Char Char1 Char Char Char Char Char Char Char"/>
    <w:basedOn w:val="1"/>
    <w:qFormat/>
    <w:uiPriority w:val="0"/>
    <w:pPr>
      <w:spacing w:line="360" w:lineRule="auto"/>
      <w:ind w:firstLine="200" w:firstLineChars="200"/>
    </w:pPr>
    <w:rPr>
      <w:rFonts w:ascii="宋体" w:hAnsi="宋体" w:cs="宋体"/>
    </w:rPr>
  </w:style>
  <w:style w:type="paragraph" w:customStyle="1" w:styleId="1413">
    <w:name w:val=" Char Char Char Char Char Char1 Char Char Char1 Char Char Char Char Char Char Char Char Char Char Char Char Char Char Char1 Char Char Char1 Char Char Char Char Char Char1 Char Char Char Char Char"/>
    <w:basedOn w:val="1"/>
    <w:qFormat/>
    <w:uiPriority w:val="0"/>
    <w:pPr>
      <w:spacing w:line="360" w:lineRule="auto"/>
      <w:ind w:firstLine="200" w:firstLineChars="200"/>
    </w:pPr>
    <w:rPr>
      <w:rFonts w:ascii="宋体" w:hAnsi="宋体" w:cs="宋体"/>
    </w:rPr>
  </w:style>
  <w:style w:type="paragraph" w:customStyle="1" w:styleId="1414">
    <w:name w:val="xl116"/>
    <w:basedOn w:val="1"/>
    <w:qFormat/>
    <w:uiPriority w:val="0"/>
    <w:pPr>
      <w:widowControl/>
      <w:pBdr>
        <w:left w:val="single" w:color="auto" w:sz="4" w:space="0"/>
        <w:right w:val="single" w:color="auto" w:sz="4" w:space="0"/>
      </w:pBdr>
      <w:spacing w:before="100" w:beforeAutospacing="1" w:after="100" w:afterAutospacing="1"/>
      <w:jc w:val="center"/>
    </w:pPr>
    <w:rPr>
      <w:rFonts w:ascii="黑体" w:hAnsi="黑体" w:eastAsia="黑体" w:cs="宋体"/>
      <w:kern w:val="0"/>
      <w:sz w:val="18"/>
      <w:szCs w:val="18"/>
    </w:rPr>
  </w:style>
  <w:style w:type="paragraph" w:customStyle="1" w:styleId="1415">
    <w:name w:val="陈光的正文"/>
    <w:basedOn w:val="1"/>
    <w:qFormat/>
    <w:uiPriority w:val="0"/>
    <w:pPr>
      <w:spacing w:line="360" w:lineRule="auto"/>
      <w:ind w:firstLine="567"/>
    </w:pPr>
    <w:rPr>
      <w:sz w:val="28"/>
    </w:rPr>
  </w:style>
  <w:style w:type="paragraph" w:customStyle="1" w:styleId="1416">
    <w:name w:val="xl12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kern w:val="0"/>
      <w:sz w:val="18"/>
      <w:szCs w:val="18"/>
    </w:rPr>
  </w:style>
  <w:style w:type="paragraph" w:customStyle="1" w:styleId="1417">
    <w:name w:val="xl224"/>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418">
    <w:name w:val="xl12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黑体" w:hAnsi="黑体" w:eastAsia="黑体" w:cs="宋体"/>
      <w:kern w:val="0"/>
      <w:sz w:val="18"/>
      <w:szCs w:val="18"/>
    </w:rPr>
  </w:style>
  <w:style w:type="paragraph" w:customStyle="1" w:styleId="1419">
    <w:name w:val="CM10"/>
    <w:basedOn w:val="721"/>
    <w:next w:val="721"/>
    <w:qFormat/>
    <w:uiPriority w:val="99"/>
    <w:pPr>
      <w:spacing w:after="200" w:line="536" w:lineRule="atLeast"/>
      <w:jc w:val="both"/>
      <w:textAlignment w:val="baseline"/>
    </w:pPr>
    <w:rPr>
      <w:rFonts w:ascii="华文中宋" w:hAnsi="Calibri" w:eastAsia="华文中宋" w:cs="Times New Roman"/>
      <w:color w:val="auto"/>
      <w:kern w:val="2"/>
    </w:rPr>
  </w:style>
  <w:style w:type="paragraph" w:customStyle="1" w:styleId="1420">
    <w:name w:val="正文01"/>
    <w:basedOn w:val="1"/>
    <w:qFormat/>
    <w:uiPriority w:val="0"/>
    <w:pPr>
      <w:spacing w:before="60" w:line="460" w:lineRule="exact"/>
      <w:ind w:firstLine="200" w:firstLineChars="200"/>
    </w:pPr>
  </w:style>
  <w:style w:type="paragraph" w:customStyle="1" w:styleId="1421">
    <w:name w:val=" Char Char Char Char Char Char1 Char Char Char1 Char Char Char Char Char Char Char Char Char Char Char Char Char Char Char1 Char Char Char Char"/>
    <w:basedOn w:val="1"/>
    <w:qFormat/>
    <w:uiPriority w:val="0"/>
    <w:pPr>
      <w:spacing w:line="360" w:lineRule="auto"/>
      <w:ind w:firstLine="200" w:firstLineChars="200"/>
    </w:pPr>
    <w:rPr>
      <w:rFonts w:cs="宋体"/>
    </w:rPr>
  </w:style>
  <w:style w:type="paragraph" w:customStyle="1" w:styleId="1422">
    <w:name w:val="xl194"/>
    <w:basedOn w:val="1"/>
    <w:qFormat/>
    <w:uiPriority w:val="0"/>
    <w:pPr>
      <w:widowControl/>
      <w:pBdr>
        <w:top w:val="single" w:color="auto" w:sz="8" w:space="0"/>
        <w:left w:val="single" w:color="auto" w:sz="4" w:space="0"/>
        <w:bottom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423">
    <w:name w:val=" Char Char3 Char Char Char Char"/>
    <w:basedOn w:val="1"/>
    <w:qFormat/>
    <w:uiPriority w:val="0"/>
    <w:pPr>
      <w:spacing w:line="360" w:lineRule="auto"/>
      <w:ind w:firstLine="200" w:firstLineChars="200"/>
    </w:pPr>
    <w:rPr>
      <w:rFonts w:ascii="宋体" w:hAnsi="宋体" w:cs="宋体"/>
    </w:rPr>
  </w:style>
  <w:style w:type="paragraph" w:customStyle="1" w:styleId="1424">
    <w:name w:val="xl197"/>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黑体" w:hAnsi="黑体" w:eastAsia="黑体" w:cs="宋体"/>
      <w:kern w:val="0"/>
      <w:sz w:val="18"/>
      <w:szCs w:val="18"/>
    </w:rPr>
  </w:style>
  <w:style w:type="paragraph" w:customStyle="1" w:styleId="1425">
    <w:name w:val="CM54"/>
    <w:basedOn w:val="721"/>
    <w:next w:val="721"/>
    <w:qFormat/>
    <w:uiPriority w:val="99"/>
    <w:pPr>
      <w:spacing w:after="200" w:line="500" w:lineRule="atLeast"/>
      <w:jc w:val="both"/>
      <w:textAlignment w:val="baseline"/>
    </w:pPr>
    <w:rPr>
      <w:rFonts w:ascii="华文中宋" w:hAnsi="Calibri" w:eastAsia="华文中宋" w:cs="Times New Roman"/>
      <w:color w:val="auto"/>
      <w:kern w:val="2"/>
    </w:rPr>
  </w:style>
  <w:style w:type="paragraph" w:customStyle="1" w:styleId="1426">
    <w:name w:val=" Char Char3 Char Char Char Char Char Char"/>
    <w:basedOn w:val="1"/>
    <w:qFormat/>
    <w:uiPriority w:val="0"/>
    <w:pPr>
      <w:spacing w:line="360" w:lineRule="auto"/>
      <w:ind w:firstLine="200" w:firstLineChars="200"/>
    </w:pPr>
    <w:rPr>
      <w:rFonts w:ascii="宋体" w:hAnsi="宋体" w:cs="宋体"/>
    </w:rPr>
  </w:style>
  <w:style w:type="paragraph" w:customStyle="1" w:styleId="1427">
    <w:name w:val="CM76"/>
    <w:basedOn w:val="721"/>
    <w:next w:val="721"/>
    <w:qFormat/>
    <w:uiPriority w:val="99"/>
    <w:pPr>
      <w:spacing w:after="270" w:line="276" w:lineRule="auto"/>
      <w:jc w:val="both"/>
      <w:textAlignment w:val="baseline"/>
    </w:pPr>
    <w:rPr>
      <w:rFonts w:ascii="华文中宋" w:hAnsi="Calibri" w:eastAsia="华文中宋" w:cs="Times New Roman"/>
      <w:color w:val="auto"/>
      <w:kern w:val="2"/>
    </w:rPr>
  </w:style>
  <w:style w:type="paragraph" w:customStyle="1" w:styleId="1428">
    <w:name w:val="表内文字五号"/>
    <w:qFormat/>
    <w:uiPriority w:val="0"/>
    <w:pPr>
      <w:ind w:left="-72" w:leftChars="-30" w:right="-72" w:rightChars="-30"/>
      <w:jc w:val="center"/>
    </w:pPr>
    <w:rPr>
      <w:rFonts w:ascii="宋体" w:hAnsi="Times New Roman" w:eastAsia="宋体" w:cs="Times New Roman"/>
      <w:kern w:val="2"/>
      <w:sz w:val="21"/>
      <w:szCs w:val="24"/>
      <w:lang w:val="en-US" w:eastAsia="zh-CN" w:bidi="ar-SA"/>
    </w:rPr>
  </w:style>
  <w:style w:type="paragraph" w:customStyle="1" w:styleId="1429">
    <w:name w:val="xl225"/>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430">
    <w:name w:val="xl135"/>
    <w:basedOn w:val="1"/>
    <w:qFormat/>
    <w:uiPriority w:val="0"/>
    <w:pPr>
      <w:widowControl/>
      <w:pBdr>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kern w:val="0"/>
      <w:sz w:val="20"/>
      <w:szCs w:val="20"/>
    </w:rPr>
  </w:style>
  <w:style w:type="paragraph" w:customStyle="1" w:styleId="1431">
    <w:name w:val="xl136"/>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kern w:val="0"/>
      <w:sz w:val="20"/>
      <w:szCs w:val="20"/>
    </w:rPr>
  </w:style>
  <w:style w:type="paragraph" w:customStyle="1" w:styleId="1432">
    <w:name w:val="xl170"/>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黑体" w:hAnsi="黑体" w:eastAsia="黑体" w:cs="宋体"/>
      <w:kern w:val="0"/>
      <w:sz w:val="18"/>
      <w:szCs w:val="18"/>
    </w:rPr>
  </w:style>
  <w:style w:type="paragraph" w:customStyle="1" w:styleId="1433">
    <w:name w:val="正文文本缩进2"/>
    <w:basedOn w:val="1"/>
    <w:qFormat/>
    <w:uiPriority w:val="0"/>
    <w:pPr>
      <w:spacing w:line="360" w:lineRule="auto"/>
      <w:ind w:firstLine="480" w:firstLineChars="204"/>
    </w:pPr>
    <w:rPr>
      <w:szCs w:val="28"/>
    </w:rPr>
  </w:style>
  <w:style w:type="paragraph" w:customStyle="1" w:styleId="1434">
    <w:name w:val="xl181"/>
    <w:basedOn w:val="1"/>
    <w:qFormat/>
    <w:uiPriority w:val="0"/>
    <w:pPr>
      <w:widowControl/>
      <w:pBdr>
        <w:top w:val="single" w:color="auto" w:sz="4" w:space="0"/>
        <w:lef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435">
    <w:name w:val="2级标题 Char Char Char Char"/>
    <w:basedOn w:val="1"/>
    <w:qFormat/>
    <w:uiPriority w:val="0"/>
    <w:rPr>
      <w:rFonts w:eastAsia="黑体" w:cs="宋体"/>
      <w:b/>
      <w:bCs/>
      <w:color w:val="000000"/>
      <w:sz w:val="32"/>
      <w:szCs w:val="32"/>
    </w:rPr>
  </w:style>
  <w:style w:type="paragraph" w:customStyle="1" w:styleId="1436">
    <w:name w:val="纯文本3"/>
    <w:basedOn w:val="1"/>
    <w:qFormat/>
    <w:uiPriority w:val="0"/>
    <w:pPr>
      <w:adjustRightInd w:val="0"/>
      <w:spacing w:line="560" w:lineRule="exact"/>
      <w:jc w:val="left"/>
      <w:textAlignment w:val="baseline"/>
    </w:pPr>
    <w:rPr>
      <w:rFonts w:ascii="宋体"/>
      <w:kern w:val="0"/>
      <w:szCs w:val="20"/>
    </w:rPr>
  </w:style>
  <w:style w:type="paragraph" w:customStyle="1" w:styleId="1437">
    <w:name w:val="xl177"/>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438">
    <w:name w:val="xl14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439">
    <w:name w:val="Char Char4 Char Char Char Char Char Char Char Char Char Char"/>
    <w:basedOn w:val="1"/>
    <w:qFormat/>
    <w:uiPriority w:val="0"/>
    <w:pPr>
      <w:spacing w:line="360" w:lineRule="auto"/>
      <w:ind w:firstLine="200" w:firstLineChars="200"/>
    </w:pPr>
    <w:rPr>
      <w:rFonts w:ascii="宋体" w:hAnsi="宋体" w:cs="宋体"/>
    </w:rPr>
  </w:style>
  <w:style w:type="paragraph" w:customStyle="1" w:styleId="1440">
    <w:name w:val="超伦表头"/>
    <w:basedOn w:val="21"/>
    <w:qFormat/>
    <w:uiPriority w:val="0"/>
    <w:pPr>
      <w:jc w:val="center"/>
    </w:pPr>
    <w:rPr>
      <w:rFonts w:ascii="Times New Roman" w:hAnsi="Times New Roman" w:eastAsia="宋体" w:cs="Arial"/>
      <w:b/>
      <w:sz w:val="21"/>
      <w:szCs w:val="24"/>
    </w:rPr>
  </w:style>
  <w:style w:type="paragraph" w:customStyle="1" w:styleId="1441">
    <w:name w:val="font13"/>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442">
    <w:name w:val="WW-正文缩进"/>
    <w:basedOn w:val="1"/>
    <w:qFormat/>
    <w:uiPriority w:val="0"/>
    <w:pPr>
      <w:suppressAutoHyphens/>
      <w:ind w:firstLine="420"/>
    </w:pPr>
    <w:rPr>
      <w:kern w:val="1"/>
      <w:sz w:val="21"/>
      <w:szCs w:val="20"/>
      <w:lang w:eastAsia="ar-SA"/>
    </w:rPr>
  </w:style>
  <w:style w:type="paragraph" w:customStyle="1" w:styleId="1443">
    <w:name w:val="样式42"/>
    <w:basedOn w:val="1444"/>
    <w:qFormat/>
    <w:uiPriority w:val="0"/>
    <w:rPr>
      <w:rFonts w:ascii="宋体" w:hAnsi="宋体"/>
    </w:rPr>
  </w:style>
  <w:style w:type="paragraph" w:customStyle="1" w:styleId="1444">
    <w:name w:val="样式99"/>
    <w:basedOn w:val="80"/>
    <w:qFormat/>
    <w:uiPriority w:val="0"/>
    <w:pPr>
      <w:widowControl w:val="0"/>
      <w:shd w:val="clear" w:color="auto" w:fill="FFFFFF"/>
      <w:adjustRightInd w:val="0"/>
      <w:snapToGrid w:val="0"/>
      <w:spacing w:before="156" w:beforeLines="50" w:beforeAutospacing="0" w:after="156" w:afterLines="50" w:afterAutospacing="0" w:line="360" w:lineRule="auto"/>
      <w:ind w:firstLine="480" w:firstLineChars="200"/>
      <w:jc w:val="both"/>
    </w:pPr>
    <w:rPr>
      <w:rFonts w:ascii="Times New Roman" w:hAnsi="Times New Roman" w:cs="Times New Roman"/>
      <w:kern w:val="2"/>
      <w:shd w:val="clear" w:color="auto" w:fill="FFFFFF"/>
    </w:rPr>
  </w:style>
  <w:style w:type="paragraph" w:customStyle="1" w:styleId="1445">
    <w:name w:val="font16"/>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446">
    <w:name w:val=" Char Char Char Char Char Char1 Char Char Char Char Char Char Char Char Char Char"/>
    <w:basedOn w:val="1"/>
    <w:qFormat/>
    <w:uiPriority w:val="0"/>
    <w:pPr>
      <w:spacing w:line="360" w:lineRule="auto"/>
      <w:ind w:firstLine="200" w:firstLineChars="200"/>
    </w:pPr>
    <w:rPr>
      <w:rFonts w:ascii="宋体" w:hAnsi="宋体" w:cs="宋体"/>
    </w:rPr>
  </w:style>
  <w:style w:type="paragraph" w:customStyle="1" w:styleId="1447">
    <w:name w:val="font17"/>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1448">
    <w:name w:val="font18"/>
    <w:basedOn w:val="1"/>
    <w:qFormat/>
    <w:uiPriority w:val="0"/>
    <w:pPr>
      <w:widowControl/>
      <w:spacing w:before="100" w:beforeAutospacing="1" w:after="100" w:afterAutospacing="1"/>
      <w:jc w:val="left"/>
    </w:pPr>
    <w:rPr>
      <w:rFonts w:ascii="黑体" w:hAnsi="黑体" w:eastAsia="黑体" w:cs="宋体"/>
      <w:kern w:val="0"/>
      <w:sz w:val="18"/>
      <w:szCs w:val="18"/>
    </w:rPr>
  </w:style>
  <w:style w:type="paragraph" w:customStyle="1" w:styleId="1449">
    <w:name w:val=" Char Char8 Char Char"/>
    <w:basedOn w:val="1"/>
    <w:qFormat/>
    <w:uiPriority w:val="0"/>
    <w:pPr>
      <w:spacing w:line="360" w:lineRule="auto"/>
      <w:ind w:firstLine="200" w:firstLineChars="200"/>
    </w:pPr>
    <w:rPr>
      <w:rFonts w:ascii="宋体" w:hAnsi="宋体" w:cs="宋体"/>
    </w:rPr>
  </w:style>
  <w:style w:type="paragraph" w:customStyle="1" w:styleId="1450">
    <w:name w:val="font19"/>
    <w:basedOn w:val="1"/>
    <w:qFormat/>
    <w:uiPriority w:val="0"/>
    <w:pPr>
      <w:widowControl/>
      <w:spacing w:before="100" w:beforeAutospacing="1" w:after="100" w:afterAutospacing="1"/>
      <w:jc w:val="left"/>
    </w:pPr>
    <w:rPr>
      <w:rFonts w:ascii="宋体" w:hAnsi="宋体" w:cs="宋体"/>
      <w:b/>
      <w:bCs/>
      <w:color w:val="000000"/>
      <w:kern w:val="0"/>
      <w:sz w:val="18"/>
      <w:szCs w:val="18"/>
    </w:rPr>
  </w:style>
  <w:style w:type="paragraph" w:customStyle="1" w:styleId="1451">
    <w:name w:val="文档结构图1"/>
    <w:basedOn w:val="1"/>
    <w:qFormat/>
    <w:uiPriority w:val="0"/>
    <w:pPr>
      <w:shd w:val="clear" w:color="auto" w:fill="000080"/>
      <w:suppressAutoHyphens/>
    </w:pPr>
    <w:rPr>
      <w:rFonts w:ascii="宋体" w:hAnsi="宋体"/>
      <w:kern w:val="1"/>
      <w:sz w:val="28"/>
      <w:szCs w:val="20"/>
      <w:lang w:eastAsia="ar-SA"/>
    </w:rPr>
  </w:style>
  <w:style w:type="paragraph" w:customStyle="1" w:styleId="1452">
    <w:name w:val="font20"/>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453">
    <w:name w:val="font21"/>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454">
    <w:name w:val="xl169"/>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黑体" w:hAnsi="黑体" w:eastAsia="黑体" w:cs="宋体"/>
      <w:kern w:val="0"/>
      <w:sz w:val="18"/>
      <w:szCs w:val="18"/>
    </w:rPr>
  </w:style>
  <w:style w:type="paragraph" w:customStyle="1" w:styleId="1455">
    <w:name w:val=" Char Char16 Char Char Char Char Char Char Char Char Char Char"/>
    <w:basedOn w:val="1"/>
    <w:qFormat/>
    <w:uiPriority w:val="0"/>
    <w:pPr>
      <w:spacing w:line="360" w:lineRule="auto"/>
      <w:ind w:firstLine="200" w:firstLineChars="200"/>
    </w:pPr>
    <w:rPr>
      <w:sz w:val="21"/>
    </w:rPr>
  </w:style>
  <w:style w:type="paragraph" w:customStyle="1" w:styleId="1456">
    <w:name w:val="框内容"/>
    <w:basedOn w:val="32"/>
    <w:qFormat/>
    <w:uiPriority w:val="0"/>
    <w:pPr>
      <w:suppressAutoHyphens/>
      <w:spacing w:line="480" w:lineRule="exact"/>
    </w:pPr>
    <w:rPr>
      <w:spacing w:val="20"/>
      <w:kern w:val="1"/>
      <w:sz w:val="28"/>
      <w:szCs w:val="20"/>
      <w:lang w:val="en-US" w:eastAsia="ar-SA"/>
    </w:rPr>
  </w:style>
  <w:style w:type="paragraph" w:customStyle="1" w:styleId="1457">
    <w:name w:val="xl146"/>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黑体" w:hAnsi="黑体" w:eastAsia="黑体" w:cs="宋体"/>
      <w:b/>
      <w:bCs/>
      <w:kern w:val="0"/>
      <w:sz w:val="18"/>
      <w:szCs w:val="18"/>
    </w:rPr>
  </w:style>
  <w:style w:type="paragraph" w:customStyle="1" w:styleId="1458">
    <w:name w:val="xl147"/>
    <w:basedOn w:val="1"/>
    <w:qFormat/>
    <w:uiPriority w:val="0"/>
    <w:pPr>
      <w:widowControl/>
      <w:pBdr>
        <w:top w:val="single" w:color="auto" w:sz="4" w:space="0"/>
        <w:left w:val="single" w:color="auto" w:sz="8" w:space="0"/>
        <w:bottom w:val="single" w:color="auto" w:sz="4" w:space="0"/>
        <w:righ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459">
    <w:name w:val="文本块1"/>
    <w:basedOn w:val="1"/>
    <w:qFormat/>
    <w:uiPriority w:val="0"/>
    <w:pPr>
      <w:suppressAutoHyphens/>
      <w:spacing w:line="260" w:lineRule="exact"/>
      <w:ind w:left="-94" w:right="-55" w:hanging="28"/>
      <w:jc w:val="center"/>
    </w:pPr>
    <w:rPr>
      <w:rFonts w:ascii="宋体" w:hAnsi="宋体"/>
      <w:kern w:val="1"/>
      <w:sz w:val="20"/>
      <w:szCs w:val="18"/>
      <w:lang w:eastAsia="ar-SA"/>
    </w:rPr>
  </w:style>
  <w:style w:type="paragraph" w:customStyle="1" w:styleId="1460">
    <w:name w:val="xl153"/>
    <w:basedOn w:val="1"/>
    <w:qFormat/>
    <w:uiPriority w:val="0"/>
    <w:pPr>
      <w:widowControl/>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461">
    <w:name w:val="xl15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462">
    <w:name w:val="xl218"/>
    <w:basedOn w:val="1"/>
    <w:qFormat/>
    <w:uiPriority w:val="0"/>
    <w:pPr>
      <w:widowControl/>
      <w:pBdr>
        <w:left w:val="single" w:color="auto" w:sz="8" w:space="0"/>
        <w:bottom w:val="single" w:color="auto" w:sz="4" w:space="0"/>
        <w:right w:val="single" w:color="auto" w:sz="4" w:space="0"/>
      </w:pBdr>
      <w:shd w:val="clear" w:color="000000" w:fill="FFFFFF"/>
      <w:spacing w:before="100" w:beforeAutospacing="1" w:after="100" w:afterAutospacing="1"/>
      <w:jc w:val="left"/>
      <w:textAlignment w:val="center"/>
    </w:pPr>
    <w:rPr>
      <w:rFonts w:ascii="黑体" w:hAnsi="黑体" w:eastAsia="黑体" w:cs="宋体"/>
      <w:kern w:val="0"/>
      <w:sz w:val="18"/>
      <w:szCs w:val="18"/>
    </w:rPr>
  </w:style>
  <w:style w:type="paragraph" w:customStyle="1" w:styleId="1463">
    <w:name w:val="xl159"/>
    <w:basedOn w:val="1"/>
    <w:qFormat/>
    <w:uiPriority w:val="0"/>
    <w:pPr>
      <w:widowControl/>
      <w:pBdr>
        <w:top w:val="single" w:color="auto" w:sz="4" w:space="0"/>
        <w:left w:val="single" w:color="auto" w:sz="8" w:space="0"/>
        <w:righ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464">
    <w:name w:val="xl160"/>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465">
    <w:name w:val="xl165"/>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黑体" w:hAnsi="黑体" w:eastAsia="黑体" w:cs="宋体"/>
      <w:kern w:val="0"/>
      <w:sz w:val="18"/>
      <w:szCs w:val="18"/>
    </w:rPr>
  </w:style>
  <w:style w:type="paragraph" w:customStyle="1" w:styleId="1466">
    <w:name w:val="xl174"/>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黑体" w:hAnsi="黑体" w:eastAsia="黑体" w:cs="宋体"/>
      <w:kern w:val="0"/>
      <w:sz w:val="18"/>
      <w:szCs w:val="18"/>
    </w:rPr>
  </w:style>
  <w:style w:type="paragraph" w:customStyle="1" w:styleId="1467">
    <w:name w:val="xl178"/>
    <w:basedOn w:val="1"/>
    <w:qFormat/>
    <w:uiPriority w:val="0"/>
    <w:pPr>
      <w:widowControl/>
      <w:pBdr>
        <w:top w:val="single" w:color="auto" w:sz="8" w:space="0"/>
        <w:left w:val="single" w:color="auto" w:sz="4" w:space="0"/>
        <w:bottom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468">
    <w:name w:val="xl183"/>
    <w:basedOn w:val="1"/>
    <w:qFormat/>
    <w:uiPriority w:val="0"/>
    <w:pPr>
      <w:widowControl/>
      <w:pBdr>
        <w:bottom w:val="single" w:color="auto" w:sz="4" w:space="0"/>
        <w:right w:val="single" w:color="auto" w:sz="8" w:space="0"/>
      </w:pBdr>
      <w:shd w:val="clear" w:color="000000" w:fill="FFFFFF"/>
      <w:spacing w:before="100" w:beforeAutospacing="1" w:after="100" w:afterAutospacing="1"/>
      <w:jc w:val="center"/>
      <w:textAlignment w:val="center"/>
    </w:pPr>
    <w:rPr>
      <w:rFonts w:ascii="黑体" w:hAnsi="黑体" w:eastAsia="黑体" w:cs="宋体"/>
      <w:kern w:val="0"/>
      <w:sz w:val="20"/>
      <w:szCs w:val="20"/>
    </w:rPr>
  </w:style>
  <w:style w:type="paragraph" w:customStyle="1" w:styleId="1469">
    <w:name w:val="xl185"/>
    <w:basedOn w:val="1"/>
    <w:qFormat/>
    <w:uiPriority w:val="0"/>
    <w:pPr>
      <w:widowControl/>
      <w:pBdr>
        <w:top w:val="single" w:color="auto" w:sz="4" w:space="0"/>
        <w:bottom w:val="single" w:color="auto" w:sz="8"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470">
    <w:name w:val="xl186"/>
    <w:basedOn w:val="1"/>
    <w:qFormat/>
    <w:uiPriority w:val="0"/>
    <w:pPr>
      <w:widowControl/>
      <w:pBdr>
        <w:top w:val="single" w:color="auto" w:sz="8" w:space="0"/>
        <w:left w:val="single" w:color="auto" w:sz="8" w:space="0"/>
        <w:bottom w:val="single" w:color="auto" w:sz="4" w:space="0"/>
        <w:righ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471">
    <w:name w:val="xl189"/>
    <w:basedOn w:val="1"/>
    <w:qFormat/>
    <w:uiPriority w:val="0"/>
    <w:pPr>
      <w:widowControl/>
      <w:pBdr>
        <w:top w:val="single" w:color="auto" w:sz="8" w:space="0"/>
        <w:left w:val="single" w:color="auto" w:sz="4" w:space="0"/>
        <w:bottom w:val="single" w:color="auto" w:sz="4" w:space="0"/>
      </w:pBdr>
      <w:shd w:val="clear" w:color="000000" w:fill="FFFFFF"/>
      <w:spacing w:before="100" w:beforeAutospacing="1" w:after="100" w:afterAutospacing="1"/>
      <w:jc w:val="right"/>
      <w:textAlignment w:val="center"/>
    </w:pPr>
    <w:rPr>
      <w:rFonts w:ascii="黑体" w:hAnsi="黑体" w:eastAsia="黑体" w:cs="宋体"/>
      <w:kern w:val="0"/>
      <w:sz w:val="18"/>
      <w:szCs w:val="18"/>
    </w:rPr>
  </w:style>
  <w:style w:type="paragraph" w:customStyle="1" w:styleId="1472">
    <w:name w:val="xl193"/>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473">
    <w:name w:val="xl198"/>
    <w:basedOn w:val="1"/>
    <w:qFormat/>
    <w:uiPriority w:val="0"/>
    <w:pPr>
      <w:widowControl/>
      <w:pBdr>
        <w:top w:val="single" w:color="auto" w:sz="4" w:space="0"/>
        <w:bottom w:val="single" w:color="auto" w:sz="4" w:space="0"/>
      </w:pBdr>
      <w:shd w:val="clear" w:color="000000" w:fill="FFFF00"/>
      <w:spacing w:before="100" w:beforeAutospacing="1" w:after="100" w:afterAutospacing="1"/>
      <w:jc w:val="right"/>
      <w:textAlignment w:val="center"/>
    </w:pPr>
    <w:rPr>
      <w:rFonts w:ascii="黑体" w:hAnsi="黑体" w:eastAsia="黑体" w:cs="宋体"/>
      <w:kern w:val="0"/>
      <w:sz w:val="18"/>
      <w:szCs w:val="18"/>
    </w:rPr>
  </w:style>
  <w:style w:type="paragraph" w:customStyle="1" w:styleId="1474">
    <w:name w:val="xl199"/>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黑体" w:hAnsi="黑体" w:eastAsia="黑体" w:cs="宋体"/>
      <w:kern w:val="0"/>
      <w:sz w:val="18"/>
      <w:szCs w:val="18"/>
    </w:rPr>
  </w:style>
  <w:style w:type="paragraph" w:customStyle="1" w:styleId="1475">
    <w:name w:val="xl20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黑体" w:hAnsi="黑体" w:eastAsia="黑体" w:cs="宋体"/>
      <w:kern w:val="0"/>
      <w:sz w:val="18"/>
      <w:szCs w:val="18"/>
    </w:rPr>
  </w:style>
  <w:style w:type="paragraph" w:customStyle="1" w:styleId="1476">
    <w:name w:val="xl2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黑体" w:eastAsia="黑体" w:cs="宋体"/>
      <w:kern w:val="0"/>
      <w:sz w:val="18"/>
      <w:szCs w:val="18"/>
    </w:rPr>
  </w:style>
  <w:style w:type="paragraph" w:customStyle="1" w:styleId="1477">
    <w:name w:val="xl20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黑体" w:hAnsi="黑体" w:eastAsia="黑体" w:cs="宋体"/>
      <w:kern w:val="0"/>
      <w:sz w:val="18"/>
      <w:szCs w:val="18"/>
    </w:rPr>
  </w:style>
  <w:style w:type="paragraph" w:customStyle="1" w:styleId="1478">
    <w:name w:val="xl206"/>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textAlignment w:val="center"/>
    </w:pPr>
    <w:rPr>
      <w:rFonts w:ascii="黑体" w:hAnsi="黑体" w:eastAsia="黑体" w:cs="宋体"/>
      <w:kern w:val="0"/>
      <w:sz w:val="18"/>
      <w:szCs w:val="18"/>
    </w:rPr>
  </w:style>
  <w:style w:type="paragraph" w:customStyle="1" w:styleId="1479">
    <w:name w:val="xl209"/>
    <w:basedOn w:val="1"/>
    <w:qFormat/>
    <w:uiPriority w:val="0"/>
    <w:pPr>
      <w:widowControl/>
      <w:spacing w:before="100" w:beforeAutospacing="1" w:after="100" w:afterAutospacing="1"/>
      <w:jc w:val="center"/>
      <w:textAlignment w:val="center"/>
    </w:pPr>
    <w:rPr>
      <w:rFonts w:ascii="仿宋_GB2312" w:hAnsi="宋体" w:eastAsia="仿宋_GB2312" w:cs="宋体"/>
      <w:kern w:val="0"/>
      <w:sz w:val="20"/>
      <w:szCs w:val="20"/>
    </w:rPr>
  </w:style>
  <w:style w:type="paragraph" w:customStyle="1" w:styleId="1480">
    <w:name w:val="xl222"/>
    <w:basedOn w:val="1"/>
    <w:qFormat/>
    <w:uiPriority w:val="0"/>
    <w:pPr>
      <w:widowControl/>
      <w:pBdr>
        <w:top w:val="single" w:color="auto" w:sz="4" w:space="0"/>
        <w:bottom w:val="single" w:color="auto" w:sz="8" w:space="0"/>
      </w:pBdr>
      <w:shd w:val="clear" w:color="000000" w:fill="FFFFFF"/>
      <w:spacing w:before="100" w:beforeAutospacing="1" w:after="100" w:afterAutospacing="1"/>
      <w:jc w:val="left"/>
      <w:textAlignment w:val="center"/>
    </w:pPr>
    <w:rPr>
      <w:rFonts w:ascii="黑体" w:hAnsi="黑体" w:eastAsia="黑体" w:cs="宋体"/>
      <w:kern w:val="0"/>
      <w:sz w:val="18"/>
      <w:szCs w:val="18"/>
    </w:rPr>
  </w:style>
  <w:style w:type="paragraph" w:customStyle="1" w:styleId="1481">
    <w:name w:val="xl226"/>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482">
    <w:name w:val="xl227"/>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textAlignment w:val="center"/>
    </w:pPr>
    <w:rPr>
      <w:rFonts w:ascii="黑体" w:hAnsi="黑体" w:eastAsia="黑体" w:cs="宋体"/>
      <w:kern w:val="0"/>
      <w:sz w:val="18"/>
      <w:szCs w:val="18"/>
    </w:rPr>
  </w:style>
  <w:style w:type="paragraph" w:customStyle="1" w:styleId="1483">
    <w:name w:val="xl228"/>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黑体" w:hAnsi="黑体" w:eastAsia="黑体" w:cs="宋体"/>
      <w:kern w:val="0"/>
      <w:sz w:val="18"/>
      <w:szCs w:val="18"/>
    </w:rPr>
  </w:style>
  <w:style w:type="paragraph" w:customStyle="1" w:styleId="1484">
    <w:name w:val="xl229"/>
    <w:basedOn w:val="1"/>
    <w:qFormat/>
    <w:uiPriority w:val="0"/>
    <w:pPr>
      <w:widowControl/>
      <w:pBdr>
        <w:top w:val="single" w:color="auto" w:sz="4" w:space="0"/>
        <w:bottom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485">
    <w:name w:val="xl230"/>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1486">
    <w:name w:val="xl231"/>
    <w:basedOn w:val="1"/>
    <w:qFormat/>
    <w:uiPriority w:val="0"/>
    <w:pPr>
      <w:widowControl/>
      <w:pBdr>
        <w:top w:val="single" w:color="auto" w:sz="4" w:space="0"/>
        <w:bottom w:val="single" w:color="auto" w:sz="4"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1487">
    <w:name w:val="xl232"/>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textAlignment w:val="center"/>
    </w:pPr>
    <w:rPr>
      <w:rFonts w:ascii="黑体" w:hAnsi="黑体" w:eastAsia="黑体" w:cs="宋体"/>
      <w:b/>
      <w:bCs/>
      <w:kern w:val="0"/>
      <w:sz w:val="18"/>
      <w:szCs w:val="18"/>
    </w:rPr>
  </w:style>
  <w:style w:type="paragraph" w:customStyle="1" w:styleId="1488">
    <w:name w:val="xl233"/>
    <w:basedOn w:val="1"/>
    <w:qFormat/>
    <w:uiPriority w:val="0"/>
    <w:pPr>
      <w:widowControl/>
      <w:pBdr>
        <w:top w:val="single" w:color="auto" w:sz="4" w:space="0"/>
        <w:bottom w:val="single" w:color="auto" w:sz="4" w:space="0"/>
      </w:pBdr>
      <w:shd w:val="clear" w:color="000000" w:fill="FFFFFF"/>
      <w:spacing w:before="100" w:beforeAutospacing="1" w:after="100" w:afterAutospacing="1"/>
      <w:jc w:val="left"/>
      <w:textAlignment w:val="center"/>
    </w:pPr>
    <w:rPr>
      <w:rFonts w:ascii="黑体" w:hAnsi="黑体" w:eastAsia="黑体" w:cs="宋体"/>
      <w:b/>
      <w:bCs/>
      <w:kern w:val="0"/>
      <w:sz w:val="18"/>
      <w:szCs w:val="18"/>
    </w:rPr>
  </w:style>
  <w:style w:type="paragraph" w:customStyle="1" w:styleId="1489">
    <w:name w:val="xl234"/>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textAlignment w:val="center"/>
    </w:pPr>
    <w:rPr>
      <w:rFonts w:ascii="宋体" w:hAnsi="宋体" w:cs="宋体"/>
      <w:b/>
      <w:bCs/>
      <w:kern w:val="0"/>
      <w:sz w:val="18"/>
      <w:szCs w:val="18"/>
    </w:rPr>
  </w:style>
  <w:style w:type="paragraph" w:customStyle="1" w:styleId="1490">
    <w:name w:val="xl235"/>
    <w:basedOn w:val="1"/>
    <w:qFormat/>
    <w:uiPriority w:val="0"/>
    <w:pPr>
      <w:widowControl/>
      <w:pBdr>
        <w:top w:val="single" w:color="auto" w:sz="4" w:space="0"/>
        <w:bottom w:val="single" w:color="auto" w:sz="4" w:space="0"/>
      </w:pBdr>
      <w:shd w:val="clear" w:color="000000" w:fill="FFFFFF"/>
      <w:spacing w:before="100" w:beforeAutospacing="1" w:after="100" w:afterAutospacing="1"/>
      <w:jc w:val="left"/>
      <w:textAlignment w:val="center"/>
    </w:pPr>
    <w:rPr>
      <w:rFonts w:ascii="宋体" w:hAnsi="宋体" w:cs="宋体"/>
      <w:b/>
      <w:bCs/>
      <w:kern w:val="0"/>
      <w:sz w:val="18"/>
      <w:szCs w:val="18"/>
    </w:rPr>
  </w:style>
  <w:style w:type="paragraph" w:customStyle="1" w:styleId="1491">
    <w:name w:val="xl236"/>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b/>
      <w:bCs/>
      <w:kern w:val="0"/>
      <w:sz w:val="18"/>
      <w:szCs w:val="18"/>
    </w:rPr>
  </w:style>
  <w:style w:type="paragraph" w:customStyle="1" w:styleId="1492">
    <w:name w:val="xl237"/>
    <w:basedOn w:val="1"/>
    <w:qFormat/>
    <w:uiPriority w:val="0"/>
    <w:pPr>
      <w:widowControl/>
      <w:pBdr>
        <w:top w:val="single" w:color="auto" w:sz="4" w:space="0"/>
        <w:bottom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493">
    <w:name w:val="xl238"/>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黑体" w:hAnsi="黑体" w:eastAsia="黑体" w:cs="宋体"/>
      <w:kern w:val="0"/>
      <w:sz w:val="18"/>
      <w:szCs w:val="18"/>
    </w:rPr>
  </w:style>
  <w:style w:type="paragraph" w:customStyle="1" w:styleId="1494">
    <w:name w:val="xl23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黑体" w:hAnsi="黑体" w:eastAsia="黑体" w:cs="宋体"/>
      <w:kern w:val="0"/>
      <w:sz w:val="18"/>
      <w:szCs w:val="18"/>
    </w:rPr>
  </w:style>
  <w:style w:type="paragraph" w:customStyle="1" w:styleId="1495">
    <w:name w:val="xl240"/>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496">
    <w:name w:val="xl241"/>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497">
    <w:name w:val="xl242"/>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1498">
    <w:name w:val="xl243"/>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1499">
    <w:name w:val="xl244"/>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textAlignment w:val="center"/>
    </w:pPr>
    <w:rPr>
      <w:rFonts w:ascii="宋体" w:hAnsi="宋体" w:cs="宋体"/>
      <w:kern w:val="0"/>
      <w:sz w:val="18"/>
      <w:szCs w:val="18"/>
    </w:rPr>
  </w:style>
  <w:style w:type="paragraph" w:customStyle="1" w:styleId="1500">
    <w:name w:val="xl245"/>
    <w:basedOn w:val="1"/>
    <w:qFormat/>
    <w:uiPriority w:val="0"/>
    <w:pPr>
      <w:widowControl/>
      <w:pBdr>
        <w:top w:val="single" w:color="auto" w:sz="4" w:space="0"/>
        <w:bottom w:val="single" w:color="auto" w:sz="4" w:space="0"/>
      </w:pBdr>
      <w:shd w:val="clear" w:color="000000" w:fill="FFFFFF"/>
      <w:spacing w:before="100" w:beforeAutospacing="1" w:after="100" w:afterAutospacing="1"/>
      <w:jc w:val="left"/>
      <w:textAlignment w:val="center"/>
    </w:pPr>
    <w:rPr>
      <w:rFonts w:ascii="宋体" w:hAnsi="宋体" w:cs="宋体"/>
      <w:kern w:val="0"/>
      <w:sz w:val="18"/>
      <w:szCs w:val="18"/>
    </w:rPr>
  </w:style>
  <w:style w:type="paragraph" w:customStyle="1" w:styleId="1501">
    <w:name w:val="xl246"/>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18"/>
      <w:szCs w:val="18"/>
    </w:rPr>
  </w:style>
  <w:style w:type="paragraph" w:customStyle="1" w:styleId="1502">
    <w:name w:val="xl247"/>
    <w:basedOn w:val="1"/>
    <w:qFormat/>
    <w:uiPriority w:val="0"/>
    <w:pPr>
      <w:widowControl/>
      <w:pBdr>
        <w:left w:val="single" w:color="auto" w:sz="4" w:space="0"/>
        <w:bottom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503">
    <w:name w:val="xl248"/>
    <w:basedOn w:val="1"/>
    <w:qFormat/>
    <w:uiPriority w:val="0"/>
    <w:pPr>
      <w:widowControl/>
      <w:pBdr>
        <w:bottom w:val="single" w:color="auto" w:sz="4" w:space="0"/>
        <w:righ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504">
    <w:name w:val="xl249"/>
    <w:basedOn w:val="1"/>
    <w:qFormat/>
    <w:uiPriority w:val="0"/>
    <w:pPr>
      <w:widowControl/>
      <w:pBdr>
        <w:top w:val="single" w:color="auto" w:sz="8" w:space="0"/>
        <w:left w:val="single" w:color="auto" w:sz="4" w:space="0"/>
        <w:bottom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505">
    <w:name w:val="xl250"/>
    <w:basedOn w:val="1"/>
    <w:qFormat/>
    <w:uiPriority w:val="0"/>
    <w:pPr>
      <w:widowControl/>
      <w:pBdr>
        <w:top w:val="single" w:color="auto" w:sz="8" w:space="0"/>
        <w:bottom w:val="single" w:color="auto" w:sz="4" w:space="0"/>
        <w:righ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506">
    <w:name w:val="xl251"/>
    <w:basedOn w:val="1"/>
    <w:qFormat/>
    <w:uiPriority w:val="0"/>
    <w:pPr>
      <w:widowControl/>
      <w:pBdr>
        <w:top w:val="single" w:color="auto" w:sz="4" w:space="0"/>
        <w:lef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507">
    <w:name w:val="xl252"/>
    <w:basedOn w:val="1"/>
    <w:qFormat/>
    <w:uiPriority w:val="0"/>
    <w:pPr>
      <w:widowControl/>
      <w:pBdr>
        <w:top w:val="single" w:color="auto" w:sz="4" w:space="0"/>
        <w:righ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508">
    <w:name w:val="xl253"/>
    <w:basedOn w:val="1"/>
    <w:qFormat/>
    <w:uiPriority w:val="0"/>
    <w:pPr>
      <w:widowControl/>
      <w:pBdr>
        <w:top w:val="single" w:color="auto" w:sz="8" w:space="0"/>
        <w:left w:val="single" w:color="auto" w:sz="4" w:space="0"/>
        <w:righ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509">
    <w:name w:val="xl254"/>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510">
    <w:name w:val="xl25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1511">
    <w:name w:val="xl256"/>
    <w:basedOn w:val="1"/>
    <w:qFormat/>
    <w:uiPriority w:val="0"/>
    <w:pPr>
      <w:widowControl/>
      <w:pBdr>
        <w:top w:val="single" w:color="auto" w:sz="8" w:space="0"/>
        <w:bottom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512">
    <w:name w:val="xl257"/>
    <w:basedOn w:val="1"/>
    <w:qFormat/>
    <w:uiPriority w:val="0"/>
    <w:pPr>
      <w:widowControl/>
      <w:pBdr>
        <w:top w:val="single" w:color="auto" w:sz="8" w:space="0"/>
        <w:bottom w:val="single" w:color="auto" w:sz="4" w:space="0"/>
        <w:righ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513">
    <w:name w:val="xl258"/>
    <w:basedOn w:val="1"/>
    <w:qFormat/>
    <w:uiPriority w:val="0"/>
    <w:pPr>
      <w:widowControl/>
      <w:pBdr>
        <w:top w:val="single" w:color="auto" w:sz="8" w:space="0"/>
        <w:lef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514">
    <w:name w:val="xl259"/>
    <w:basedOn w:val="1"/>
    <w:qFormat/>
    <w:uiPriority w:val="0"/>
    <w:pPr>
      <w:widowControl/>
      <w:pBdr>
        <w:lef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515">
    <w:name w:val="xl26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rPr>
  </w:style>
  <w:style w:type="paragraph" w:customStyle="1" w:styleId="1516">
    <w:name w:val="xl261"/>
    <w:basedOn w:val="1"/>
    <w:qFormat/>
    <w:uiPriority w:val="0"/>
    <w:pPr>
      <w:widowControl/>
      <w:pBdr>
        <w:top w:val="single" w:color="auto" w:sz="8" w:space="0"/>
        <w:left w:val="single" w:color="auto" w:sz="8" w:space="0"/>
        <w:righ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517">
    <w:name w:val="xl262"/>
    <w:basedOn w:val="1"/>
    <w:qFormat/>
    <w:uiPriority w:val="0"/>
    <w:pPr>
      <w:widowControl/>
      <w:pBdr>
        <w:left w:val="single" w:color="auto" w:sz="8" w:space="0"/>
        <w:righ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518">
    <w:name w:val="xl263"/>
    <w:basedOn w:val="1"/>
    <w:qFormat/>
    <w:uiPriority w:val="0"/>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1519">
    <w:name w:val="xl264"/>
    <w:basedOn w:val="1"/>
    <w:qFormat/>
    <w:uiPriority w:val="0"/>
    <w:pPr>
      <w:widowControl/>
      <w:pBdr>
        <w:top w:val="single" w:color="auto" w:sz="8" w:space="0"/>
        <w:bottom w:val="single" w:color="auto" w:sz="4" w:space="0"/>
        <w:right w:val="single" w:color="auto" w:sz="8"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1520">
    <w:name w:val="xl266"/>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textAlignment w:val="center"/>
    </w:pPr>
    <w:rPr>
      <w:rFonts w:ascii="宋体" w:hAnsi="宋体" w:cs="宋体"/>
      <w:kern w:val="0"/>
    </w:rPr>
  </w:style>
  <w:style w:type="paragraph" w:customStyle="1" w:styleId="1521">
    <w:name w:val="xl267"/>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textAlignment w:val="center"/>
    </w:pPr>
    <w:rPr>
      <w:rFonts w:ascii="黑体" w:hAnsi="黑体" w:eastAsia="黑体" w:cs="宋体"/>
      <w:b/>
      <w:bCs/>
      <w:kern w:val="0"/>
      <w:sz w:val="18"/>
      <w:szCs w:val="18"/>
    </w:rPr>
  </w:style>
  <w:style w:type="paragraph" w:customStyle="1" w:styleId="1522">
    <w:name w:val="xl268"/>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黑体" w:hAnsi="黑体" w:eastAsia="黑体" w:cs="宋体"/>
      <w:b/>
      <w:bCs/>
      <w:kern w:val="0"/>
      <w:sz w:val="18"/>
      <w:szCs w:val="18"/>
    </w:rPr>
  </w:style>
  <w:style w:type="paragraph" w:customStyle="1" w:styleId="1523">
    <w:name w:val="xl270"/>
    <w:basedOn w:val="1"/>
    <w:qFormat/>
    <w:uiPriority w:val="0"/>
    <w:pPr>
      <w:widowControl/>
      <w:pBdr>
        <w:top w:val="single" w:color="auto" w:sz="4" w:space="0"/>
        <w:left w:val="single" w:color="auto" w:sz="4" w:space="0"/>
        <w:bottom w:val="single" w:color="auto" w:sz="8" w:space="0"/>
      </w:pBdr>
      <w:shd w:val="clear" w:color="000000" w:fill="FFFFFF"/>
      <w:spacing w:before="100" w:beforeAutospacing="1" w:after="100" w:afterAutospacing="1"/>
      <w:jc w:val="left"/>
      <w:textAlignment w:val="center"/>
    </w:pPr>
    <w:rPr>
      <w:rFonts w:ascii="宋体" w:hAnsi="宋体" w:cs="宋体"/>
      <w:b/>
      <w:bCs/>
      <w:kern w:val="0"/>
      <w:sz w:val="18"/>
      <w:szCs w:val="18"/>
    </w:rPr>
  </w:style>
  <w:style w:type="paragraph" w:customStyle="1" w:styleId="1524">
    <w:name w:val="xl271"/>
    <w:basedOn w:val="1"/>
    <w:qFormat/>
    <w:uiPriority w:val="0"/>
    <w:pPr>
      <w:widowControl/>
      <w:pBdr>
        <w:top w:val="single" w:color="auto" w:sz="4" w:space="0"/>
        <w:bottom w:val="single" w:color="auto" w:sz="8" w:space="0"/>
      </w:pBdr>
      <w:shd w:val="clear" w:color="000000" w:fill="FFFFFF"/>
      <w:spacing w:before="100" w:beforeAutospacing="1" w:after="100" w:afterAutospacing="1"/>
      <w:jc w:val="left"/>
      <w:textAlignment w:val="center"/>
    </w:pPr>
    <w:rPr>
      <w:rFonts w:ascii="宋体" w:hAnsi="宋体" w:cs="宋体"/>
      <w:b/>
      <w:bCs/>
      <w:kern w:val="0"/>
      <w:sz w:val="18"/>
      <w:szCs w:val="18"/>
    </w:rPr>
  </w:style>
  <w:style w:type="paragraph" w:customStyle="1" w:styleId="1525">
    <w:name w:val="xl272"/>
    <w:basedOn w:val="1"/>
    <w:qFormat/>
    <w:uiPriority w:val="0"/>
    <w:pPr>
      <w:widowControl/>
      <w:pBdr>
        <w:top w:val="single" w:color="auto" w:sz="4" w:space="0"/>
        <w:bottom w:val="single" w:color="auto" w:sz="8" w:space="0"/>
        <w:right w:val="single" w:color="auto" w:sz="4" w:space="0"/>
      </w:pBdr>
      <w:shd w:val="clear" w:color="000000" w:fill="FFFFFF"/>
      <w:spacing w:before="100" w:beforeAutospacing="1" w:after="100" w:afterAutospacing="1"/>
      <w:jc w:val="left"/>
      <w:textAlignment w:val="center"/>
    </w:pPr>
    <w:rPr>
      <w:rFonts w:ascii="宋体" w:hAnsi="宋体" w:cs="宋体"/>
      <w:b/>
      <w:bCs/>
      <w:kern w:val="0"/>
      <w:sz w:val="18"/>
      <w:szCs w:val="18"/>
    </w:rPr>
  </w:style>
  <w:style w:type="paragraph" w:customStyle="1" w:styleId="1526">
    <w:name w:val="xl273"/>
    <w:basedOn w:val="1"/>
    <w:qFormat/>
    <w:uiPriority w:val="0"/>
    <w:pPr>
      <w:widowControl/>
      <w:pBdr>
        <w:left w:val="single" w:color="auto" w:sz="4" w:space="0"/>
        <w:bottom w:val="single" w:color="auto"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1527">
    <w:name w:val="xl274"/>
    <w:basedOn w:val="1"/>
    <w:qFormat/>
    <w:uiPriority w:val="0"/>
    <w:pPr>
      <w:widowControl/>
      <w:pBdr>
        <w:bottom w:val="single" w:color="auto"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1528">
    <w:name w:val="xl275"/>
    <w:basedOn w:val="1"/>
    <w:qFormat/>
    <w:uiPriority w:val="0"/>
    <w:pPr>
      <w:widowControl/>
      <w:pBdr>
        <w:left w:val="single" w:color="auto" w:sz="4" w:space="0"/>
        <w:bottom w:val="single" w:color="auto" w:sz="4" w:space="0"/>
      </w:pBdr>
      <w:shd w:val="clear" w:color="000000" w:fill="FFFFFF"/>
      <w:spacing w:before="100" w:beforeAutospacing="1" w:after="100" w:afterAutospacing="1"/>
      <w:jc w:val="left"/>
      <w:textAlignment w:val="center"/>
    </w:pPr>
    <w:rPr>
      <w:rFonts w:ascii="黑体" w:hAnsi="黑体" w:eastAsia="黑体" w:cs="宋体"/>
      <w:kern w:val="0"/>
      <w:sz w:val="18"/>
      <w:szCs w:val="18"/>
    </w:rPr>
  </w:style>
  <w:style w:type="paragraph" w:customStyle="1" w:styleId="1529">
    <w:name w:val="xl276"/>
    <w:basedOn w:val="1"/>
    <w:qFormat/>
    <w:uiPriority w:val="0"/>
    <w:pPr>
      <w:widowControl/>
      <w:pBdr>
        <w:bottom w:val="single" w:color="auto" w:sz="4" w:space="0"/>
        <w:right w:val="single" w:color="auto" w:sz="4" w:space="0"/>
      </w:pBdr>
      <w:shd w:val="clear" w:color="000000" w:fill="FFFFFF"/>
      <w:spacing w:before="100" w:beforeAutospacing="1" w:after="100" w:afterAutospacing="1"/>
      <w:jc w:val="left"/>
      <w:textAlignment w:val="center"/>
    </w:pPr>
    <w:rPr>
      <w:rFonts w:ascii="黑体" w:hAnsi="黑体" w:eastAsia="黑体" w:cs="宋体"/>
      <w:kern w:val="0"/>
      <w:sz w:val="18"/>
      <w:szCs w:val="18"/>
    </w:rPr>
  </w:style>
  <w:style w:type="paragraph" w:customStyle="1" w:styleId="1530">
    <w:name w:val="xl277"/>
    <w:basedOn w:val="1"/>
    <w:qFormat/>
    <w:uiPriority w:val="0"/>
    <w:pPr>
      <w:widowControl/>
      <w:pBdr>
        <w:left w:val="single" w:color="auto" w:sz="4" w:space="0"/>
        <w:bottom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531">
    <w:name w:val="xl278"/>
    <w:basedOn w:val="1"/>
    <w:qFormat/>
    <w:uiPriority w:val="0"/>
    <w:pPr>
      <w:widowControl/>
      <w:pBdr>
        <w:bottom w:val="single" w:color="auto" w:sz="4" w:space="0"/>
        <w:righ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532">
    <w:name w:val="xl279"/>
    <w:basedOn w:val="1"/>
    <w:qFormat/>
    <w:uiPriority w:val="0"/>
    <w:pPr>
      <w:widowControl/>
      <w:pBdr>
        <w:top w:val="single" w:color="auto" w:sz="4" w:space="0"/>
        <w:left w:val="single" w:color="auto" w:sz="4" w:space="0"/>
        <w:bottom w:val="single" w:color="auto" w:sz="8"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533">
    <w:name w:val="xl280"/>
    <w:basedOn w:val="1"/>
    <w:qFormat/>
    <w:uiPriority w:val="0"/>
    <w:pPr>
      <w:widowControl/>
      <w:pBdr>
        <w:top w:val="single" w:color="auto" w:sz="4" w:space="0"/>
        <w:bottom w:val="single" w:color="auto" w:sz="8" w:space="0"/>
        <w:right w:val="single" w:color="auto" w:sz="4" w:space="0"/>
      </w:pBdr>
      <w:shd w:val="clear" w:color="000000" w:fill="FFFFFF"/>
      <w:spacing w:before="100" w:beforeAutospacing="1" w:after="100" w:afterAutospacing="1"/>
      <w:jc w:val="center"/>
      <w:textAlignment w:val="center"/>
    </w:pPr>
    <w:rPr>
      <w:rFonts w:ascii="黑体" w:hAnsi="黑体" w:eastAsia="黑体" w:cs="宋体"/>
      <w:kern w:val="0"/>
      <w:sz w:val="18"/>
      <w:szCs w:val="18"/>
    </w:rPr>
  </w:style>
  <w:style w:type="paragraph" w:customStyle="1" w:styleId="1534">
    <w:name w:val="msolistparagraph"/>
    <w:basedOn w:val="1"/>
    <w:qFormat/>
    <w:uiPriority w:val="0"/>
    <w:pPr>
      <w:ind w:firstLine="420" w:firstLineChars="200"/>
    </w:pPr>
    <w:rPr>
      <w:sz w:val="21"/>
    </w:rPr>
  </w:style>
  <w:style w:type="paragraph" w:customStyle="1" w:styleId="1535">
    <w:name w:val="msonormal"/>
    <w:basedOn w:val="1"/>
    <w:qFormat/>
    <w:uiPriority w:val="0"/>
    <w:pPr>
      <w:widowControl/>
      <w:spacing w:before="100" w:beforeAutospacing="1" w:after="100" w:afterAutospacing="1"/>
      <w:jc w:val="left"/>
    </w:pPr>
    <w:rPr>
      <w:rFonts w:ascii="宋体" w:hAnsi="宋体" w:cs="宋体"/>
      <w:kern w:val="0"/>
    </w:rPr>
  </w:style>
  <w:style w:type="paragraph" w:customStyle="1" w:styleId="1536">
    <w:name w:val="_Style 2"/>
    <w:basedOn w:val="1"/>
    <w:next w:val="1"/>
    <w:semiHidden/>
    <w:qFormat/>
    <w:uiPriority w:val="0"/>
    <w:pPr>
      <w:widowControl/>
      <w:spacing w:line="360" w:lineRule="auto"/>
      <w:ind w:firstLine="200" w:firstLineChars="200"/>
      <w:jc w:val="left"/>
    </w:pPr>
    <w:rPr>
      <w:rFonts w:ascii="宋体" w:hAnsi="宋体" w:cs="宋体"/>
      <w:kern w:val="0"/>
    </w:rPr>
  </w:style>
  <w:style w:type="paragraph" w:customStyle="1" w:styleId="1537">
    <w:name w:val=" Char Char Char Char Char Char Char Char1 Char Char Char Char"/>
    <w:basedOn w:val="1"/>
    <w:qFormat/>
    <w:uiPriority w:val="0"/>
    <w:rPr>
      <w:sz w:val="21"/>
    </w:rPr>
  </w:style>
  <w:style w:type="paragraph" w:customStyle="1" w:styleId="1538">
    <w:name w:val="文章正文格式"/>
    <w:basedOn w:val="1"/>
    <w:qFormat/>
    <w:uiPriority w:val="0"/>
    <w:pPr>
      <w:snapToGrid w:val="0"/>
      <w:spacing w:line="360" w:lineRule="auto"/>
      <w:ind w:firstLine="510"/>
    </w:pPr>
    <w:rPr>
      <w:rFonts w:ascii="宋体"/>
      <w:spacing w:val="8"/>
      <w:szCs w:val="28"/>
    </w:rPr>
  </w:style>
  <w:style w:type="paragraph" w:customStyle="1" w:styleId="1539">
    <w:name w:val="表格体"/>
    <w:basedOn w:val="1"/>
    <w:qFormat/>
    <w:uiPriority w:val="0"/>
    <w:pPr>
      <w:adjustRightInd w:val="0"/>
      <w:snapToGrid w:val="0"/>
      <w:jc w:val="center"/>
    </w:pPr>
    <w:rPr>
      <w:bCs/>
      <w:sz w:val="21"/>
    </w:rPr>
  </w:style>
  <w:style w:type="paragraph" w:customStyle="1" w:styleId="1540">
    <w:name w:val="五级标题格式"/>
    <w:basedOn w:val="7"/>
    <w:qFormat/>
    <w:uiPriority w:val="0"/>
    <w:pPr>
      <w:numPr>
        <w:ilvl w:val="4"/>
        <w:numId w:val="0"/>
      </w:numPr>
      <w:spacing w:line="480" w:lineRule="exact"/>
      <w:ind w:firstLine="567"/>
      <w:jc w:val="left"/>
    </w:pPr>
    <w:rPr>
      <w:rFonts w:ascii="Times New Roman" w:hAnsi="Times New Roman"/>
      <w:bCs/>
      <w:color w:val="000000"/>
      <w:szCs w:val="28"/>
      <w:lang w:val="en-US" w:eastAsia="zh-CN"/>
    </w:rPr>
  </w:style>
  <w:style w:type="paragraph" w:customStyle="1" w:styleId="1541">
    <w:name w:val="三级标题格式"/>
    <w:basedOn w:val="5"/>
    <w:qFormat/>
    <w:uiPriority w:val="0"/>
    <w:pPr>
      <w:keepNext w:val="0"/>
      <w:keepLines w:val="0"/>
      <w:numPr>
        <w:ilvl w:val="2"/>
        <w:numId w:val="0"/>
      </w:numPr>
      <w:spacing w:before="240"/>
      <w:jc w:val="left"/>
    </w:pPr>
    <w:rPr>
      <w:rFonts w:eastAsia="黑体"/>
      <w:b w:val="0"/>
      <w:color w:val="DE7C10"/>
      <w:szCs w:val="28"/>
      <w:lang w:val="en-US" w:eastAsia="zh-CN"/>
    </w:rPr>
  </w:style>
  <w:style w:type="paragraph" w:customStyle="1" w:styleId="1542">
    <w:name w:val="正文文本缩进 31"/>
    <w:basedOn w:val="1"/>
    <w:qFormat/>
    <w:uiPriority w:val="0"/>
    <w:pPr>
      <w:tabs>
        <w:tab w:val="left" w:pos="1980"/>
      </w:tabs>
      <w:suppressAutoHyphens/>
      <w:spacing w:line="480" w:lineRule="exact"/>
      <w:ind w:firstLine="640"/>
    </w:pPr>
    <w:rPr>
      <w:rFonts w:ascii="宋体" w:hAnsi="宋体"/>
      <w:spacing w:val="20"/>
      <w:kern w:val="1"/>
      <w:sz w:val="28"/>
      <w:szCs w:val="20"/>
      <w:lang w:eastAsia="ar-SA"/>
    </w:rPr>
  </w:style>
  <w:style w:type="paragraph" w:customStyle="1" w:styleId="1543">
    <w:name w:val="文章正文"/>
    <w:basedOn w:val="1"/>
    <w:qFormat/>
    <w:uiPriority w:val="0"/>
    <w:pPr>
      <w:adjustRightInd w:val="0"/>
      <w:spacing w:line="360" w:lineRule="auto"/>
      <w:ind w:firstLine="454"/>
      <w:textAlignment w:val="baseline"/>
    </w:pPr>
    <w:rPr>
      <w:szCs w:val="20"/>
    </w:rPr>
  </w:style>
  <w:style w:type="paragraph" w:customStyle="1" w:styleId="1544">
    <w:name w:val="标题4 YHY"/>
    <w:basedOn w:val="6"/>
    <w:next w:val="1"/>
    <w:qFormat/>
    <w:uiPriority w:val="0"/>
    <w:pPr>
      <w:keepNext w:val="0"/>
      <w:keepLines w:val="0"/>
      <w:widowControl/>
      <w:numPr>
        <w:ilvl w:val="0"/>
        <w:numId w:val="0"/>
      </w:numPr>
      <w:tabs>
        <w:tab w:val="left" w:pos="352"/>
        <w:tab w:val="left" w:pos="798"/>
      </w:tabs>
      <w:spacing w:before="50" w:beforeLines="50" w:after="50" w:afterLines="50"/>
      <w:jc w:val="left"/>
    </w:pPr>
    <w:rPr>
      <w:rFonts w:ascii="宋体" w:hAnsi="宋体" w:eastAsia="宋体" w:cs="宋体"/>
      <w:bCs w:val="0"/>
      <w:kern w:val="0"/>
      <w:szCs w:val="24"/>
      <w:lang w:val="en-US" w:eastAsia="zh-CN"/>
    </w:rPr>
  </w:style>
  <w:style w:type="paragraph" w:customStyle="1" w:styleId="1545">
    <w:name w:val=" Char Char Char Char Char Char1 Char Char Char1 Char Char Char Char Char Char Char Char Char Char Char Char Char Char Char1 Char Char Char Char Char Char Char"/>
    <w:basedOn w:val="1"/>
    <w:qFormat/>
    <w:uiPriority w:val="0"/>
    <w:pPr>
      <w:spacing w:line="360" w:lineRule="auto"/>
      <w:ind w:firstLine="200" w:firstLineChars="200"/>
    </w:pPr>
    <w:rPr>
      <w:rFonts w:ascii="宋体" w:hAnsi="宋体" w:cs="宋体"/>
    </w:rPr>
  </w:style>
  <w:style w:type="paragraph" w:customStyle="1" w:styleId="1546">
    <w:name w:val=" Char Char Char Char Char Char1 Char Char Char1 Char Char Char Char Char Char Char Char Char Char Char Char Char Char Char1 Char Char Char1 Char1"/>
    <w:basedOn w:val="1"/>
    <w:qFormat/>
    <w:uiPriority w:val="0"/>
    <w:pPr>
      <w:spacing w:line="360" w:lineRule="auto"/>
      <w:ind w:firstLine="200" w:firstLineChars="200"/>
    </w:pPr>
    <w:rPr>
      <w:rFonts w:ascii="宋体" w:hAnsi="宋体" w:cs="宋体"/>
    </w:rPr>
  </w:style>
  <w:style w:type="paragraph" w:customStyle="1" w:styleId="1547">
    <w:name w:val="正文报告 Char Char Char1"/>
    <w:basedOn w:val="1"/>
    <w:qFormat/>
    <w:uiPriority w:val="0"/>
    <w:pPr>
      <w:topLinePunct/>
      <w:snapToGrid w:val="0"/>
      <w:spacing w:line="480" w:lineRule="exact"/>
      <w:ind w:firstLine="567"/>
    </w:pPr>
    <w:rPr>
      <w:color w:val="000000"/>
      <w:sz w:val="28"/>
      <w:szCs w:val="28"/>
    </w:rPr>
  </w:style>
  <w:style w:type="paragraph" w:customStyle="1" w:styleId="1548">
    <w:name w:val="标题5 Char Char1"/>
    <w:basedOn w:val="1"/>
    <w:qFormat/>
    <w:uiPriority w:val="0"/>
    <w:pPr>
      <w:spacing w:line="480" w:lineRule="exact"/>
      <w:ind w:firstLine="560" w:firstLineChars="200"/>
    </w:pPr>
    <w:rPr>
      <w:rFonts w:ascii="黑体" w:hAnsi="宋体" w:eastAsia="黑体"/>
      <w:sz w:val="28"/>
      <w:szCs w:val="20"/>
    </w:rPr>
  </w:style>
  <w:style w:type="paragraph" w:customStyle="1" w:styleId="1549">
    <w:name w:val=" Char Char Char Char Char Char1 Char Char Char1 Char Char Char Char Char Char Char Char Char Char Char Char Char Char Char1 Char Char Char1 Char"/>
    <w:basedOn w:val="1"/>
    <w:qFormat/>
    <w:uiPriority w:val="0"/>
    <w:pPr>
      <w:spacing w:line="360" w:lineRule="auto"/>
      <w:ind w:firstLine="200" w:firstLineChars="200"/>
    </w:pPr>
    <w:rPr>
      <w:rFonts w:ascii="宋体" w:hAnsi="宋体" w:cs="宋体"/>
    </w:rPr>
  </w:style>
  <w:style w:type="paragraph" w:customStyle="1" w:styleId="1550">
    <w:name w:val=" Char Char Char Char Char Char1 Char Char Char1 Char Char Char Char Char Char Char Char Char Char Char Char Char Char Char1 Char Char Char1 Char Char Char Char Char Char1"/>
    <w:basedOn w:val="1"/>
    <w:qFormat/>
    <w:uiPriority w:val="0"/>
    <w:pPr>
      <w:spacing w:line="360" w:lineRule="auto"/>
      <w:ind w:firstLine="200" w:firstLineChars="200"/>
    </w:pPr>
    <w:rPr>
      <w:rFonts w:ascii="宋体" w:hAnsi="宋体" w:cs="宋体"/>
    </w:rPr>
  </w:style>
  <w:style w:type="paragraph" w:customStyle="1" w:styleId="1551">
    <w:name w:val="样式 目录 2 + 行距: 固定值 20 磅"/>
    <w:basedOn w:val="73"/>
    <w:qFormat/>
    <w:uiPriority w:val="0"/>
    <w:pPr>
      <w:widowControl/>
      <w:tabs>
        <w:tab w:val="right" w:leader="dot" w:pos="8721"/>
      </w:tabs>
      <w:spacing w:line="400" w:lineRule="exact"/>
      <w:ind w:left="0" w:leftChars="0"/>
      <w:jc w:val="center"/>
    </w:pPr>
    <w:rPr>
      <w:rFonts w:cs="宋体"/>
      <w:color w:val="000000"/>
      <w:sz w:val="24"/>
      <w:szCs w:val="20"/>
    </w:rPr>
  </w:style>
  <w:style w:type="paragraph" w:customStyle="1" w:styleId="1552">
    <w:name w:val="Char Char Char1 Char Char Char Char Char Char1 Char Char Char Char Char Char Char Char Char"/>
    <w:basedOn w:val="1"/>
    <w:qFormat/>
    <w:uiPriority w:val="0"/>
    <w:pPr>
      <w:ind w:firstLine="200" w:firstLineChars="200"/>
    </w:pPr>
    <w:rPr>
      <w:rFonts w:eastAsia="黑体" w:cs="宋体"/>
      <w:b/>
      <w:bCs/>
      <w:color w:val="000000"/>
      <w:sz w:val="32"/>
      <w:szCs w:val="32"/>
    </w:rPr>
  </w:style>
  <w:style w:type="paragraph" w:customStyle="1" w:styleId="1553">
    <w:name w:val=" Char Char16 Char Char Char Char Char Char"/>
    <w:basedOn w:val="1"/>
    <w:qFormat/>
    <w:uiPriority w:val="0"/>
    <w:pPr>
      <w:spacing w:line="360" w:lineRule="auto"/>
      <w:ind w:firstLine="200" w:firstLineChars="200"/>
    </w:pPr>
    <w:rPr>
      <w:sz w:val="21"/>
    </w:rPr>
  </w:style>
  <w:style w:type="paragraph" w:customStyle="1" w:styleId="1554">
    <w:name w:val="默认段落字体 Para Char Char Char Char Char Char Char"/>
    <w:basedOn w:val="1"/>
    <w:qFormat/>
    <w:uiPriority w:val="0"/>
    <w:rPr>
      <w:sz w:val="21"/>
    </w:rPr>
  </w:style>
  <w:style w:type="paragraph" w:customStyle="1" w:styleId="1555">
    <w:name w:val="注释标题1"/>
    <w:basedOn w:val="1"/>
    <w:next w:val="1"/>
    <w:qFormat/>
    <w:uiPriority w:val="0"/>
    <w:pPr>
      <w:suppressAutoHyphens/>
      <w:jc w:val="center"/>
    </w:pPr>
    <w:rPr>
      <w:rFonts w:ascii="宋体" w:hAnsi="宋体"/>
      <w:kern w:val="1"/>
      <w:sz w:val="28"/>
      <w:szCs w:val="20"/>
      <w:lang w:eastAsia="ar-SA"/>
    </w:rPr>
  </w:style>
  <w:style w:type="paragraph" w:customStyle="1" w:styleId="1556">
    <w:name w:val="+列表1"/>
    <w:basedOn w:val="1"/>
    <w:qFormat/>
    <w:uiPriority w:val="0"/>
    <w:pPr>
      <w:jc w:val="center"/>
    </w:pPr>
  </w:style>
  <w:style w:type="paragraph" w:customStyle="1" w:styleId="1557">
    <w:name w:val="样式 标题 3 + 宋体 小四 非加粗 段前: 0 磅 段后: 0 磅 行距: 固定值 24 磅1"/>
    <w:basedOn w:val="5"/>
    <w:qFormat/>
    <w:uiPriority w:val="0"/>
    <w:pPr>
      <w:numPr>
        <w:ilvl w:val="0"/>
        <w:numId w:val="0"/>
      </w:numPr>
      <w:spacing w:before="0" w:after="0" w:line="480" w:lineRule="exact"/>
    </w:pPr>
    <w:rPr>
      <w:rFonts w:ascii="宋体" w:hAnsi="宋体" w:eastAsia="黑体" w:cs="宋体"/>
      <w:b w:val="0"/>
      <w:sz w:val="24"/>
      <w:szCs w:val="28"/>
      <w:lang w:val="en-US" w:eastAsia="zh-CN"/>
    </w:rPr>
  </w:style>
  <w:style w:type="paragraph" w:customStyle="1" w:styleId="1558">
    <w:name w:val="CM34"/>
    <w:basedOn w:val="721"/>
    <w:next w:val="721"/>
    <w:qFormat/>
    <w:uiPriority w:val="0"/>
    <w:pPr>
      <w:spacing w:line="546" w:lineRule="atLeast"/>
    </w:pPr>
    <w:rPr>
      <w:rFonts w:cs="Times New Roman"/>
      <w:color w:val="auto"/>
    </w:rPr>
  </w:style>
  <w:style w:type="paragraph" w:customStyle="1" w:styleId="1559">
    <w:name w:val="样式 标题 3 + 宋体 小四 非加粗 段前: 0 磅 段后: 0 磅 行距: 固定值 24 磅"/>
    <w:basedOn w:val="5"/>
    <w:qFormat/>
    <w:uiPriority w:val="0"/>
    <w:pPr>
      <w:numPr>
        <w:ilvl w:val="0"/>
        <w:numId w:val="0"/>
      </w:numPr>
      <w:spacing w:before="0" w:after="0" w:line="480" w:lineRule="exact"/>
    </w:pPr>
    <w:rPr>
      <w:rFonts w:ascii="宋体" w:hAnsi="宋体" w:eastAsia="黑体" w:cs="宋体"/>
      <w:b w:val="0"/>
      <w:kern w:val="0"/>
      <w:sz w:val="24"/>
      <w:szCs w:val="28"/>
      <w:lang w:val="en-US" w:eastAsia="zh-CN"/>
    </w:rPr>
  </w:style>
  <w:style w:type="paragraph" w:customStyle="1" w:styleId="1560">
    <w:name w:val="样式 标题 4 + 非加粗"/>
    <w:basedOn w:val="6"/>
    <w:qFormat/>
    <w:uiPriority w:val="0"/>
    <w:pPr>
      <w:numPr>
        <w:ilvl w:val="0"/>
        <w:numId w:val="0"/>
      </w:numPr>
      <w:spacing w:line="480" w:lineRule="exact"/>
    </w:pPr>
    <w:rPr>
      <w:bCs w:val="0"/>
      <w:sz w:val="28"/>
      <w:lang w:val="en-US" w:eastAsia="zh-CN"/>
    </w:rPr>
  </w:style>
  <w:style w:type="paragraph" w:customStyle="1" w:styleId="1561">
    <w:name w:val="索引 81"/>
    <w:basedOn w:val="1"/>
    <w:next w:val="1"/>
    <w:qFormat/>
    <w:uiPriority w:val="0"/>
    <w:pPr>
      <w:suppressAutoHyphens/>
      <w:autoSpaceDE w:val="0"/>
      <w:ind w:left="1400"/>
      <w:jc w:val="left"/>
      <w:textAlignment w:val="baseline"/>
    </w:pPr>
    <w:rPr>
      <w:rFonts w:ascii="宋体" w:hAnsi="宋体"/>
      <w:kern w:val="1"/>
      <w:sz w:val="34"/>
      <w:szCs w:val="20"/>
      <w:lang w:eastAsia="ar-SA"/>
    </w:rPr>
  </w:style>
  <w:style w:type="paragraph" w:customStyle="1" w:styleId="1562">
    <w:name w:val="CM86"/>
    <w:basedOn w:val="721"/>
    <w:next w:val="721"/>
    <w:qFormat/>
    <w:uiPriority w:val="0"/>
    <w:pPr>
      <w:spacing w:after="328"/>
    </w:pPr>
    <w:rPr>
      <w:rFonts w:cs="Times New Roman"/>
      <w:color w:val="auto"/>
    </w:rPr>
  </w:style>
  <w:style w:type="paragraph" w:customStyle="1" w:styleId="1563">
    <w:name w:val=" Char Char Char Char Char Char1 Char Char Char Char"/>
    <w:basedOn w:val="1"/>
    <w:qFormat/>
    <w:uiPriority w:val="0"/>
    <w:pPr>
      <w:spacing w:line="360" w:lineRule="auto"/>
      <w:ind w:firstLine="200" w:firstLineChars="200"/>
    </w:pPr>
    <w:rPr>
      <w:rFonts w:ascii="宋体" w:hAnsi="宋体" w:cs="宋体"/>
    </w:rPr>
  </w:style>
  <w:style w:type="paragraph" w:customStyle="1" w:styleId="1564">
    <w:name w:val="Table Paragraph"/>
    <w:basedOn w:val="1"/>
    <w:next w:val="975"/>
    <w:qFormat/>
    <w:uiPriority w:val="1"/>
    <w:pPr>
      <w:jc w:val="left"/>
    </w:pPr>
    <w:rPr>
      <w:rFonts w:ascii="Calibri" w:hAnsi="Calibri"/>
      <w:kern w:val="0"/>
      <w:sz w:val="22"/>
      <w:szCs w:val="22"/>
      <w:lang w:eastAsia="en-US"/>
    </w:rPr>
  </w:style>
  <w:style w:type="paragraph" w:customStyle="1" w:styleId="1565">
    <w:name w:val="HX-报告正文"/>
    <w:basedOn w:val="1"/>
    <w:qFormat/>
    <w:uiPriority w:val="0"/>
    <w:pPr>
      <w:spacing w:line="440" w:lineRule="exact"/>
      <w:ind w:firstLine="480" w:firstLineChars="200"/>
    </w:pPr>
    <w:rPr>
      <w:rFonts w:eastAsia="华文中宋"/>
    </w:rPr>
  </w:style>
  <w:style w:type="paragraph" w:customStyle="1" w:styleId="1566">
    <w:name w:val="题注两端对齐"/>
    <w:basedOn w:val="1"/>
    <w:qFormat/>
    <w:uiPriority w:val="0"/>
    <w:pPr>
      <w:spacing w:before="75" w:beforeLines="75" w:line="288" w:lineRule="auto"/>
    </w:pPr>
  </w:style>
  <w:style w:type="paragraph" w:customStyle="1" w:styleId="1567">
    <w:name w:val="Char Char Char Char1 Char Char Char Char Char"/>
    <w:basedOn w:val="1"/>
    <w:qFormat/>
    <w:uiPriority w:val="0"/>
    <w:pPr>
      <w:ind w:firstLine="200" w:firstLineChars="200"/>
    </w:pPr>
    <w:rPr>
      <w:rFonts w:eastAsia="黑体" w:cs="宋体"/>
      <w:b/>
      <w:bCs/>
      <w:color w:val="000000"/>
      <w:sz w:val="32"/>
      <w:szCs w:val="32"/>
    </w:rPr>
  </w:style>
  <w:style w:type="paragraph" w:customStyle="1" w:styleId="1568">
    <w:name w:val="正文2020"/>
    <w:basedOn w:val="1"/>
    <w:qFormat/>
    <w:uiPriority w:val="0"/>
    <w:pPr>
      <w:spacing w:line="360" w:lineRule="auto"/>
      <w:ind w:firstLine="200" w:firstLineChars="200"/>
    </w:pPr>
    <w:rPr>
      <w:szCs w:val="22"/>
      <w:lang w:bidi="en-US"/>
    </w:rPr>
  </w:style>
  <w:style w:type="paragraph" w:customStyle="1" w:styleId="1569">
    <w:name w:val="文章"/>
    <w:basedOn w:val="1"/>
    <w:next w:val="65"/>
    <w:qFormat/>
    <w:uiPriority w:val="0"/>
    <w:pPr>
      <w:widowControl/>
      <w:ind w:firstLine="480"/>
      <w:jc w:val="center"/>
    </w:pPr>
    <w:rPr>
      <w:sz w:val="26"/>
    </w:rPr>
  </w:style>
  <w:style w:type="paragraph" w:customStyle="1" w:styleId="1570">
    <w:name w:val="正文缩进1"/>
    <w:basedOn w:val="1"/>
    <w:next w:val="1571"/>
    <w:qFormat/>
    <w:uiPriority w:val="0"/>
    <w:pPr>
      <w:ind w:firstLine="420"/>
    </w:pPr>
    <w:rPr>
      <w:rFonts w:ascii="宋体"/>
      <w:sz w:val="28"/>
    </w:rPr>
  </w:style>
  <w:style w:type="paragraph" w:customStyle="1" w:styleId="1571">
    <w:name w:val="td1"/>
    <w:basedOn w:val="1"/>
    <w:next w:val="1"/>
    <w:qFormat/>
    <w:uiPriority w:val="0"/>
    <w:pPr>
      <w:widowControl/>
      <w:spacing w:before="280" w:after="280" w:line="300" w:lineRule="atLeast"/>
      <w:ind w:firstLine="200"/>
    </w:pPr>
    <w:rPr>
      <w:color w:val="000000"/>
      <w:sz w:val="18"/>
    </w:rPr>
  </w:style>
  <w:style w:type="paragraph" w:customStyle="1" w:styleId="1572">
    <w:name w:val="样式 Z正文 + 首行缩进:  2 字符1"/>
    <w:basedOn w:val="1573"/>
    <w:qFormat/>
    <w:uiPriority w:val="0"/>
    <w:pPr>
      <w:tabs>
        <w:tab w:val="left" w:pos="0"/>
      </w:tabs>
      <w:ind w:firstLine="480"/>
    </w:pPr>
    <w:rPr>
      <w:rFonts w:ascii="Times New Roman" w:cs="宋体"/>
    </w:rPr>
  </w:style>
  <w:style w:type="paragraph" w:customStyle="1" w:styleId="1573">
    <w:name w:val="Z正文"/>
    <w:basedOn w:val="1574"/>
    <w:qFormat/>
    <w:uiPriority w:val="0"/>
    <w:pPr>
      <w:tabs>
        <w:tab w:val="left" w:pos="0"/>
      </w:tabs>
      <w:adjustRightInd w:val="0"/>
      <w:spacing w:after="0" w:line="240" w:lineRule="auto"/>
      <w:ind w:firstLine="560" w:firstLineChars="200"/>
    </w:pPr>
    <w:rPr>
      <w:rFonts w:eastAsia="仿宋_GB2312"/>
      <w:sz w:val="28"/>
      <w:szCs w:val="28"/>
    </w:rPr>
  </w:style>
  <w:style w:type="paragraph" w:customStyle="1" w:styleId="1574">
    <w:name w:val="样式 标题 1标题 11Head 1wsah1一、标题2Part'Document章Ch + 加粗"/>
    <w:basedOn w:val="3"/>
    <w:qFormat/>
    <w:uiPriority w:val="0"/>
    <w:pPr>
      <w:tabs>
        <w:tab w:val="left" w:pos="0"/>
        <w:tab w:val="clear" w:pos="425"/>
      </w:tabs>
      <w:spacing w:before="340" w:after="330" w:line="578" w:lineRule="auto"/>
      <w:ind w:left="0" w:firstLine="0"/>
    </w:pPr>
    <w:rPr>
      <w:rFonts w:ascii="黑体"/>
      <w:b w:val="0"/>
      <w:bCs w:val="0"/>
      <w:sz w:val="32"/>
      <w:lang w:val="zh-CN"/>
    </w:rPr>
  </w:style>
  <w:style w:type="paragraph" w:customStyle="1" w:styleId="1575">
    <w:name w:val="Char Char1 Char Char Char Char Char Char"/>
    <w:basedOn w:val="1"/>
    <w:qFormat/>
    <w:uiPriority w:val="0"/>
    <w:rPr>
      <w:sz w:val="21"/>
    </w:rPr>
  </w:style>
  <w:style w:type="paragraph" w:customStyle="1" w:styleId="1576">
    <w:name w:val="样式 标题 2 + 三号1"/>
    <w:basedOn w:val="4"/>
    <w:next w:val="1"/>
    <w:qFormat/>
    <w:uiPriority w:val="0"/>
    <w:pPr>
      <w:numPr>
        <w:ilvl w:val="1"/>
        <w:numId w:val="5"/>
      </w:numPr>
      <w:tabs>
        <w:tab w:val="left" w:pos="482"/>
        <w:tab w:val="left" w:pos="718"/>
        <w:tab w:val="clear" w:pos="567"/>
        <w:tab w:val="clear" w:pos="993"/>
      </w:tabs>
      <w:spacing w:line="480" w:lineRule="auto"/>
      <w:ind w:left="718"/>
      <w:jc w:val="left"/>
    </w:pPr>
    <w:rPr>
      <w:rFonts w:ascii="宋体" w:hAnsi="宋体"/>
      <w:b w:val="0"/>
      <w:bCs w:val="0"/>
      <w:kern w:val="0"/>
      <w:sz w:val="32"/>
      <w:lang w:val="zh-CN"/>
    </w:rPr>
  </w:style>
  <w:style w:type="paragraph" w:customStyle="1" w:styleId="1577">
    <w:name w:val="HCI正文"/>
    <w:qFormat/>
    <w:uiPriority w:val="99"/>
    <w:pPr>
      <w:widowControl w:val="0"/>
      <w:snapToGrid w:val="0"/>
      <w:spacing w:before="20" w:beforeLines="20" w:after="20" w:afterLines="20" w:line="312" w:lineRule="auto"/>
      <w:ind w:firstLine="200" w:firstLineChars="200"/>
    </w:pPr>
    <w:rPr>
      <w:rFonts w:ascii="Times New Roman" w:hAnsi="Times New Roman" w:eastAsia="宋体" w:cs="宋体"/>
      <w:kern w:val="2"/>
      <w:sz w:val="24"/>
      <w:lang w:val="en-US" w:eastAsia="zh-CN" w:bidi="ar-SA"/>
    </w:rPr>
  </w:style>
  <w:style w:type="paragraph" w:customStyle="1" w:styleId="1578">
    <w:name w:val="样式35"/>
    <w:basedOn w:val="1"/>
    <w:qFormat/>
    <w:uiPriority w:val="0"/>
    <w:pPr>
      <w:spacing w:line="312" w:lineRule="auto"/>
      <w:ind w:firstLine="567"/>
    </w:pPr>
    <w:rPr>
      <w:rFonts w:ascii="宋体"/>
      <w:sz w:val="28"/>
    </w:rPr>
  </w:style>
  <w:style w:type="paragraph" w:customStyle="1" w:styleId="1579">
    <w:name w:val="标题 3 + 段前: 0.2 行 段后: 0.2 行"/>
    <w:basedOn w:val="5"/>
    <w:qFormat/>
    <w:uiPriority w:val="0"/>
    <w:pPr>
      <w:numPr>
        <w:ilvl w:val="0"/>
        <w:numId w:val="0"/>
      </w:numPr>
      <w:adjustRightInd w:val="0"/>
      <w:snapToGrid w:val="0"/>
      <w:spacing w:before="20" w:beforeLines="20" w:after="20" w:afterLines="20"/>
      <w:ind w:left="-108"/>
      <w:jc w:val="left"/>
    </w:pPr>
    <w:rPr>
      <w:sz w:val="24"/>
      <w:szCs w:val="20"/>
      <w:lang w:val="zh-CN"/>
    </w:rPr>
  </w:style>
  <w:style w:type="paragraph" w:customStyle="1" w:styleId="1580">
    <w:name w:val="TOC 标题1"/>
    <w:basedOn w:val="3"/>
    <w:next w:val="1"/>
    <w:qFormat/>
    <w:uiPriority w:val="39"/>
    <w:pPr>
      <w:widowControl/>
      <w:numPr>
        <w:ilvl w:val="0"/>
        <w:numId w:val="0"/>
      </w:numPr>
      <w:tabs>
        <w:tab w:val="clear" w:pos="425"/>
      </w:tabs>
      <w:spacing w:before="480" w:after="0" w:line="276" w:lineRule="auto"/>
      <w:jc w:val="left"/>
      <w:outlineLvl w:val="9"/>
    </w:pPr>
    <w:rPr>
      <w:rFonts w:ascii="Cambria" w:hAnsi="Cambria"/>
      <w:b w:val="0"/>
      <w:bCs w:val="0"/>
      <w:color w:val="365F91"/>
      <w:kern w:val="0"/>
      <w:sz w:val="28"/>
      <w:szCs w:val="28"/>
      <w:lang w:val="zh-CN"/>
    </w:rPr>
  </w:style>
  <w:style w:type="paragraph" w:customStyle="1" w:styleId="1581">
    <w:name w:val="CM15"/>
    <w:basedOn w:val="721"/>
    <w:next w:val="721"/>
    <w:qFormat/>
    <w:uiPriority w:val="99"/>
    <w:pPr>
      <w:spacing w:after="200" w:line="538" w:lineRule="atLeast"/>
      <w:jc w:val="both"/>
      <w:textAlignment w:val="baseline"/>
    </w:pPr>
    <w:rPr>
      <w:rFonts w:ascii="华文中宋" w:hAnsi="Calibri" w:eastAsia="华文中宋" w:cs="Times New Roman"/>
      <w:color w:val="auto"/>
      <w:kern w:val="2"/>
    </w:rPr>
  </w:style>
  <w:style w:type="paragraph" w:customStyle="1" w:styleId="1582">
    <w:name w:val="正文(首行缩进)"/>
    <w:basedOn w:val="1"/>
    <w:qFormat/>
    <w:uiPriority w:val="0"/>
    <w:pPr>
      <w:spacing w:line="360" w:lineRule="auto"/>
      <w:ind w:firstLine="510"/>
    </w:pPr>
    <w:rPr>
      <w:rFonts w:ascii="宋体" w:hAnsi="宋体"/>
      <w:snapToGrid w:val="0"/>
      <w:kern w:val="0"/>
    </w:rPr>
  </w:style>
  <w:style w:type="paragraph" w:customStyle="1" w:styleId="1583">
    <w:name w:val="表格内部"/>
    <w:basedOn w:val="1"/>
    <w:qFormat/>
    <w:uiPriority w:val="0"/>
    <w:pPr>
      <w:spacing w:line="440" w:lineRule="exact"/>
      <w:ind w:left="-101" w:leftChars="-42"/>
      <w:jc w:val="center"/>
    </w:pPr>
    <w:rPr>
      <w:sz w:val="21"/>
      <w:szCs w:val="21"/>
    </w:rPr>
  </w:style>
  <w:style w:type="paragraph" w:customStyle="1" w:styleId="1584">
    <w:name w:val="我的标题3"/>
    <w:basedOn w:val="1"/>
    <w:qFormat/>
    <w:uiPriority w:val="0"/>
    <w:rPr>
      <w:rFonts w:eastAsia="黑体"/>
      <w:sz w:val="28"/>
    </w:rPr>
  </w:style>
  <w:style w:type="paragraph" w:customStyle="1" w:styleId="1585">
    <w:name w:val="样式 标题 3 + 宋体 小四 非加粗"/>
    <w:basedOn w:val="5"/>
    <w:qFormat/>
    <w:uiPriority w:val="0"/>
    <w:pPr>
      <w:numPr>
        <w:ilvl w:val="2"/>
        <w:numId w:val="3"/>
      </w:numPr>
      <w:tabs>
        <w:tab w:val="left" w:pos="0"/>
        <w:tab w:val="left" w:pos="785"/>
      </w:tabs>
      <w:spacing w:before="260" w:after="260" w:line="416" w:lineRule="auto"/>
    </w:pPr>
    <w:rPr>
      <w:rFonts w:ascii="宋体" w:hAnsi="宋体"/>
      <w:b w:val="0"/>
      <w:bCs w:val="0"/>
      <w:sz w:val="24"/>
    </w:rPr>
  </w:style>
  <w:style w:type="paragraph" w:customStyle="1" w:styleId="1586">
    <w:name w:val="CM18"/>
    <w:basedOn w:val="721"/>
    <w:next w:val="721"/>
    <w:qFormat/>
    <w:uiPriority w:val="99"/>
    <w:pPr>
      <w:spacing w:after="200" w:line="538" w:lineRule="atLeast"/>
      <w:jc w:val="both"/>
      <w:textAlignment w:val="baseline"/>
    </w:pPr>
    <w:rPr>
      <w:rFonts w:ascii="华文中宋" w:hAnsi="Calibri" w:eastAsia="华文中宋" w:cs="Times New Roman"/>
      <w:color w:val="auto"/>
      <w:kern w:val="2"/>
    </w:rPr>
  </w:style>
  <w:style w:type="paragraph" w:customStyle="1" w:styleId="1587">
    <w:name w:val="Char Char Char Char14"/>
    <w:basedOn w:val="1"/>
    <w:qFormat/>
    <w:uiPriority w:val="0"/>
    <w:rPr>
      <w:sz w:val="21"/>
      <w:szCs w:val="21"/>
    </w:rPr>
  </w:style>
  <w:style w:type="paragraph" w:customStyle="1" w:styleId="1588">
    <w:name w:val="Char Char Char Char17"/>
    <w:basedOn w:val="1"/>
    <w:qFormat/>
    <w:uiPriority w:val="0"/>
    <w:rPr>
      <w:sz w:val="21"/>
      <w:szCs w:val="21"/>
    </w:rPr>
  </w:style>
  <w:style w:type="paragraph" w:customStyle="1" w:styleId="1589">
    <w:name w:val="Char Char Char Char13"/>
    <w:basedOn w:val="1"/>
    <w:qFormat/>
    <w:uiPriority w:val="0"/>
    <w:rPr>
      <w:sz w:val="21"/>
      <w:szCs w:val="21"/>
    </w:rPr>
  </w:style>
  <w:style w:type="paragraph" w:customStyle="1" w:styleId="1590">
    <w:name w:val="Char Char Char Char1 Char Char Char1"/>
    <w:basedOn w:val="1"/>
    <w:qFormat/>
    <w:uiPriority w:val="0"/>
    <w:pPr>
      <w:ind w:firstLine="200" w:firstLineChars="200"/>
    </w:pPr>
    <w:rPr>
      <w:rFonts w:ascii="宋体" w:hAnsi="宋体" w:cs="宋体"/>
    </w:rPr>
  </w:style>
  <w:style w:type="paragraph" w:customStyle="1" w:styleId="1591">
    <w:name w:val="样式 标题 3 + 非加粗"/>
    <w:basedOn w:val="5"/>
    <w:qFormat/>
    <w:uiPriority w:val="0"/>
    <w:pPr>
      <w:spacing w:before="0" w:after="0"/>
    </w:pPr>
    <w:rPr>
      <w:bCs w:val="0"/>
    </w:rPr>
  </w:style>
  <w:style w:type="paragraph" w:customStyle="1" w:styleId="1592">
    <w:name w:val="表中正文"/>
    <w:basedOn w:val="1"/>
    <w:qFormat/>
    <w:uiPriority w:val="0"/>
    <w:pPr>
      <w:autoSpaceDE w:val="0"/>
      <w:autoSpaceDN w:val="0"/>
      <w:adjustRightInd w:val="0"/>
      <w:snapToGrid w:val="0"/>
      <w:spacing w:line="300" w:lineRule="atLeast"/>
    </w:pPr>
    <w:rPr>
      <w:rFonts w:ascii="宋体"/>
      <w:szCs w:val="20"/>
    </w:rPr>
  </w:style>
  <w:style w:type="paragraph" w:customStyle="1" w:styleId="1593">
    <w:name w:val="样式 标题 2"/>
    <w:basedOn w:val="4"/>
    <w:qFormat/>
    <w:uiPriority w:val="0"/>
    <w:pPr>
      <w:numPr>
        <w:ilvl w:val="0"/>
        <w:numId w:val="0"/>
      </w:numPr>
      <w:tabs>
        <w:tab w:val="left" w:pos="482"/>
        <w:tab w:val="clear" w:pos="567"/>
        <w:tab w:val="clear" w:pos="993"/>
      </w:tabs>
      <w:adjustRightInd/>
      <w:spacing w:before="0" w:after="0" w:line="360" w:lineRule="auto"/>
      <w:jc w:val="left"/>
    </w:pPr>
    <w:rPr>
      <w:rFonts w:ascii="Times New Roman" w:hAnsi="Times New Roman" w:cs="宋体"/>
      <w:b w:val="0"/>
      <w:bCs w:val="0"/>
      <w:color w:val="000000"/>
      <w:sz w:val="28"/>
      <w:szCs w:val="30"/>
    </w:rPr>
  </w:style>
  <w:style w:type="paragraph" w:customStyle="1" w:styleId="1594">
    <w:name w:val="流程图"/>
    <w:basedOn w:val="1"/>
    <w:qFormat/>
    <w:uiPriority w:val="0"/>
    <w:pPr>
      <w:tabs>
        <w:tab w:val="left" w:pos="0"/>
      </w:tabs>
      <w:autoSpaceDE w:val="0"/>
      <w:autoSpaceDN w:val="0"/>
      <w:adjustRightInd w:val="0"/>
      <w:spacing w:line="240" w:lineRule="atLeast"/>
      <w:ind w:firstLine="200" w:firstLineChars="200"/>
      <w:jc w:val="center"/>
      <w:textAlignment w:val="bottom"/>
    </w:pPr>
    <w:rPr>
      <w:rFonts w:ascii="宋体" w:cs="宋体"/>
      <w:sz w:val="21"/>
      <w:szCs w:val="21"/>
    </w:rPr>
  </w:style>
  <w:style w:type="paragraph" w:customStyle="1" w:styleId="1595">
    <w:name w:val="aaa正文"/>
    <w:basedOn w:val="1"/>
    <w:qFormat/>
    <w:uiPriority w:val="0"/>
    <w:pPr>
      <w:widowControl/>
      <w:ind w:firstLine="200" w:firstLineChars="200"/>
    </w:pPr>
  </w:style>
  <w:style w:type="paragraph" w:customStyle="1" w:styleId="1596">
    <w:name w:val="样式 标题 1标题 11 + (中文) 黑体 三号 加粗 行距: 固定值 12 磅"/>
    <w:basedOn w:val="3"/>
    <w:qFormat/>
    <w:uiPriority w:val="0"/>
    <w:pPr>
      <w:keepLines w:val="0"/>
      <w:numPr>
        <w:ilvl w:val="0"/>
        <w:numId w:val="0"/>
      </w:numPr>
      <w:tabs>
        <w:tab w:val="clear" w:pos="425"/>
      </w:tabs>
      <w:spacing w:before="0" w:after="0" w:line="360" w:lineRule="auto"/>
      <w:jc w:val="both"/>
    </w:pPr>
    <w:rPr>
      <w:rFonts w:eastAsia="黑体" w:cs="宋体"/>
      <w:b w:val="0"/>
      <w:bCs w:val="0"/>
      <w:kern w:val="2"/>
      <w:sz w:val="32"/>
      <w:szCs w:val="32"/>
    </w:rPr>
  </w:style>
  <w:style w:type="paragraph" w:customStyle="1" w:styleId="1597">
    <w:name w:val="样式 正文首行缩进 +"/>
    <w:basedOn w:val="85"/>
    <w:qFormat/>
    <w:uiPriority w:val="0"/>
    <w:pPr>
      <w:snapToGrid w:val="0"/>
      <w:spacing w:line="500" w:lineRule="atLeast"/>
      <w:ind w:firstLine="539" w:firstLineChars="200"/>
      <w:jc w:val="left"/>
    </w:pPr>
    <w:rPr>
      <w:rFonts w:ascii="宋体" w:hAnsi="宋体"/>
      <w:sz w:val="28"/>
      <w:szCs w:val="20"/>
    </w:rPr>
  </w:style>
  <w:style w:type="paragraph" w:customStyle="1" w:styleId="1598">
    <w:name w:val="样式 样式 正文首行缩进 + +"/>
    <w:basedOn w:val="1597"/>
    <w:qFormat/>
    <w:uiPriority w:val="0"/>
  </w:style>
  <w:style w:type="paragraph" w:customStyle="1" w:styleId="1599">
    <w:name w:val="项目编号"/>
    <w:basedOn w:val="85"/>
    <w:qFormat/>
    <w:uiPriority w:val="0"/>
    <w:pPr>
      <w:tabs>
        <w:tab w:val="left" w:pos="930"/>
      </w:tabs>
      <w:snapToGrid w:val="0"/>
      <w:spacing w:line="500" w:lineRule="atLeast"/>
      <w:ind w:left="930" w:hanging="375" w:firstLineChars="0"/>
      <w:jc w:val="left"/>
    </w:pPr>
    <w:rPr>
      <w:rFonts w:ascii="宋体" w:hAnsi="宋体"/>
      <w:sz w:val="28"/>
      <w:szCs w:val="28"/>
    </w:rPr>
  </w:style>
  <w:style w:type="paragraph" w:customStyle="1" w:styleId="1600">
    <w:name w:val="样式 表格小四 + 字距调整二号"/>
    <w:basedOn w:val="1170"/>
    <w:qFormat/>
    <w:uiPriority w:val="0"/>
    <w:pPr>
      <w:spacing w:line="400" w:lineRule="exact"/>
    </w:pPr>
    <w:rPr>
      <w:kern w:val="44"/>
    </w:rPr>
  </w:style>
  <w:style w:type="paragraph" w:customStyle="1" w:styleId="1601">
    <w:name w:val="表头四号 + 段前: 0.5 行 + 段前: 0.5 行"/>
    <w:basedOn w:val="1"/>
    <w:qFormat/>
    <w:uiPriority w:val="0"/>
    <w:pPr>
      <w:adjustRightInd w:val="0"/>
      <w:snapToGrid w:val="0"/>
      <w:spacing w:before="25" w:beforeLines="25" w:line="500" w:lineRule="atLeast"/>
    </w:pPr>
    <w:rPr>
      <w:rFonts w:ascii="宋体" w:hAnsi="宋体"/>
      <w:b/>
      <w:bCs/>
      <w:sz w:val="28"/>
    </w:rPr>
  </w:style>
  <w:style w:type="paragraph" w:customStyle="1" w:styleId="1602">
    <w:name w:val="样式 表格五号 + 黑色 居中"/>
    <w:basedOn w:val="709"/>
    <w:qFormat/>
    <w:uiPriority w:val="0"/>
    <w:pPr>
      <w:spacing w:line="360" w:lineRule="auto"/>
      <w:ind w:firstLine="0" w:firstLineChars="0"/>
    </w:pPr>
    <w:rPr>
      <w:color w:val="000000"/>
      <w:sz w:val="24"/>
      <w:szCs w:val="20"/>
      <w:lang w:val="en-US"/>
    </w:rPr>
  </w:style>
  <w:style w:type="paragraph" w:customStyle="1" w:styleId="1603">
    <w:name w:val="样式 表头四号 + 段前: 0.5 行"/>
    <w:basedOn w:val="1295"/>
    <w:qFormat/>
    <w:uiPriority w:val="0"/>
    <w:pPr>
      <w:spacing w:before="96" w:beforeLines="25"/>
    </w:pPr>
    <w:rPr>
      <w:szCs w:val="20"/>
    </w:rPr>
  </w:style>
  <w:style w:type="paragraph" w:customStyle="1" w:styleId="1604">
    <w:name w:val="正文悬挂缩进"/>
    <w:basedOn w:val="1"/>
    <w:qFormat/>
    <w:uiPriority w:val="0"/>
    <w:pPr>
      <w:snapToGrid w:val="0"/>
      <w:spacing w:line="360" w:lineRule="auto"/>
      <w:ind w:left="200" w:leftChars="200"/>
    </w:pPr>
    <w:rPr>
      <w:rFonts w:eastAsia="楷体_GB2312"/>
    </w:rPr>
  </w:style>
  <w:style w:type="paragraph" w:customStyle="1" w:styleId="1605">
    <w:name w:val="样式 表格文字 + 小四 居中 首行缩进:  0.36 厘米"/>
    <w:basedOn w:val="709"/>
    <w:qFormat/>
    <w:uiPriority w:val="0"/>
    <w:pPr>
      <w:spacing w:line="240" w:lineRule="auto"/>
      <w:ind w:firstLine="205" w:firstLineChars="0"/>
    </w:pPr>
    <w:rPr>
      <w:sz w:val="24"/>
      <w:szCs w:val="20"/>
      <w:lang w:val="en-US"/>
    </w:rPr>
  </w:style>
  <w:style w:type="paragraph" w:customStyle="1" w:styleId="1606">
    <w:name w:val="表格小四 居中 首行缩进:  0.36 厘米 + 五号 黑色"/>
    <w:basedOn w:val="1605"/>
    <w:qFormat/>
    <w:uiPriority w:val="0"/>
    <w:pPr>
      <w:spacing w:line="240" w:lineRule="atLeast"/>
      <w:ind w:firstLine="0"/>
    </w:pPr>
    <w:rPr>
      <w:color w:val="000000"/>
      <w:szCs w:val="24"/>
    </w:rPr>
  </w:style>
  <w:style w:type="paragraph" w:customStyle="1" w:styleId="1607">
    <w:name w:val="表格小四 + 居中"/>
    <w:basedOn w:val="1170"/>
    <w:qFormat/>
    <w:uiPriority w:val="0"/>
    <w:pPr>
      <w:spacing w:line="240" w:lineRule="atLeast"/>
      <w:jc w:val="center"/>
    </w:pPr>
    <w:rPr>
      <w:szCs w:val="20"/>
    </w:rPr>
  </w:style>
  <w:style w:type="paragraph" w:customStyle="1" w:styleId="1608">
    <w:name w:val="样式 表格小四 + 字距调整四号"/>
    <w:basedOn w:val="1170"/>
    <w:qFormat/>
    <w:uiPriority w:val="0"/>
    <w:pPr>
      <w:spacing w:line="240" w:lineRule="exact"/>
    </w:pPr>
    <w:rPr>
      <w:kern w:val="28"/>
    </w:rPr>
  </w:style>
  <w:style w:type="paragraph" w:customStyle="1" w:styleId="1609">
    <w:name w:val="样式 标题 3 + 段前: 0.3 行"/>
    <w:basedOn w:val="5"/>
    <w:qFormat/>
    <w:uiPriority w:val="0"/>
    <w:pPr>
      <w:keepNext w:val="0"/>
      <w:numPr>
        <w:ilvl w:val="0"/>
        <w:numId w:val="0"/>
      </w:numPr>
      <w:spacing w:beforeLines="50" w:line="440" w:lineRule="exact"/>
      <w:ind w:firstLine="493"/>
      <w:jc w:val="left"/>
    </w:pPr>
    <w:rPr>
      <w:rFonts w:ascii="Arial" w:hAnsi="Arial" w:eastAsia="黑体"/>
      <w:bCs w:val="0"/>
      <w:spacing w:val="16"/>
      <w:w w:val="95"/>
      <w:kern w:val="0"/>
      <w:sz w:val="26"/>
      <w:szCs w:val="20"/>
    </w:rPr>
  </w:style>
  <w:style w:type="paragraph" w:customStyle="1" w:styleId="1610">
    <w:name w:val="样式 正文缩进文本条款 + 首行缩进:  2 字符"/>
    <w:basedOn w:val="20"/>
    <w:qFormat/>
    <w:uiPriority w:val="0"/>
    <w:pPr>
      <w:adjustRightInd w:val="0"/>
      <w:snapToGrid w:val="0"/>
      <w:spacing w:line="480" w:lineRule="exact"/>
      <w:ind w:firstLine="560" w:firstLineChars="200"/>
    </w:pPr>
    <w:rPr>
      <w:rFonts w:ascii="仿宋_GB2312" w:eastAsia="仿宋_GB2312" w:cs="宋体"/>
      <w:sz w:val="28"/>
      <w:szCs w:val="24"/>
    </w:rPr>
  </w:style>
  <w:style w:type="paragraph" w:customStyle="1" w:styleId="1611">
    <w:name w:val="标题22"/>
    <w:basedOn w:val="1"/>
    <w:next w:val="1"/>
    <w:qFormat/>
    <w:uiPriority w:val="0"/>
    <w:pPr>
      <w:spacing w:line="360" w:lineRule="auto"/>
    </w:pPr>
    <w:rPr>
      <w:rFonts w:ascii="宋体" w:hAnsi="宋体" w:eastAsia="黑体" w:cs="宋体"/>
      <w:b/>
      <w:sz w:val="30"/>
    </w:rPr>
  </w:style>
  <w:style w:type="paragraph" w:customStyle="1" w:styleId="1612">
    <w:name w:val="编号杨"/>
    <w:basedOn w:val="1"/>
    <w:qFormat/>
    <w:uiPriority w:val="0"/>
    <w:pPr>
      <w:tabs>
        <w:tab w:val="left" w:pos="0"/>
      </w:tabs>
      <w:spacing w:before="20" w:beforeLines="20" w:after="20" w:afterLines="20" w:line="312" w:lineRule="auto"/>
      <w:ind w:firstLine="400"/>
    </w:pPr>
  </w:style>
  <w:style w:type="paragraph" w:customStyle="1" w:styleId="1613">
    <w:name w:val="质表正文1"/>
    <w:basedOn w:val="1"/>
    <w:qFormat/>
    <w:uiPriority w:val="0"/>
    <w:pPr>
      <w:adjustRightInd w:val="0"/>
      <w:snapToGrid w:val="0"/>
      <w:spacing w:line="360" w:lineRule="auto"/>
      <w:jc w:val="center"/>
    </w:pPr>
    <w:rPr>
      <w:rFonts w:ascii="宋体" w:hAnsi="宋体"/>
      <w:sz w:val="21"/>
    </w:rPr>
  </w:style>
  <w:style w:type="paragraph" w:customStyle="1" w:styleId="1614">
    <w:name w:val="环表头"/>
    <w:basedOn w:val="1"/>
    <w:qFormat/>
    <w:uiPriority w:val="0"/>
    <w:pPr>
      <w:widowControl/>
      <w:tabs>
        <w:tab w:val="left" w:pos="0"/>
      </w:tabs>
      <w:adjustRightInd w:val="0"/>
      <w:spacing w:line="312" w:lineRule="atLeast"/>
      <w:ind w:right="-266"/>
      <w:jc w:val="center"/>
      <w:textAlignment w:val="baseline"/>
    </w:pPr>
    <w:rPr>
      <w:rFonts w:eastAsia="黑体"/>
      <w:b/>
      <w:kern w:val="0"/>
      <w:sz w:val="21"/>
      <w:szCs w:val="21"/>
    </w:rPr>
  </w:style>
  <w:style w:type="paragraph" w:customStyle="1" w:styleId="1615">
    <w:name w:val="表格式"/>
    <w:basedOn w:val="65"/>
    <w:qFormat/>
    <w:uiPriority w:val="0"/>
    <w:pPr>
      <w:spacing w:line="0" w:lineRule="atLeast"/>
      <w:ind w:left="0" w:firstLine="0" w:firstLineChars="0"/>
      <w:jc w:val="center"/>
    </w:pPr>
    <w:rPr>
      <w:rFonts w:hAnsi="宋体"/>
      <w:szCs w:val="28"/>
    </w:rPr>
  </w:style>
  <w:style w:type="paragraph" w:customStyle="1" w:styleId="1616">
    <w:name w:val="样式 标题 2标题 21标题 121节H2SeHead wsa2标题 1.1 + 黑体 四号 非加粗"/>
    <w:basedOn w:val="4"/>
    <w:qFormat/>
    <w:uiPriority w:val="0"/>
    <w:pPr>
      <w:numPr>
        <w:ilvl w:val="1"/>
        <w:numId w:val="3"/>
      </w:numPr>
      <w:tabs>
        <w:tab w:val="left" w:pos="482"/>
        <w:tab w:val="left" w:pos="785"/>
        <w:tab w:val="clear" w:pos="993"/>
      </w:tabs>
      <w:adjustRightInd/>
      <w:spacing w:before="260" w:after="260" w:line="416" w:lineRule="auto"/>
    </w:pPr>
    <w:rPr>
      <w:rFonts w:ascii="黑体" w:hAnsi="黑体"/>
      <w:b w:val="0"/>
      <w:bCs w:val="0"/>
      <w:sz w:val="28"/>
    </w:rPr>
  </w:style>
  <w:style w:type="paragraph" w:customStyle="1" w:styleId="1617">
    <w:name w:val="CM31"/>
    <w:basedOn w:val="721"/>
    <w:next w:val="721"/>
    <w:qFormat/>
    <w:uiPriority w:val="99"/>
    <w:pPr>
      <w:spacing w:after="200" w:line="276" w:lineRule="auto"/>
      <w:jc w:val="both"/>
      <w:textAlignment w:val="baseline"/>
    </w:pPr>
    <w:rPr>
      <w:rFonts w:ascii="华文中宋" w:hAnsi="Calibri" w:eastAsia="华文中宋" w:cs="Times New Roman"/>
      <w:color w:val="auto"/>
      <w:kern w:val="2"/>
    </w:rPr>
  </w:style>
  <w:style w:type="paragraph" w:customStyle="1" w:styleId="1618">
    <w:name w:val="CM11"/>
    <w:basedOn w:val="721"/>
    <w:next w:val="721"/>
    <w:qFormat/>
    <w:uiPriority w:val="99"/>
    <w:pPr>
      <w:spacing w:after="200" w:line="538" w:lineRule="atLeast"/>
      <w:jc w:val="both"/>
      <w:textAlignment w:val="baseline"/>
    </w:pPr>
    <w:rPr>
      <w:rFonts w:ascii="华文中宋" w:hAnsi="Calibri" w:eastAsia="华文中宋" w:cs="Times New Roman"/>
      <w:color w:val="auto"/>
      <w:kern w:val="2"/>
    </w:rPr>
  </w:style>
  <w:style w:type="paragraph" w:customStyle="1" w:styleId="1619">
    <w:name w:val="CM20"/>
    <w:basedOn w:val="721"/>
    <w:next w:val="721"/>
    <w:qFormat/>
    <w:uiPriority w:val="99"/>
    <w:pPr>
      <w:spacing w:after="200" w:line="276" w:lineRule="auto"/>
      <w:jc w:val="both"/>
      <w:textAlignment w:val="baseline"/>
    </w:pPr>
    <w:rPr>
      <w:rFonts w:ascii="华文中宋" w:hAnsi="Calibri" w:eastAsia="华文中宋" w:cs="Times New Roman"/>
      <w:color w:val="auto"/>
      <w:kern w:val="2"/>
    </w:rPr>
  </w:style>
  <w:style w:type="paragraph" w:customStyle="1" w:styleId="1620">
    <w:name w:val="CM38"/>
    <w:basedOn w:val="721"/>
    <w:next w:val="721"/>
    <w:qFormat/>
    <w:uiPriority w:val="99"/>
    <w:pPr>
      <w:spacing w:after="200" w:line="276" w:lineRule="auto"/>
      <w:jc w:val="both"/>
      <w:textAlignment w:val="baseline"/>
    </w:pPr>
    <w:rPr>
      <w:rFonts w:ascii="华文中宋" w:hAnsi="Calibri" w:eastAsia="华文中宋" w:cs="Times New Roman"/>
      <w:color w:val="auto"/>
      <w:kern w:val="2"/>
    </w:rPr>
  </w:style>
  <w:style w:type="paragraph" w:customStyle="1" w:styleId="1621">
    <w:name w:val="CM65"/>
    <w:basedOn w:val="721"/>
    <w:next w:val="721"/>
    <w:qFormat/>
    <w:uiPriority w:val="99"/>
    <w:pPr>
      <w:spacing w:after="200" w:line="500" w:lineRule="atLeast"/>
      <w:jc w:val="both"/>
      <w:textAlignment w:val="baseline"/>
    </w:pPr>
    <w:rPr>
      <w:rFonts w:ascii="华文中宋" w:hAnsi="Calibri" w:eastAsia="华文中宋" w:cs="Times New Roman"/>
      <w:color w:val="auto"/>
      <w:kern w:val="2"/>
    </w:rPr>
  </w:style>
  <w:style w:type="paragraph" w:customStyle="1" w:styleId="1622">
    <w:name w:val="表第一列"/>
    <w:basedOn w:val="85"/>
    <w:qFormat/>
    <w:uiPriority w:val="0"/>
    <w:pPr>
      <w:keepNext/>
      <w:keepLines/>
      <w:tabs>
        <w:tab w:val="left" w:pos="1727"/>
        <w:tab w:val="left" w:pos="1884"/>
        <w:tab w:val="left" w:pos="2940"/>
      </w:tabs>
      <w:adjustRightInd w:val="0"/>
      <w:snapToGrid w:val="0"/>
      <w:spacing w:line="0" w:lineRule="atLeast"/>
      <w:ind w:firstLine="0" w:firstLineChars="0"/>
      <w:jc w:val="center"/>
    </w:pPr>
    <w:rPr>
      <w:rFonts w:ascii="宋体" w:hAnsi="宋体"/>
      <w:color w:val="000000"/>
      <w:spacing w:val="-4"/>
      <w:sz w:val="21"/>
      <w:szCs w:val="20"/>
    </w:rPr>
  </w:style>
  <w:style w:type="paragraph" w:customStyle="1" w:styleId="1623">
    <w:name w:val="CM12"/>
    <w:basedOn w:val="721"/>
    <w:next w:val="721"/>
    <w:qFormat/>
    <w:uiPriority w:val="0"/>
    <w:pPr>
      <w:spacing w:after="200" w:line="538" w:lineRule="atLeast"/>
      <w:jc w:val="both"/>
      <w:textAlignment w:val="baseline"/>
    </w:pPr>
    <w:rPr>
      <w:rFonts w:ascii="华文中宋" w:eastAsia="华文中宋" w:cs="Times New Roman"/>
      <w:color w:val="auto"/>
      <w:kern w:val="2"/>
    </w:rPr>
  </w:style>
  <w:style w:type="paragraph" w:customStyle="1" w:styleId="1624">
    <w:name w:val="Char Char1 Char2"/>
    <w:basedOn w:val="1"/>
    <w:qFormat/>
    <w:uiPriority w:val="0"/>
    <w:rPr>
      <w:rFonts w:eastAsia="黑体" w:cs="宋体"/>
      <w:b/>
      <w:bCs/>
      <w:color w:val="000000"/>
      <w:sz w:val="32"/>
      <w:szCs w:val="32"/>
    </w:rPr>
  </w:style>
  <w:style w:type="paragraph" w:customStyle="1" w:styleId="1625">
    <w:name w:val="Char Char Char Char Char Char Char Char Char Char Char Char Char"/>
    <w:basedOn w:val="1"/>
    <w:qFormat/>
    <w:uiPriority w:val="0"/>
    <w:rPr>
      <w:sz w:val="21"/>
    </w:rPr>
  </w:style>
  <w:style w:type="paragraph" w:customStyle="1" w:styleId="1626">
    <w:name w:val="编号"/>
    <w:qFormat/>
    <w:uiPriority w:val="0"/>
    <w:pPr>
      <w:numPr>
        <w:ilvl w:val="0"/>
        <w:numId w:val="6"/>
      </w:numPr>
    </w:pPr>
    <w:rPr>
      <w:rFonts w:ascii="Times New Roman" w:hAnsi="Times New Roman" w:eastAsia="宋体" w:cs="Times New Roman"/>
      <w:kern w:val="2"/>
      <w:sz w:val="24"/>
      <w:szCs w:val="24"/>
      <w:lang w:val="en-US" w:eastAsia="zh-CN" w:bidi="ar-SA"/>
    </w:rPr>
  </w:style>
  <w:style w:type="paragraph" w:customStyle="1" w:styleId="1627">
    <w:name w:val="Char Char2 Char Char"/>
    <w:basedOn w:val="1"/>
    <w:qFormat/>
    <w:uiPriority w:val="0"/>
    <w:rPr>
      <w:sz w:val="21"/>
    </w:rPr>
  </w:style>
  <w:style w:type="paragraph" w:customStyle="1" w:styleId="1628">
    <w:name w:val="正文2002"/>
    <w:basedOn w:val="1"/>
    <w:qFormat/>
    <w:uiPriority w:val="0"/>
    <w:pPr>
      <w:snapToGrid w:val="0"/>
      <w:jc w:val="center"/>
    </w:pPr>
    <w:rPr>
      <w:sz w:val="21"/>
      <w:szCs w:val="21"/>
    </w:rPr>
  </w:style>
  <w:style w:type="paragraph" w:customStyle="1" w:styleId="1629">
    <w:name w:val="Char Char7"/>
    <w:basedOn w:val="1"/>
    <w:next w:val="1"/>
    <w:qFormat/>
    <w:uiPriority w:val="0"/>
    <w:pPr>
      <w:spacing w:line="360" w:lineRule="auto"/>
      <w:jc w:val="left"/>
      <w:outlineLvl w:val="3"/>
    </w:pPr>
    <w:rPr>
      <w:rFonts w:eastAsia="黑体" w:cs="宋体"/>
      <w:b/>
      <w:bCs/>
      <w:color w:val="000000"/>
      <w:sz w:val="32"/>
      <w:szCs w:val="32"/>
    </w:rPr>
  </w:style>
  <w:style w:type="paragraph" w:customStyle="1" w:styleId="1630">
    <w:name w:val="Char Char Char Char Char Char Char Char Char Char Char Char Char Char Char Char"/>
    <w:basedOn w:val="1"/>
    <w:qFormat/>
    <w:uiPriority w:val="0"/>
    <w:pPr>
      <w:tabs>
        <w:tab w:val="left" w:pos="360"/>
      </w:tabs>
    </w:pPr>
  </w:style>
  <w:style w:type="paragraph" w:customStyle="1" w:styleId="1631">
    <w:name w:val="正文11"/>
    <w:basedOn w:val="1"/>
    <w:qFormat/>
    <w:uiPriority w:val="0"/>
    <w:pPr>
      <w:ind w:firstLine="200" w:firstLineChars="200"/>
    </w:pPr>
    <w:rPr>
      <w:rFonts w:hAnsi="宋体"/>
      <w:color w:val="000000"/>
    </w:rPr>
  </w:style>
  <w:style w:type="paragraph" w:customStyle="1" w:styleId="1632">
    <w:name w:val="文本正文"/>
    <w:basedOn w:val="1"/>
    <w:qFormat/>
    <w:uiPriority w:val="0"/>
    <w:pPr>
      <w:spacing w:line="360" w:lineRule="auto"/>
      <w:ind w:firstLine="200" w:firstLineChars="200"/>
    </w:pPr>
    <w:rPr>
      <w:sz w:val="28"/>
    </w:rPr>
  </w:style>
  <w:style w:type="paragraph" w:customStyle="1" w:styleId="1633">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rPr>
  </w:style>
  <w:style w:type="paragraph" w:customStyle="1" w:styleId="1634">
    <w:name w:val="样式 样式 标题 2 + 小三 非加粗 自动设置"/>
    <w:basedOn w:val="1593"/>
    <w:qFormat/>
    <w:uiPriority w:val="0"/>
    <w:rPr>
      <w:color w:val="auto"/>
      <w:sz w:val="30"/>
    </w:rPr>
  </w:style>
  <w:style w:type="paragraph" w:customStyle="1" w:styleId="1635">
    <w:name w:val="Char Char1 Char1"/>
    <w:basedOn w:val="1"/>
    <w:qFormat/>
    <w:uiPriority w:val="0"/>
    <w:rPr>
      <w:rFonts w:eastAsia="黑体" w:cs="宋体"/>
      <w:b/>
      <w:bCs/>
      <w:color w:val="000000"/>
      <w:sz w:val="32"/>
      <w:szCs w:val="32"/>
    </w:rPr>
  </w:style>
  <w:style w:type="paragraph" w:customStyle="1" w:styleId="1636">
    <w:name w:val="1表格正文"/>
    <w:basedOn w:val="1"/>
    <w:qFormat/>
    <w:uiPriority w:val="0"/>
    <w:pPr>
      <w:adjustRightInd w:val="0"/>
      <w:snapToGrid w:val="0"/>
      <w:jc w:val="center"/>
    </w:pPr>
    <w:rPr>
      <w:sz w:val="21"/>
      <w:szCs w:val="20"/>
    </w:rPr>
  </w:style>
  <w:style w:type="paragraph" w:customStyle="1" w:styleId="1637">
    <w:name w:val="标题003"/>
    <w:basedOn w:val="1591"/>
    <w:qFormat/>
    <w:uiPriority w:val="0"/>
    <w:pPr>
      <w:tabs>
        <w:tab w:val="left" w:pos="3570"/>
      </w:tabs>
    </w:pPr>
  </w:style>
  <w:style w:type="paragraph" w:customStyle="1" w:styleId="1638">
    <w:name w:val="04级标题"/>
    <w:basedOn w:val="6"/>
    <w:next w:val="73"/>
    <w:qFormat/>
    <w:uiPriority w:val="0"/>
    <w:pPr>
      <w:widowControl/>
      <w:tabs>
        <w:tab w:val="left" w:pos="482"/>
      </w:tabs>
      <w:topLinePunct/>
      <w:adjustRightInd w:val="0"/>
      <w:snapToGrid w:val="0"/>
      <w:ind w:left="864" w:hanging="864"/>
    </w:pPr>
    <w:rPr>
      <w:kern w:val="0"/>
      <w:szCs w:val="24"/>
      <w:lang w:val="zh-CN"/>
    </w:rPr>
  </w:style>
  <w:style w:type="paragraph" w:customStyle="1" w:styleId="1639">
    <w:name w:val="小表格中内容"/>
    <w:basedOn w:val="1"/>
    <w:qFormat/>
    <w:uiPriority w:val="0"/>
    <w:pPr>
      <w:shd w:val="clear" w:color="auto" w:fill="FFFFFF"/>
      <w:jc w:val="center"/>
    </w:pPr>
    <w:rPr>
      <w:rFonts w:ascii="宋体" w:hAnsi="宋体" w:cs="宋体"/>
      <w:kern w:val="0"/>
      <w:sz w:val="21"/>
      <w:szCs w:val="21"/>
    </w:rPr>
  </w:style>
  <w:style w:type="paragraph" w:customStyle="1" w:styleId="1640">
    <w:name w:val="表格内"/>
    <w:basedOn w:val="1"/>
    <w:qFormat/>
    <w:uiPriority w:val="0"/>
    <w:pPr>
      <w:spacing w:line="280" w:lineRule="exact"/>
    </w:pPr>
    <w:rPr>
      <w:sz w:val="21"/>
      <w:szCs w:val="22"/>
    </w:rPr>
  </w:style>
  <w:style w:type="paragraph" w:customStyle="1" w:styleId="1641">
    <w:name w:val="Default1"/>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1642">
    <w:name w:val="样式1正文"/>
    <w:basedOn w:val="1"/>
    <w:qFormat/>
    <w:uiPriority w:val="0"/>
    <w:pPr>
      <w:spacing w:line="360" w:lineRule="auto"/>
    </w:pPr>
  </w:style>
  <w:style w:type="paragraph" w:customStyle="1" w:styleId="1643">
    <w:name w:val="X 表中"/>
    <w:basedOn w:val="1"/>
    <w:qFormat/>
    <w:uiPriority w:val="0"/>
    <w:pPr>
      <w:spacing w:before="20" w:beforeLines="20" w:after="20" w:afterLines="20"/>
      <w:jc w:val="center"/>
    </w:pPr>
    <w:rPr>
      <w:szCs w:val="21"/>
    </w:rPr>
  </w:style>
  <w:style w:type="paragraph" w:customStyle="1" w:styleId="1644">
    <w:name w:val="表格_正文"/>
    <w:qFormat/>
    <w:uiPriority w:val="0"/>
    <w:pPr>
      <w:widowControl w:val="0"/>
      <w:tabs>
        <w:tab w:val="left" w:pos="0"/>
      </w:tabs>
      <w:adjustRightInd w:val="0"/>
      <w:snapToGrid w:val="0"/>
      <w:jc w:val="center"/>
    </w:pPr>
    <w:rPr>
      <w:rFonts w:ascii="Calibri" w:hAnsi="Calibri" w:eastAsia="宋体" w:cs="Times New Roman"/>
      <w:sz w:val="21"/>
      <w:szCs w:val="22"/>
      <w:lang w:val="en-US" w:eastAsia="zh-CN" w:bidi="ar-SA"/>
    </w:rPr>
  </w:style>
  <w:style w:type="paragraph" w:customStyle="1" w:styleId="1645">
    <w:name w:val="正文nlw"/>
    <w:basedOn w:val="1"/>
    <w:qFormat/>
    <w:uiPriority w:val="99"/>
    <w:pPr>
      <w:spacing w:line="360" w:lineRule="auto"/>
      <w:ind w:firstLine="200" w:firstLineChars="200"/>
    </w:pPr>
    <w:rPr>
      <w:szCs w:val="22"/>
    </w:rPr>
  </w:style>
  <w:style w:type="paragraph" w:customStyle="1" w:styleId="1646">
    <w:name w:val="02级标题"/>
    <w:basedOn w:val="4"/>
    <w:next w:val="1"/>
    <w:qFormat/>
    <w:uiPriority w:val="0"/>
    <w:pPr>
      <w:tabs>
        <w:tab w:val="left" w:pos="482"/>
        <w:tab w:val="clear" w:pos="567"/>
        <w:tab w:val="clear" w:pos="993"/>
      </w:tabs>
      <w:topLinePunct/>
      <w:snapToGrid w:val="0"/>
      <w:spacing w:before="0" w:after="0" w:line="360" w:lineRule="auto"/>
      <w:ind w:left="482" w:hanging="482"/>
      <w:jc w:val="left"/>
    </w:pPr>
    <w:rPr>
      <w:rFonts w:ascii="Times New Roman" w:hAnsi="Times New Roman" w:eastAsia="宋体"/>
      <w:b w:val="0"/>
      <w:bCs w:val="0"/>
      <w:kern w:val="0"/>
      <w:sz w:val="28"/>
      <w:szCs w:val="28"/>
      <w:lang w:val="zh-CN"/>
    </w:rPr>
  </w:style>
  <w:style w:type="paragraph" w:customStyle="1" w:styleId="1647">
    <w:name w:val="Table Text"/>
    <w:basedOn w:val="1"/>
    <w:semiHidden/>
    <w:qFormat/>
    <w:uiPriority w:val="0"/>
    <w:rPr>
      <w:rFonts w:ascii="宋体" w:hAnsi="宋体" w:eastAsia="宋体" w:cs="宋体"/>
      <w:sz w:val="21"/>
      <w:szCs w:val="21"/>
      <w:lang w:val="en-US" w:eastAsia="en-US" w:bidi="ar-SA"/>
    </w:rPr>
  </w:style>
  <w:style w:type="paragraph" w:customStyle="1" w:styleId="1648">
    <w:name w:val="wf-表格内容"/>
    <w:basedOn w:val="1"/>
    <w:qFormat/>
    <w:uiPriority w:val="0"/>
    <w:pPr>
      <w:adjustRightInd w:val="0"/>
      <w:spacing w:line="240" w:lineRule="auto"/>
      <w:jc w:val="center"/>
      <w:textAlignment w:val="baseline"/>
    </w:pPr>
    <w:rPr>
      <w:sz w:val="21"/>
      <w:szCs w:val="21"/>
    </w:rPr>
  </w:style>
  <w:style w:type="paragraph" w:customStyle="1" w:styleId="1649">
    <w:name w:val="文章正文样式"/>
    <w:basedOn w:val="1"/>
    <w:qFormat/>
    <w:uiPriority w:val="0"/>
    <w:pPr>
      <w:spacing w:line="520" w:lineRule="exact"/>
      <w:ind w:firstLine="480" w:firstLineChars="200"/>
      <w:jc w:val="left"/>
    </w:pPr>
    <w:rPr>
      <w:rFonts w:ascii="宋体" w:hAnsi="宋体" w:cs="宋体"/>
      <w:sz w:val="24"/>
      <w:szCs w:val="20"/>
    </w:rPr>
  </w:style>
  <w:style w:type="paragraph" w:customStyle="1" w:styleId="1650">
    <w:name w:val="L表格文字"/>
    <w:basedOn w:val="1"/>
    <w:qFormat/>
    <w:uiPriority w:val="0"/>
    <w:pPr>
      <w:adjustRightInd w:val="0"/>
      <w:snapToGrid w:val="0"/>
      <w:jc w:val="center"/>
    </w:pPr>
    <w:rPr>
      <w:rFonts w:cs="宋体"/>
      <w:snapToGrid w:val="0"/>
      <w:kern w:val="0"/>
      <w:sz w:val="26"/>
      <w:szCs w:val="26"/>
    </w:rPr>
  </w:style>
  <w:style w:type="paragraph" w:customStyle="1" w:styleId="1651">
    <w:name w:val="0正文"/>
    <w:basedOn w:val="33"/>
    <w:unhideWhenUsed/>
    <w:qFormat/>
    <w:uiPriority w:val="0"/>
    <w:pPr>
      <w:widowControl w:val="0"/>
      <w:tabs>
        <w:tab w:val="left" w:pos="720"/>
        <w:tab w:val="left" w:pos="1360"/>
        <w:tab w:val="left" w:pos="1720"/>
      </w:tabs>
      <w:spacing w:line="360" w:lineRule="auto"/>
      <w:ind w:firstLine="720" w:firstLineChars="200"/>
      <w:jc w:val="both"/>
    </w:pPr>
    <w:rPr>
      <w:rFonts w:ascii="幼圆" w:hAnsi="Times New Roman" w:eastAsia="幼圆" w:cs="Times New Roman"/>
      <w:kern w:val="2"/>
      <w:sz w:val="24"/>
      <w:szCs w:val="22"/>
      <w:lang w:val="en-US" w:eastAsia="zh-CN" w:bidi="ar-SA"/>
    </w:rPr>
  </w:style>
  <w:style w:type="paragraph" w:customStyle="1" w:styleId="1652">
    <w:name w:val="新5级标题 表格"/>
    <w:basedOn w:val="910"/>
    <w:qFormat/>
    <w:uiPriority w:val="0"/>
    <w:pPr>
      <w:numPr>
        <w:ilvl w:val="4"/>
        <w:numId w:val="7"/>
      </w:numPr>
      <w:ind w:left="0"/>
      <w:outlineLvl w:val="4"/>
    </w:pPr>
    <w:rPr>
      <w:rFonts w:ascii="Times New Roman" w:hAnsi="Times New Roman" w:eastAsia="宋体"/>
    </w:rPr>
  </w:style>
  <w:style w:type="paragraph" w:customStyle="1" w:styleId="1653">
    <w:name w:val="标准正文"/>
    <w:basedOn w:val="1"/>
    <w:qFormat/>
    <w:uiPriority w:val="0"/>
    <w:pPr>
      <w:widowControl/>
      <w:spacing w:line="360" w:lineRule="auto"/>
      <w:ind w:firstLine="480" w:firstLineChars="200"/>
      <w:jc w:val="left"/>
    </w:pPr>
    <w:rPr>
      <w:rFonts w:ascii="Calibri" w:hAnsi="Calibri" w:eastAsia="宋体" w:cs="Times New Roman"/>
      <w:bCs/>
      <w:sz w:val="24"/>
      <w:szCs w:val="22"/>
      <w:u w:val="single"/>
    </w:rPr>
  </w:style>
  <w:style w:type="paragraph" w:customStyle="1" w:styleId="1654">
    <w:name w:val="表中文字"/>
    <w:qFormat/>
    <w:uiPriority w:val="0"/>
    <w:pPr>
      <w:snapToGrid w:val="0"/>
      <w:jc w:val="center"/>
    </w:pPr>
    <w:rPr>
      <w:rFonts w:ascii="Calibri" w:hAnsi="Calibri" w:eastAsia="宋体" w:cs="Times New Roman"/>
      <w:kern w:val="2"/>
      <w:sz w:val="21"/>
      <w:szCs w:val="21"/>
      <w:lang w:val="en-US" w:eastAsia="zh-CN" w:bidi="ar-SA"/>
    </w:rPr>
  </w:style>
  <w:style w:type="paragraph" w:customStyle="1" w:styleId="1655">
    <w:name w:val="样式126"/>
    <w:basedOn w:val="1578"/>
    <w:qFormat/>
    <w:uiPriority w:val="0"/>
    <w:rPr>
      <w:color w:val="000000"/>
      <w:kern w:val="0"/>
      <w:sz w:val="20"/>
      <w:szCs w:val="24"/>
    </w:rPr>
  </w:style>
  <w:style w:type="table" w:customStyle="1" w:styleId="1656">
    <w:name w:val="网格型5"/>
    <w:basedOn w:val="8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7">
    <w:name w:val="网格型1"/>
    <w:basedOn w:val="8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8">
    <w:name w:val="嵌套表格"/>
    <w:basedOn w:val="87"/>
    <w:qFormat/>
    <w:uiPriority w:val="0"/>
    <w:pPr>
      <w:keepLines/>
      <w:jc w:val="center"/>
    </w:pPr>
    <w:rPr>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table" w:customStyle="1" w:styleId="1659">
    <w:name w:val="Table Normal11"/>
    <w:unhideWhenUsed/>
    <w:qFormat/>
    <w:uiPriority w:val="2"/>
    <w:pPr>
      <w:widowControl w:val="0"/>
    </w:pPr>
    <w:rPr>
      <w:rFonts w:ascii="Calibri" w:hAnsi="Calibri"/>
      <w:sz w:val="22"/>
      <w:szCs w:val="22"/>
      <w:lang w:val="en-US" w:eastAsia="en-US" w:bidi="ar-SA"/>
    </w:rPr>
    <w:tblPr>
      <w:tblCellMar>
        <w:top w:w="0" w:type="dxa"/>
        <w:left w:w="0" w:type="dxa"/>
        <w:bottom w:w="0" w:type="dxa"/>
        <w:right w:w="0" w:type="dxa"/>
      </w:tblCellMar>
    </w:tblPr>
  </w:style>
  <w:style w:type="table" w:customStyle="1" w:styleId="1660">
    <w:name w:val="hp"/>
    <w:basedOn w:val="88"/>
    <w:qFormat/>
    <w:uiPriority w:val="0"/>
    <w:pPr>
      <w:spacing w:line="240" w:lineRule="exact"/>
    </w:pPr>
    <w:rPr>
      <w:sz w:val="21"/>
      <w:szCs w:val="21"/>
    </w:rPr>
    <w:tblPr>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
    <w:trPr>
      <w:jc w:val="center"/>
    </w:trPr>
    <w:tcPr>
      <w:vAlign w:val="center"/>
    </w:tcPr>
  </w:style>
  <w:style w:type="table" w:customStyle="1" w:styleId="1661">
    <w:name w:val="Table Normal6"/>
    <w:unhideWhenUsed/>
    <w:qFormat/>
    <w:uiPriority w:val="2"/>
    <w:pPr>
      <w:widowControl w:val="0"/>
    </w:pPr>
    <w:rPr>
      <w:rFonts w:ascii="Calibri" w:hAnsi="Calibri"/>
      <w:sz w:val="22"/>
      <w:szCs w:val="22"/>
      <w:lang w:val="en-US" w:eastAsia="en-US" w:bidi="ar-SA"/>
    </w:rPr>
    <w:tblPr>
      <w:tblCellMar>
        <w:top w:w="0" w:type="dxa"/>
        <w:left w:w="0" w:type="dxa"/>
        <w:bottom w:w="0" w:type="dxa"/>
        <w:right w:w="0" w:type="dxa"/>
      </w:tblCellMar>
    </w:tblPr>
  </w:style>
  <w:style w:type="table" w:customStyle="1" w:styleId="1662">
    <w:name w:val="Table Normal2"/>
    <w:unhideWhenUsed/>
    <w:qFormat/>
    <w:uiPriority w:val="2"/>
    <w:pPr>
      <w:widowControl w:val="0"/>
    </w:pPr>
    <w:rPr>
      <w:rFonts w:ascii="Calibri" w:hAnsi="Calibri"/>
      <w:sz w:val="22"/>
      <w:szCs w:val="22"/>
      <w:lang w:val="en-US" w:eastAsia="en-US" w:bidi="ar-SA"/>
    </w:rPr>
    <w:tblPr>
      <w:tblCellMar>
        <w:top w:w="0" w:type="dxa"/>
        <w:left w:w="0" w:type="dxa"/>
        <w:bottom w:w="0" w:type="dxa"/>
        <w:right w:w="0" w:type="dxa"/>
      </w:tblCellMar>
    </w:tblPr>
  </w:style>
  <w:style w:type="table" w:customStyle="1" w:styleId="1663">
    <w:name w:val="网格型-中对齐1"/>
    <w:basedOn w:val="8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4">
    <w:name w:val="Table Normal9"/>
    <w:unhideWhenUsed/>
    <w:qFormat/>
    <w:uiPriority w:val="2"/>
    <w:pPr>
      <w:widowControl w:val="0"/>
    </w:pPr>
    <w:rPr>
      <w:rFonts w:ascii="Calibri" w:hAnsi="Calibri"/>
      <w:sz w:val="22"/>
      <w:szCs w:val="22"/>
      <w:lang w:val="en-US" w:eastAsia="en-US" w:bidi="ar-SA"/>
    </w:rPr>
    <w:tblPr>
      <w:tblCellMar>
        <w:top w:w="0" w:type="dxa"/>
        <w:left w:w="0" w:type="dxa"/>
        <w:bottom w:w="0" w:type="dxa"/>
        <w:right w:w="0" w:type="dxa"/>
      </w:tblCellMar>
    </w:tblPr>
  </w:style>
  <w:style w:type="table" w:customStyle="1" w:styleId="1665">
    <w:name w:val="表格样式1"/>
    <w:basedOn w:val="1660"/>
    <w:qFormat/>
    <w:uiPriority w:val="0"/>
    <w:pPr>
      <w:spacing w:line="240" w:lineRule="auto"/>
    </w:pPr>
  </w:style>
  <w:style w:type="table" w:customStyle="1" w:styleId="1666">
    <w:name w:val="Table Normal3"/>
    <w:unhideWhenUsed/>
    <w:qFormat/>
    <w:uiPriority w:val="2"/>
    <w:pPr>
      <w:widowControl w:val="0"/>
    </w:pPr>
    <w:rPr>
      <w:rFonts w:ascii="Calibri" w:hAnsi="Calibri"/>
      <w:sz w:val="22"/>
      <w:szCs w:val="22"/>
      <w:lang w:val="en-US" w:eastAsia="en-US" w:bidi="ar-SA"/>
    </w:rPr>
    <w:tblPr>
      <w:tblCellMar>
        <w:top w:w="0" w:type="dxa"/>
        <w:left w:w="0" w:type="dxa"/>
        <w:bottom w:w="0" w:type="dxa"/>
        <w:right w:w="0" w:type="dxa"/>
      </w:tblCellMar>
    </w:tblPr>
  </w:style>
  <w:style w:type="table" w:customStyle="1" w:styleId="1667">
    <w:name w:val="网格型6"/>
    <w:basedOn w:val="8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8">
    <w:name w:val="网格型刘1"/>
    <w:basedOn w:val="8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9">
    <w:name w:val="Table Normal15"/>
    <w:unhideWhenUsed/>
    <w:qFormat/>
    <w:uiPriority w:val="2"/>
    <w:pPr>
      <w:widowControl w:val="0"/>
    </w:pPr>
    <w:rPr>
      <w:rFonts w:ascii="Calibri" w:hAnsi="Calibri"/>
      <w:sz w:val="22"/>
      <w:szCs w:val="22"/>
      <w:lang w:val="en-US" w:eastAsia="en-US" w:bidi="ar-SA"/>
    </w:rPr>
    <w:tblPr>
      <w:tblCellMar>
        <w:top w:w="0" w:type="dxa"/>
        <w:left w:w="0" w:type="dxa"/>
        <w:bottom w:w="0" w:type="dxa"/>
        <w:right w:w="0" w:type="dxa"/>
      </w:tblCellMar>
    </w:tblPr>
  </w:style>
  <w:style w:type="table" w:customStyle="1" w:styleId="1670">
    <w:name w:val="TableGrid"/>
    <w:qFormat/>
    <w:uiPriority w:val="0"/>
    <w:rPr>
      <w:rFonts w:ascii="Calibri" w:hAnsi="Calibri"/>
      <w:kern w:val="2"/>
      <w:sz w:val="21"/>
      <w:szCs w:val="22"/>
      <w:lang w:val="en-US" w:eastAsia="zh-CN" w:bidi="ar-SA"/>
    </w:rPr>
    <w:tblPr>
      <w:tblCellMar>
        <w:top w:w="0" w:type="dxa"/>
        <w:left w:w="0" w:type="dxa"/>
        <w:bottom w:w="0" w:type="dxa"/>
        <w:right w:w="0" w:type="dxa"/>
      </w:tblCellMar>
    </w:tblPr>
  </w:style>
  <w:style w:type="table" w:customStyle="1" w:styleId="1671">
    <w:name w:val="Table Normal7"/>
    <w:unhideWhenUsed/>
    <w:qFormat/>
    <w:uiPriority w:val="2"/>
    <w:pPr>
      <w:widowControl w:val="0"/>
    </w:pPr>
    <w:rPr>
      <w:rFonts w:ascii="Calibri" w:hAnsi="Calibri"/>
      <w:sz w:val="22"/>
      <w:szCs w:val="22"/>
      <w:lang w:val="en-US" w:eastAsia="en-US" w:bidi="ar-SA"/>
    </w:rPr>
    <w:tblPr>
      <w:tblCellMar>
        <w:top w:w="0" w:type="dxa"/>
        <w:left w:w="0" w:type="dxa"/>
        <w:bottom w:w="0" w:type="dxa"/>
        <w:right w:w="0" w:type="dxa"/>
      </w:tblCellMar>
    </w:tblPr>
  </w:style>
  <w:style w:type="table" w:customStyle="1" w:styleId="1672">
    <w:name w:val="Table Normal14"/>
    <w:unhideWhenUsed/>
    <w:qFormat/>
    <w:uiPriority w:val="2"/>
    <w:pPr>
      <w:widowControl w:val="0"/>
    </w:pPr>
    <w:rPr>
      <w:rFonts w:ascii="Calibri" w:hAnsi="Calibri"/>
      <w:sz w:val="22"/>
      <w:szCs w:val="22"/>
      <w:lang w:val="en-US" w:eastAsia="en-US" w:bidi="ar-SA"/>
    </w:rPr>
    <w:tblPr>
      <w:tblCellMar>
        <w:top w:w="0" w:type="dxa"/>
        <w:left w:w="0" w:type="dxa"/>
        <w:bottom w:w="0" w:type="dxa"/>
        <w:right w:w="0" w:type="dxa"/>
      </w:tblCellMar>
    </w:tblPr>
  </w:style>
  <w:style w:type="table" w:customStyle="1" w:styleId="1673">
    <w:name w:val="网格型2"/>
    <w:basedOn w:val="8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4">
    <w:name w:val="Table Normal1"/>
    <w:unhideWhenUsed/>
    <w:qFormat/>
    <w:uiPriority w:val="2"/>
    <w:pPr>
      <w:widowControl w:val="0"/>
    </w:pPr>
    <w:rPr>
      <w:rFonts w:ascii="Calibri" w:hAnsi="Calibri"/>
      <w:sz w:val="22"/>
      <w:szCs w:val="22"/>
      <w:lang w:val="en-US" w:eastAsia="en-US" w:bidi="ar-SA"/>
    </w:rPr>
    <w:tblPr>
      <w:tblCellMar>
        <w:top w:w="0" w:type="dxa"/>
        <w:left w:w="0" w:type="dxa"/>
        <w:bottom w:w="0" w:type="dxa"/>
        <w:right w:w="0" w:type="dxa"/>
      </w:tblCellMar>
    </w:tblPr>
  </w:style>
  <w:style w:type="table" w:customStyle="1" w:styleId="1675">
    <w:name w:val="表格样式2"/>
    <w:basedOn w:val="87"/>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76">
    <w:name w:val="hh"/>
    <w:basedOn w:val="88"/>
    <w:qFormat/>
    <w:uiPriority w:val="0"/>
    <w:pPr>
      <w:spacing w:line="240" w:lineRule="exact"/>
    </w:pPr>
    <w:rPr>
      <w:sz w:val="21"/>
      <w:szCs w:val="20"/>
    </w:rPr>
    <w:tblPr>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
    <w:trPr>
      <w:jc w:val="center"/>
    </w:trPr>
    <w:tcPr>
      <w:vAlign w:val="center"/>
    </w:tcPr>
  </w:style>
  <w:style w:type="table" w:customStyle="1" w:styleId="1677">
    <w:name w:val="11"/>
    <w:basedOn w:val="88"/>
    <w:qFormat/>
    <w:uiPriority w:val="0"/>
    <w:pPr>
      <w:jc w:val="center"/>
    </w:pPr>
    <w:rPr>
      <w:sz w:val="21"/>
      <w:szCs w:val="20"/>
    </w:rPr>
    <w:tblP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
    <w:tcPr>
      <w:vAlign w:val="center"/>
    </w:tcPr>
  </w:style>
  <w:style w:type="table" w:customStyle="1" w:styleId="1678">
    <w:name w:val="我的表哥"/>
    <w:basedOn w:val="87"/>
    <w:qFormat/>
    <w:uiPriority w:val="0"/>
    <w:pPr>
      <w:spacing w:line="320" w:lineRule="exact"/>
      <w:jc w:val="center"/>
    </w:pPr>
    <w:rPr>
      <w:szCs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left w:w="0" w:type="dxa"/>
        <w:right w:w="0" w:type="dxa"/>
      </w:tblCellMar>
    </w:tblPr>
    <w:trPr>
      <w:jc w:val="center"/>
    </w:trPr>
    <w:tcPr>
      <w:vAlign w:val="center"/>
    </w:tcPr>
  </w:style>
  <w:style w:type="table" w:customStyle="1" w:styleId="1679">
    <w:name w:val="Table Normal"/>
    <w:unhideWhenUsed/>
    <w:qFormat/>
    <w:uiPriority w:val="2"/>
    <w:pPr>
      <w:widowControl w:val="0"/>
    </w:pPr>
    <w:rPr>
      <w:rFonts w:ascii="Calibri" w:hAnsi="Calibri"/>
      <w:sz w:val="22"/>
      <w:szCs w:val="22"/>
      <w:lang w:val="en-US" w:eastAsia="en-US" w:bidi="ar-SA"/>
    </w:rPr>
    <w:tblPr>
      <w:tblCellMar>
        <w:top w:w="0" w:type="dxa"/>
        <w:left w:w="0" w:type="dxa"/>
        <w:bottom w:w="0" w:type="dxa"/>
        <w:right w:w="0" w:type="dxa"/>
      </w:tblCellMar>
    </w:tblPr>
  </w:style>
  <w:style w:type="table" w:customStyle="1" w:styleId="1680">
    <w:name w:val="Table Normal4"/>
    <w:unhideWhenUsed/>
    <w:qFormat/>
    <w:uiPriority w:val="2"/>
    <w:pPr>
      <w:widowControl w:val="0"/>
    </w:pPr>
    <w:rPr>
      <w:rFonts w:ascii="Calibri" w:hAnsi="Calibri"/>
      <w:sz w:val="22"/>
      <w:szCs w:val="22"/>
      <w:lang w:val="en-US" w:eastAsia="en-US" w:bidi="ar-SA"/>
    </w:rPr>
    <w:tblPr>
      <w:tblCellMar>
        <w:top w:w="0" w:type="dxa"/>
        <w:left w:w="0" w:type="dxa"/>
        <w:bottom w:w="0" w:type="dxa"/>
        <w:right w:w="0" w:type="dxa"/>
      </w:tblCellMar>
    </w:tblPr>
  </w:style>
  <w:style w:type="table" w:customStyle="1" w:styleId="1681">
    <w:name w:val="Table Normal5"/>
    <w:unhideWhenUsed/>
    <w:qFormat/>
    <w:uiPriority w:val="2"/>
    <w:pPr>
      <w:widowControl w:val="0"/>
    </w:pPr>
    <w:rPr>
      <w:rFonts w:ascii="Calibri" w:hAnsi="Calibri"/>
      <w:sz w:val="22"/>
      <w:szCs w:val="22"/>
      <w:lang w:val="en-US" w:eastAsia="en-US" w:bidi="ar-SA"/>
    </w:rPr>
    <w:tblPr>
      <w:tblCellMar>
        <w:top w:w="0" w:type="dxa"/>
        <w:left w:w="0" w:type="dxa"/>
        <w:bottom w:w="0" w:type="dxa"/>
        <w:right w:w="0" w:type="dxa"/>
      </w:tblCellMar>
    </w:tblPr>
  </w:style>
  <w:style w:type="table" w:customStyle="1" w:styleId="1682">
    <w:name w:val="网格型3"/>
    <w:basedOn w:val="8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3">
    <w:name w:val="网格型4"/>
    <w:basedOn w:val="8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4">
    <w:name w:val="Table Normal10"/>
    <w:unhideWhenUsed/>
    <w:qFormat/>
    <w:uiPriority w:val="2"/>
    <w:pPr>
      <w:widowControl w:val="0"/>
    </w:pPr>
    <w:rPr>
      <w:rFonts w:ascii="Calibri" w:hAnsi="Calibri"/>
      <w:sz w:val="22"/>
      <w:szCs w:val="22"/>
      <w:lang w:val="en-US" w:eastAsia="en-US" w:bidi="ar-SA"/>
    </w:rPr>
    <w:tblPr>
      <w:tblCellMar>
        <w:top w:w="0" w:type="dxa"/>
        <w:left w:w="0" w:type="dxa"/>
        <w:bottom w:w="0" w:type="dxa"/>
        <w:right w:w="0" w:type="dxa"/>
      </w:tblCellMar>
    </w:tblPr>
  </w:style>
  <w:style w:type="table" w:customStyle="1" w:styleId="1685">
    <w:name w:val="Table Normal13"/>
    <w:unhideWhenUsed/>
    <w:qFormat/>
    <w:uiPriority w:val="2"/>
    <w:pPr>
      <w:widowControl w:val="0"/>
    </w:pPr>
    <w:rPr>
      <w:rFonts w:ascii="Calibri" w:hAnsi="Calibri"/>
      <w:sz w:val="22"/>
      <w:szCs w:val="22"/>
      <w:lang w:val="en-US" w:eastAsia="en-US" w:bidi="ar-SA"/>
    </w:rPr>
    <w:tblPr>
      <w:tblCellMar>
        <w:top w:w="0" w:type="dxa"/>
        <w:left w:w="0" w:type="dxa"/>
        <w:bottom w:w="0" w:type="dxa"/>
        <w:right w:w="0" w:type="dxa"/>
      </w:tblCellMar>
    </w:tblPr>
  </w:style>
  <w:style w:type="table" w:customStyle="1" w:styleId="1686">
    <w:name w:val="网格型7"/>
    <w:basedOn w:val="87"/>
    <w:qFormat/>
    <w:uiPriority w:val="0"/>
    <w:pPr>
      <w:widowControl w:val="0"/>
      <w:jc w:val="center"/>
    </w:pPr>
    <w:rPr>
      <w:sz w:val="24"/>
      <w:szCs w:val="24"/>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style>
  <w:style w:type="paragraph" w:customStyle="1" w:styleId="1687">
    <w:name w:val="样式nlw"/>
    <w:basedOn w:val="1"/>
    <w:qFormat/>
    <w:uiPriority w:val="0"/>
    <w:pPr>
      <w:ind w:firstLine="494" w:firstLineChars="200"/>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9" Type="http://schemas.openxmlformats.org/officeDocument/2006/relationships/fontTable" Target="fontTable.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49.png"/><Relationship Id="rId85" Type="http://schemas.openxmlformats.org/officeDocument/2006/relationships/image" Target="media/image48.png"/><Relationship Id="rId84" Type="http://schemas.openxmlformats.org/officeDocument/2006/relationships/image" Target="media/image47.wmf"/><Relationship Id="rId83" Type="http://schemas.openxmlformats.org/officeDocument/2006/relationships/oleObject" Target="embeddings/oleObject20.bin"/><Relationship Id="rId82" Type="http://schemas.openxmlformats.org/officeDocument/2006/relationships/image" Target="media/image46.wmf"/><Relationship Id="rId81" Type="http://schemas.openxmlformats.org/officeDocument/2006/relationships/oleObject" Target="embeddings/oleObject19.bin"/><Relationship Id="rId80" Type="http://schemas.openxmlformats.org/officeDocument/2006/relationships/image" Target="media/image45.wmf"/><Relationship Id="rId8" Type="http://schemas.openxmlformats.org/officeDocument/2006/relationships/footer" Target="footer3.xml"/><Relationship Id="rId79" Type="http://schemas.openxmlformats.org/officeDocument/2006/relationships/oleObject" Target="embeddings/oleObject18.bin"/><Relationship Id="rId78" Type="http://schemas.openxmlformats.org/officeDocument/2006/relationships/image" Target="media/image44.wmf"/><Relationship Id="rId77" Type="http://schemas.openxmlformats.org/officeDocument/2006/relationships/oleObject" Target="embeddings/oleObject17.bin"/><Relationship Id="rId76" Type="http://schemas.openxmlformats.org/officeDocument/2006/relationships/image" Target="media/image43.wmf"/><Relationship Id="rId75" Type="http://schemas.openxmlformats.org/officeDocument/2006/relationships/oleObject" Target="embeddings/oleObject16.bin"/><Relationship Id="rId74" Type="http://schemas.openxmlformats.org/officeDocument/2006/relationships/image" Target="media/image42.wmf"/><Relationship Id="rId73" Type="http://schemas.openxmlformats.org/officeDocument/2006/relationships/oleObject" Target="embeddings/oleObject15.bin"/><Relationship Id="rId72" Type="http://schemas.openxmlformats.org/officeDocument/2006/relationships/image" Target="media/image41.wmf"/><Relationship Id="rId71" Type="http://schemas.openxmlformats.org/officeDocument/2006/relationships/oleObject" Target="embeddings/oleObject14.bin"/><Relationship Id="rId70" Type="http://schemas.openxmlformats.org/officeDocument/2006/relationships/image" Target="media/image40.wmf"/><Relationship Id="rId7" Type="http://schemas.openxmlformats.org/officeDocument/2006/relationships/footer" Target="footer2.xml"/><Relationship Id="rId69" Type="http://schemas.openxmlformats.org/officeDocument/2006/relationships/oleObject" Target="embeddings/oleObject13.bin"/><Relationship Id="rId68" Type="http://schemas.openxmlformats.org/officeDocument/2006/relationships/image" Target="media/image39.wmf"/><Relationship Id="rId67" Type="http://schemas.openxmlformats.org/officeDocument/2006/relationships/oleObject" Target="embeddings/oleObject12.bin"/><Relationship Id="rId66" Type="http://schemas.openxmlformats.org/officeDocument/2006/relationships/image" Target="media/image38.wmf"/><Relationship Id="rId65" Type="http://schemas.openxmlformats.org/officeDocument/2006/relationships/oleObject" Target="embeddings/oleObject11.bin"/><Relationship Id="rId64" Type="http://schemas.openxmlformats.org/officeDocument/2006/relationships/image" Target="media/image37.wmf"/><Relationship Id="rId63" Type="http://schemas.openxmlformats.org/officeDocument/2006/relationships/oleObject" Target="embeddings/oleObject10.bin"/><Relationship Id="rId62" Type="http://schemas.openxmlformats.org/officeDocument/2006/relationships/image" Target="media/image36.wmf"/><Relationship Id="rId61" Type="http://schemas.openxmlformats.org/officeDocument/2006/relationships/oleObject" Target="embeddings/oleObject9.bin"/><Relationship Id="rId60" Type="http://schemas.openxmlformats.org/officeDocument/2006/relationships/image" Target="media/image35.jpeg"/><Relationship Id="rId6" Type="http://schemas.openxmlformats.org/officeDocument/2006/relationships/header" Target="header3.xml"/><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jpeg"/><Relationship Id="rId56" Type="http://schemas.openxmlformats.org/officeDocument/2006/relationships/image" Target="media/image31.emf"/><Relationship Id="rId55" Type="http://schemas.openxmlformats.org/officeDocument/2006/relationships/oleObject" Target="embeddings/oleObject8.bin"/><Relationship Id="rId54" Type="http://schemas.openxmlformats.org/officeDocument/2006/relationships/image" Target="media/image30.emf"/><Relationship Id="rId53" Type="http://schemas.openxmlformats.org/officeDocument/2006/relationships/oleObject" Target="embeddings/oleObject7.bin"/><Relationship Id="rId52" Type="http://schemas.openxmlformats.org/officeDocument/2006/relationships/image" Target="media/image29.emf"/><Relationship Id="rId51" Type="http://schemas.openxmlformats.org/officeDocument/2006/relationships/oleObject" Target="embeddings/oleObject6.bin"/><Relationship Id="rId50" Type="http://schemas.openxmlformats.org/officeDocument/2006/relationships/image" Target="media/image28.emf"/><Relationship Id="rId5" Type="http://schemas.openxmlformats.org/officeDocument/2006/relationships/header" Target="header2.xml"/><Relationship Id="rId49" Type="http://schemas.openxmlformats.org/officeDocument/2006/relationships/oleObject" Target="embeddings/oleObject5.bin"/><Relationship Id="rId48" Type="http://schemas.openxmlformats.org/officeDocument/2006/relationships/image" Target="media/image27.emf"/><Relationship Id="rId47" Type="http://schemas.openxmlformats.org/officeDocument/2006/relationships/oleObject" Target="embeddings/oleObject4.bin"/><Relationship Id="rId46" Type="http://schemas.openxmlformats.org/officeDocument/2006/relationships/image" Target="media/image26.emf"/><Relationship Id="rId45" Type="http://schemas.openxmlformats.org/officeDocument/2006/relationships/oleObject" Target="embeddings/oleObject3.bin"/><Relationship Id="rId44" Type="http://schemas.openxmlformats.org/officeDocument/2006/relationships/image" Target="media/image25.emf"/><Relationship Id="rId43" Type="http://schemas.openxmlformats.org/officeDocument/2006/relationships/oleObject" Target="embeddings/oleObject2.bin"/><Relationship Id="rId42" Type="http://schemas.openxmlformats.org/officeDocument/2006/relationships/image" Target="media/image24.emf"/><Relationship Id="rId41" Type="http://schemas.openxmlformats.org/officeDocument/2006/relationships/oleObject" Target="embeddings/oleObject1.bin"/><Relationship Id="rId40" Type="http://schemas.openxmlformats.org/officeDocument/2006/relationships/image" Target="media/image23.png"/><Relationship Id="rId4" Type="http://schemas.openxmlformats.org/officeDocument/2006/relationships/footer" Target="footer1.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header" Target="header10.xml"/><Relationship Id="rId15" Type="http://schemas.openxmlformats.org/officeDocument/2006/relationships/header" Target="header9.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194</Pages>
  <Words>8269</Words>
  <Characters>9414</Characters>
  <Lines>1758</Lines>
  <Paragraphs>494</Paragraphs>
  <TotalTime>29</TotalTime>
  <ScaleCrop>false</ScaleCrop>
  <LinksUpToDate>false</LinksUpToDate>
  <CharactersWithSpaces>9573</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2024-03-04T14:28:00Z</dcterms:created>
  <dc:creator>环评室-wj</dc:creator>
  <cp:lastModifiedBy>20314</cp:lastModifiedBy>
  <cp:lastPrinted>2023-12-31T08:18:00Z</cp:lastPrinted>
  <dcterms:modified xsi:type="dcterms:W3CDTF">2025-08-11T07:35:52Z</dcterms:modified>
  <dc:title>广西贵港市郁江港务有限公司斜坡泊位提档升级工程环境影响报告书（送审稿）</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A4B7EA470D774164867E042774C17435_13</vt:lpwstr>
  </property>
  <property fmtid="{D5CDD505-2E9C-101B-9397-08002B2CF9AE}" pid="4" name="KSOTemplateDocerSaveRecord">
    <vt:lpwstr>eyJoZGlkIjoiN2I4YzVlMmUyMjc0YjZhY2E1YmJiMWRiMWI0YzAwNTIiLCJ1c2VySWQiOiIxMDM3NjMxMjY0In0=</vt:lpwstr>
  </property>
</Properties>
</file>